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427"/>
          <w:sz w:val="40"/>
          <w:szCs w:val="40"/>
        </w:rPr>
        <w:t xml:space="preserve">COMPTE RENDU HEBDOMADAIRE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427"/>
          <w:sz w:val="28"/>
          <w:szCs w:val="28"/>
        </w:rPr>
        <w:t xml:space="preserve">Semaine N°1  —  Projet JAEI</w:t>
      </w:r>
    </w:p>
    <w:p>
      <w:pPr>
        <w:pBdr>
          <w:bottom w:val="single" w:color="1E88C8" w:sz="6" w:space="8"/>
        </w:pBdr>
        <w:spacing w:after="240" w:before="0"/>
        <w:jc w:val="center"/>
      </w:pPr>
      <w:r>
        <w:rPr>
          <w:rFonts w:ascii="Arial" w:cs="Arial" w:eastAsia="Arial" w:hAnsi="Arial"/>
          <w:color w:val="1E88C8"/>
          <w:sz w:val="22"/>
          <w:szCs w:val="22"/>
        </w:rPr>
        <w:t xml:space="preserve">10 mars – 17 mars 2026</w:t>
      </w:r>
    </w:p>
    <w:p>
      <w:pPr>
        <w:pStyle w:val="Heading1"/>
        <w:pBdr>
          <w:bottom w:val="single" w:color="1E88C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4427"/>
          <w:sz w:val="28"/>
          <w:szCs w:val="28"/>
        </w:rPr>
        <w:t xml:space="preserve">1.  Rappel du contexte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JAEI (Journal of Agricultural and Environmental Innovation) est une plateforme web de gestion de journal scientifique. Le projet se déroule sur 6 semaines, structurées en 5 phases. La semaine 1 correspond à la Phase 1 : mise en place de l’infrastructure technique et des fonctionnalités d’authentification (connexion et inscription des utilisateurs).</w:t>
      </w:r>
    </w:p>
    <w:p>
      <w:pPr>
        <w:pStyle w:val="Heading1"/>
        <w:pBdr>
          <w:bottom w:val="single" w:color="1E88C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4427"/>
          <w:sz w:val="28"/>
          <w:szCs w:val="28"/>
        </w:rPr>
        <w:t xml:space="preserve">2.  Objectifs de la semaine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objectifs prévus pour la semaine 1 étaient les suivants 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Mettre en place le serveur backend (côté serveur)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Connecter la base de données PostgreSQL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Créer le système d’inscription et de connexion des utilisateurs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Démarrer le frontend (interface utilisateur) avec les pages de connexion et d’inscription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Appliquer un design professionnel inspiré de ScienceDirect</w:t>
      </w:r>
    </w:p>
    <w:p>
      <w:pPr>
        <w:pStyle w:val="Heading1"/>
        <w:pBdr>
          <w:bottom w:val="single" w:color="1E88C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4427"/>
          <w:sz w:val="28"/>
          <w:szCs w:val="28"/>
        </w:rPr>
        <w:t xml:space="preserve">3.  Réalisations de la semaine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65438"/>
          <w:sz w:val="22"/>
          <w:szCs w:val="22"/>
        </w:rPr>
        <w:t xml:space="preserve">Toutes les réalisations prévues ont été complétées.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Voici le détail 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3.1 — Infrastructure serveur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serveur a été configuré avec Node.js et Express (technologies qui font fonctionner le serveur côté machine). La connexion à la base de données PostgreSQL (jaei_db) a été établie et testée avec succès. Le serveur dispose également d’une route de vérification permettant de confirmer qu’il fonctionne correctement.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3.2 — Système d’authentification complet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4 fonctionnalités d’authentification ont été implémentées 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Inscription : création d’un compte avec email, mot de passe (chiffré), rôle, institution, pays et domaine de spécialité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Connexion : vérification des identifiants et délivrance d’un token sécurisé (JWT — une clé temporaire qui prouve l’identité de l’utilisateur, valide 7 jours)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Consultation du profil connecté : l’utilisateur peut récupérer ses informations via son token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Déconnexion : confirmée côté serveur (la suppression du token est gérée côté application)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système de vérification automatique des tokens a également été mis en place pour protéger les pages privées (accessibles uniquement aux utilisateurs connectés).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3.3 — Interface utilisateur : pages d’authentification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deux pages d’interface ont été conçues et finalisées 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 Se connecter » : page de connexion complète avec gestion des erreurs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 Créer un compte » : inscription en 2 étapes 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Étape 1 : informations personnelles (prénom, nom, email, mot de passe)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Étape 2 : profil académique (rôle, institution, pays, spécialité — liste déroulante de 22 domaines)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3.4 — Design inspiré ScienceDirect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deux pages respectent le style visuel demandé par le client, inspiré du site ScienceDirect (Elsevier) 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Barre de navigation en haut (fond vert foncé, bordure bleue)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Carte centrale avec ombre légère et disposition en deux colonnes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Panneau gauche : identité du journal, fonctionnalités clés, informations académiques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Panneau droit : formulaire épuré au style académique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Indicateur de progression visuel pour le formulaire en 2 étapes</w:t>
      </w:r>
    </w:p>
    <w:p>
      <w:pPr>
        <w:pStyle w:val="Heading1"/>
        <w:pBdr>
          <w:bottom w:val="single" w:color="1E88C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4427"/>
          <w:sz w:val="28"/>
          <w:szCs w:val="28"/>
        </w:rPr>
        <w:t xml:space="preserve">4.  Difficultés rencontrées et solutions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4.1 — Changement d’outil base de données : Prisma → pg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Prévu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utilisation de Prisma (outil moderne de gestion de base de données).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Problème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 difficultés d’installation ont occasionné une perte de temps de 2 jours.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remplacement par pg, une librairie plus directe et fiable. Résultat identique pour l’utilisateur final — seule la méthode technique change. Aucun impact sur les fonctionnalités.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4.2 — Changement d’outil de démarrage frontend : Create React App → Vite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Prévu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utilisation de Create React App (outil standard de démarrage React).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Problème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version installée était invalide (version 0.0.0), empêchant le démarrage de l’interface.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migration vers Vite, un outil plus moderne, plus rapide, et parfaitement adapté au projet. Aucun impact sur les fonctionnalités.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4.3 — Erreur lors de l’inscription des premiers comptes de test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 désaccord de format entre le serveur et l’interface (l’un envoyait « first_name », l’autre attendait « firstName »).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harmonisation des deux côtés pour accepter les deux formats. Corrigé rapidement.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4.4 — Boucle de redirection sur connexion échouée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 cas de mauvais mot de passe, l’application redirigait vers la page de connexion au lieu d’afficher le message d’erreur.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correction de la logique de redirection pour ne l’activer que lorsque nécessaire. Corrigé.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65438"/>
          <w:sz w:val="24"/>
          <w:szCs w:val="24"/>
        </w:rPr>
        <w:t xml:space="preserve">4.5 — Serveur qui s’arrêtait après quelques secondes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comportement du terminal de développement (Git Bash) qui interférait avec le processus serveur.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lancement via une commande de redémarrage automatique (nodemon) depuis un terminal compatible. Le serveur reste désormais actif en permanence.</w:t>
      </w:r>
    </w:p>
    <w:p>
      <w:pPr>
        <w:pStyle w:val="Heading1"/>
        <w:pBdr>
          <w:bottom w:val="single" w:color="1E88C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4427"/>
          <w:sz w:val="28"/>
          <w:szCs w:val="28"/>
        </w:rPr>
        <w:t xml:space="preserve">5.  Actions en attente du client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document séparé listant toutes les démarches à effectuer par le client a été préparé et remis (« A Faire Pour JAEI.docx »). Ces actions sont indépendantes du développement mais nécessaires pour la mise en ligne finale.</w:t>
      </w:r>
    </w:p>
    <w:p>
      <w:pPr>
        <w:spacing w:after="80" w:before="0"/>
      </w:pPr>
      <w:r>
        <w:t xml:space="preserve"/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single" w:color="1E88C8" w:sz="12"/>
              <w:bottom w:val="none"/>
              <w:right w:val="none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Démarches attendues du client :</w:t>
            </w:r>
          </w:p>
        </w:tc>
      </w:tr>
      <w:tr>
        <w:tc>
          <w:tcPr>
            <w:tcW w:type="dxa" w:w="9720"/>
            <w:tcBorders>
              <w:top w:val="none"/>
              <w:left w:val="single" w:color="1E88C8" w:sz="12"/>
              <w:bottom w:val="none"/>
              <w:right w:val="none"/>
            </w:tcBorders>
            <w:shd w:fill="EFF6FF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Créer des comptes développeurs pour les API Orange Money et MTN MoMo (paiements mobiles)</w:t>
            </w:r>
          </w:p>
        </w:tc>
      </w:tr>
      <w:tr>
        <w:tc>
          <w:tcPr>
            <w:tcW w:type="dxa" w:w="9720"/>
            <w:tcBorders>
              <w:top w:val="none"/>
              <w:left w:val="single" w:color="1E88C8" w:sz="12"/>
              <w:bottom w:val="none"/>
              <w:right w:val="none"/>
            </w:tcBorders>
            <w:shd w:fill="EFF6FF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Demander le numéro ISSN auprès de la Bibliothèque Nationale du Cameroun</w:t>
            </w:r>
          </w:p>
        </w:tc>
      </w:tr>
      <w:tr>
        <w:tc>
          <w:tcPr>
            <w:tcW w:type="dxa" w:w="9720"/>
            <w:tcBorders>
              <w:top w:val="none"/>
              <w:left w:val="single" w:color="1E88C8" w:sz="12"/>
              <w:bottom w:val="none"/>
              <w:right w:val="none"/>
            </w:tcBorders>
            <w:shd w:fill="EFF6FF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Enregistrer un nom de domaine pour le journal</w:t>
            </w:r>
          </w:p>
        </w:tc>
      </w:tr>
      <w:tr>
        <w:tc>
          <w:tcPr>
            <w:tcW w:type="dxa" w:w="9720"/>
            <w:tcBorders>
              <w:top w:val="none"/>
              <w:left w:val="single" w:color="1E88C8" w:sz="12"/>
              <w:bottom w:val="none"/>
              <w:right w:val="none"/>
            </w:tcBorders>
            <w:shd w:fill="EFF6FF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Choisir un hébergeur pour la mise en ligne de la plateforme</w:t>
            </w:r>
          </w:p>
        </w:tc>
      </w:tr>
      <w:tr>
        <w:tc>
          <w:tcPr>
            <w:tcW w:type="dxa" w:w="9720"/>
            <w:tcBorders>
              <w:top w:val="none"/>
              <w:left w:val="single" w:color="1E88C8" w:sz="12"/>
              <w:bottom w:val="none"/>
              <w:right w:val="none"/>
            </w:tcBorders>
            <w:shd w:fill="EFF6FF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Mettre en place des adresses email professionnelles</w:t>
            </w:r>
          </w:p>
        </w:tc>
      </w:tr>
      <w:tr>
        <w:tc>
          <w:tcPr>
            <w:tcW w:type="dxa" w:w="9720"/>
            <w:tcBorders>
              <w:top w:val="none"/>
              <w:left w:val="single" w:color="1E88C8" w:sz="12"/>
              <w:bottom w:val="none"/>
              <w:right w:val="none"/>
            </w:tcBorders>
            <w:shd w:fill="EFF6FF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Fournir le contenu éditorial : logo, présentation, comité, instructions aux auteurs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E88C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4427"/>
          <w:sz w:val="28"/>
          <w:szCs w:val="28"/>
        </w:rPr>
        <w:t xml:space="preserve">6.  Prévisions pour la semaine 2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travaux de la semaine 2 porteront sur la Phase 2 : tableaux de bord des utilisateurs.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Tableau de bord Auteur : soumission d’articles, suivi du statut, historique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Évaluateur : articles assignés, formulaires d’évaluation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Administrateur : gestion des utilisateurs, des soumissions, vue d’ensemble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Début de la gestion des soumissions d’articles (formulaire de dépôt, statuts)</w:t>
      </w:r>
    </w:p>
    <w:p>
      <w:pPr>
        <w:spacing w:after="160" w:before="0"/>
      </w:pPr>
      <w:r>
        <w:t xml:space="preserve"/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spacing w:after="0"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Document préparé par le développeur  ·  Projet JAEI  ·  Semaine 1  ·  Mars 2026  ·  Page 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42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54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2026-03-16T02:10:10.477Z</dcterms:created>
  <dcterms:modified xsi:type="dcterms:W3CDTF">2026-03-16T02:10:10.484Z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