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200"/>
        <w:jc w:val="center"/>
      </w:pPr>
      <w:r>
        <w:drawing>
          <wp:inline distT="0" distB="0" distL="0" distR="0">
            <wp:extent cx="1885950" cy="1333500"/>
            <wp:effectExtent t="0" r="0" b="0" l="0"/>
            <wp:docPr id="1" name="JAEI" descr="Journal of Agricultural and Environmental Innovation" title="Logo JA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1333500"/>
                    </a:xfrm>
                    <a:prstGeom prst="rect">
                      <a:avLst/>
                    </a:prstGeom>
                  </pic:spPr>
                </pic:pic>
              </a:graphicData>
            </a:graphic>
          </wp:inline>
        </w:drawing>
      </w:r>
    </w:p>
    <w:p>
      <w:pPr>
        <w:spacing w:after="120"/>
        <w:jc w:val="center"/>
      </w:pPr>
      <w:r>
        <w:rPr>
          <w:rFonts w:ascii="Arial" w:cs="Arial" w:eastAsia="Arial" w:hAnsi="Arial"/>
          <w:b/>
          <w:bCs/>
          <w:color w:val="1B4427"/>
          <w:sz w:val="52"/>
          <w:szCs w:val="52"/>
        </w:rPr>
        <w:t xml:space="preserve">DOCUMENTATION TECHNIQUE</w:t>
      </w:r>
    </w:p>
    <w:p>
      <w:pPr>
        <w:pBdr>
          <w:bottom w:val="single" w:color="2E9E68" w:sz="8" w:space="14"/>
        </w:pBdr>
        <w:spacing w:after="80"/>
        <w:jc w:val="center"/>
      </w:pPr>
      <w:r>
        <w:rPr>
          <w:rFonts w:ascii="Arial" w:cs="Arial" w:eastAsia="Arial" w:hAnsi="Arial"/>
          <w:color w:val="2E9E68"/>
          <w:sz w:val="28"/>
          <w:szCs w:val="28"/>
        </w:rPr>
        <w:t xml:space="preserve">Plateforme de publication scientifique JAEI</w:t>
      </w:r>
    </w:p>
    <w:p>
      <w:pPr>
        <w:spacing w:after="900" w:before="200"/>
        <w:jc w:val="center"/>
      </w:pPr>
      <w:r>
        <w:rPr>
          <w:rFonts w:ascii="Arial" w:cs="Arial" w:eastAsia="Arial" w:hAnsi="Arial"/>
          <w:i/>
          <w:iCs/>
          <w:color w:val="4B5563"/>
          <w:sz w:val="21"/>
          <w:szCs w:val="21"/>
        </w:rPr>
        <w:t xml:space="preserve">Journal of Agricultural and Environmental Innovation</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bCs/>
                <w:color w:val="1B4427"/>
                <w:sz w:val="19"/>
                <w:szCs w:val="19"/>
              </w:rPr>
              <w:t xml:space="preserve">Livrable</w:t>
            </w:r>
          </w:p>
        </w:tc>
        <w:tc>
          <w:tcPr>
            <w:tcW w:type="dxa" w:w="4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9"/>
                <w:szCs w:val="19"/>
              </w:rPr>
              <w:t xml:space="preserve">Documentation technique pour la maintenance future</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bCs/>
                <w:color w:val="1B4427"/>
                <w:sz w:val="19"/>
                <w:szCs w:val="19"/>
              </w:rPr>
              <w:t xml:space="preserve">Référence</w:t>
            </w:r>
          </w:p>
        </w:tc>
        <w:tc>
          <w:tcPr>
            <w:tcW w:type="dxa" w:w="4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9"/>
                <w:szCs w:val="19"/>
              </w:rPr>
              <w:t xml:space="preserve">Cahier des charges JAEI — §6 Livrables</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bCs/>
                <w:color w:val="1B4427"/>
                <w:sz w:val="19"/>
                <w:szCs w:val="19"/>
              </w:rPr>
              <w:t xml:space="preserve">Version du document</w:t>
            </w:r>
          </w:p>
        </w:tc>
        <w:tc>
          <w:tcPr>
            <w:tcW w:type="dxa" w:w="4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9"/>
                <w:szCs w:val="19"/>
              </w:rPr>
              <w:t xml:space="preserve">1.5</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bCs/>
                <w:color w:val="1B4427"/>
                <w:sz w:val="19"/>
                <w:szCs w:val="19"/>
              </w:rPr>
              <w:t xml:space="preserve">Version du logiciel</w:t>
            </w:r>
          </w:p>
        </w:tc>
        <w:tc>
          <w:tcPr>
            <w:tcW w:type="dxa" w:w="4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9"/>
                <w:szCs w:val="19"/>
              </w:rPr>
              <w:t xml:space="preserve">main — 487563f</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bCs/>
                <w:color w:val="1B4427"/>
                <w:sz w:val="19"/>
                <w:szCs w:val="19"/>
              </w:rPr>
              <w:t xml:space="preserve">Date</w:t>
            </w:r>
          </w:p>
        </w:tc>
        <w:tc>
          <w:tcPr>
            <w:tcW w:type="dxa" w:w="4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9"/>
                <w:szCs w:val="19"/>
              </w:rPr>
              <w:t xml:space="preserve">29 septembre 2026</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bCs/>
                <w:color w:val="1B4427"/>
                <w:sz w:val="19"/>
                <w:szCs w:val="19"/>
              </w:rPr>
              <w:t xml:space="preserve">Destinataire</w:t>
            </w:r>
          </w:p>
        </w:tc>
        <w:tc>
          <w:tcPr>
            <w:tcW w:type="dxa" w:w="4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9"/>
                <w:szCs w:val="19"/>
              </w:rPr>
              <w:t xml:space="preserve">Journal of Agricultural and Environmental Innovation</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bCs/>
                <w:color w:val="1B4427"/>
                <w:sz w:val="19"/>
                <w:szCs w:val="19"/>
              </w:rPr>
              <w:t xml:space="preserve">Prestataire</w:t>
            </w:r>
          </w:p>
        </w:tc>
        <w:tc>
          <w:tcPr>
            <w:tcW w:type="dxa" w:w="4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9"/>
                <w:szCs w:val="19"/>
              </w:rPr>
              <w:t xml:space="preserve">Ing. ABENG NDO Theï</w:t>
            </w:r>
          </w:p>
        </w:tc>
      </w:tr>
    </w:tbl>
    <w:p>
      <w:pPr>
        <w:sectPr>
          <w:pgSz w:w="11906" w:h="16838" w:orient="portrait"/>
          <w:pgMar w:top="1440" w:right="1440" w:bottom="1440" w:left="1440" w:header="708" w:footer="708" w:gutter="0"/>
          <w:pgNumType/>
          <w:docGrid w:linePitch="360"/>
        </w:sectPr>
      </w:pPr>
    </w:p>
    <w:p>
      <w:pPr>
        <w:pStyle w:val="Heading1"/>
      </w:pPr>
      <w:r>
        <w:t xml:space="preserve">Sommaire</w:t>
      </w:r>
    </w:p>
    <w:p>
      <w:pPr>
        <w:spacing w:after="120"/>
      </w:pPr>
    </w:p>
    <w:p>
      <w:pPr>
        <w:spacing w:after="90"/>
        <w:ind w:left="0"/>
      </w:pPr>
      <w:r>
        <w:rPr>
          <w:rFonts w:ascii="Arial" w:cs="Arial" w:eastAsia="Arial" w:hAnsi="Arial"/>
          <w:b/>
          <w:bCs/>
          <w:color w:val="1B4427"/>
          <w:sz w:val="21"/>
          <w:szCs w:val="21"/>
        </w:rPr>
        <w:t xml:space="preserve">1.   </w:t>
      </w:r>
      <w:r>
        <w:rPr>
          <w:rFonts w:ascii="Arial" w:cs="Arial" w:eastAsia="Arial" w:hAnsi="Arial"/>
          <w:b/>
          <w:bCs/>
          <w:color w:val="1F2937"/>
          <w:sz w:val="21"/>
          <w:szCs w:val="21"/>
        </w:rPr>
        <w:t xml:space="preserve">Objet du document</w:t>
      </w:r>
    </w:p>
    <w:p>
      <w:pPr>
        <w:spacing w:after="90"/>
        <w:ind w:left="0"/>
      </w:pPr>
      <w:r>
        <w:rPr>
          <w:rFonts w:ascii="Arial" w:cs="Arial" w:eastAsia="Arial" w:hAnsi="Arial"/>
          <w:b/>
          <w:bCs/>
          <w:color w:val="1B4427"/>
          <w:sz w:val="21"/>
          <w:szCs w:val="21"/>
        </w:rPr>
        <w:t xml:space="preserve">2.   </w:t>
      </w:r>
      <w:r>
        <w:rPr>
          <w:rFonts w:ascii="Arial" w:cs="Arial" w:eastAsia="Arial" w:hAnsi="Arial"/>
          <w:b/>
          <w:bCs/>
          <w:color w:val="1F2937"/>
          <w:sz w:val="21"/>
          <w:szCs w:val="21"/>
        </w:rPr>
        <w:t xml:space="preserve">Architecture générale</w:t>
      </w:r>
    </w:p>
    <w:p>
      <w:pPr>
        <w:spacing w:after="90"/>
        <w:ind w:left="0"/>
      </w:pPr>
      <w:r>
        <w:rPr>
          <w:rFonts w:ascii="Arial" w:cs="Arial" w:eastAsia="Arial" w:hAnsi="Arial"/>
          <w:b/>
          <w:bCs/>
          <w:color w:val="1B4427"/>
          <w:sz w:val="21"/>
          <w:szCs w:val="21"/>
        </w:rPr>
        <w:t xml:space="preserve">3.   </w:t>
      </w:r>
      <w:r>
        <w:rPr>
          <w:rFonts w:ascii="Arial" w:cs="Arial" w:eastAsia="Arial" w:hAnsi="Arial"/>
          <w:b/>
          <w:bCs/>
          <w:color w:val="1F2937"/>
          <w:sz w:val="21"/>
          <w:szCs w:val="21"/>
        </w:rPr>
        <w:t xml:space="preserve">Composants applicatifs</w:t>
      </w:r>
    </w:p>
    <w:p>
      <w:pPr>
        <w:spacing w:after="90"/>
        <w:ind w:left="0"/>
      </w:pPr>
      <w:r>
        <w:rPr>
          <w:rFonts w:ascii="Arial" w:cs="Arial" w:eastAsia="Arial" w:hAnsi="Arial"/>
          <w:b/>
          <w:bCs/>
          <w:color w:val="1B4427"/>
          <w:sz w:val="21"/>
          <w:szCs w:val="21"/>
        </w:rPr>
        <w:t xml:space="preserve">4.   </w:t>
      </w:r>
      <w:r>
        <w:rPr>
          <w:rFonts w:ascii="Arial" w:cs="Arial" w:eastAsia="Arial" w:hAnsi="Arial"/>
          <w:b/>
          <w:bCs/>
          <w:color w:val="1F2937"/>
          <w:sz w:val="21"/>
          <w:szCs w:val="21"/>
        </w:rPr>
        <w:t xml:space="preserve">Modèle de données</w:t>
      </w:r>
    </w:p>
    <w:p>
      <w:pPr>
        <w:spacing w:after="90"/>
        <w:ind w:left="0"/>
      </w:pPr>
      <w:r>
        <w:rPr>
          <w:rFonts w:ascii="Arial" w:cs="Arial" w:eastAsia="Arial" w:hAnsi="Arial"/>
          <w:b/>
          <w:bCs/>
          <w:color w:val="1B4427"/>
          <w:sz w:val="21"/>
          <w:szCs w:val="21"/>
        </w:rPr>
        <w:t xml:space="preserve">5.   </w:t>
      </w:r>
      <w:r>
        <w:rPr>
          <w:rFonts w:ascii="Arial" w:cs="Arial" w:eastAsia="Arial" w:hAnsi="Arial"/>
          <w:b/>
          <w:bCs/>
          <w:color w:val="1F2937"/>
          <w:sz w:val="21"/>
          <w:szCs w:val="21"/>
        </w:rPr>
        <w:t xml:space="preserve">Workflows métier</w:t>
      </w:r>
    </w:p>
    <w:p>
      <w:pPr>
        <w:spacing w:after="90"/>
        <w:ind w:left="0"/>
      </w:pPr>
      <w:r>
        <w:rPr>
          <w:rFonts w:ascii="Arial" w:cs="Arial" w:eastAsia="Arial" w:hAnsi="Arial"/>
          <w:b/>
          <w:bCs/>
          <w:color w:val="1B4427"/>
          <w:sz w:val="21"/>
          <w:szCs w:val="21"/>
        </w:rPr>
        <w:t xml:space="preserve">6.   </w:t>
      </w:r>
      <w:r>
        <w:rPr>
          <w:rFonts w:ascii="Arial" w:cs="Arial" w:eastAsia="Arial" w:hAnsi="Arial"/>
          <w:b/>
          <w:bCs/>
          <w:color w:val="1F2937"/>
          <w:sz w:val="21"/>
          <w:szCs w:val="21"/>
        </w:rPr>
        <w:t xml:space="preserve">Sécurité</w:t>
      </w:r>
    </w:p>
    <w:p>
      <w:pPr>
        <w:spacing w:after="90"/>
        <w:ind w:left="0"/>
      </w:pPr>
      <w:r>
        <w:rPr>
          <w:rFonts w:ascii="Arial" w:cs="Arial" w:eastAsia="Arial" w:hAnsi="Arial"/>
          <w:b/>
          <w:bCs/>
          <w:color w:val="1B4427"/>
          <w:sz w:val="21"/>
          <w:szCs w:val="21"/>
        </w:rPr>
        <w:t xml:space="preserve">7.   </w:t>
      </w:r>
      <w:r>
        <w:rPr>
          <w:rFonts w:ascii="Arial" w:cs="Arial" w:eastAsia="Arial" w:hAnsi="Arial"/>
          <w:b/>
          <w:bCs/>
          <w:color w:val="1F2937"/>
          <w:sz w:val="21"/>
          <w:szCs w:val="21"/>
        </w:rPr>
        <w:t xml:space="preserve">Interface de programmation (API)</w:t>
      </w:r>
    </w:p>
    <w:p>
      <w:pPr>
        <w:spacing w:after="90"/>
        <w:ind w:left="0"/>
      </w:pPr>
      <w:r>
        <w:rPr>
          <w:rFonts w:ascii="Arial" w:cs="Arial" w:eastAsia="Arial" w:hAnsi="Arial"/>
          <w:b/>
          <w:bCs/>
          <w:color w:val="1B4427"/>
          <w:sz w:val="21"/>
          <w:szCs w:val="21"/>
        </w:rPr>
        <w:t xml:space="preserve">8.   </w:t>
      </w:r>
      <w:r>
        <w:rPr>
          <w:rFonts w:ascii="Arial" w:cs="Arial" w:eastAsia="Arial" w:hAnsi="Arial"/>
          <w:b/>
          <w:bCs/>
          <w:color w:val="1F2937"/>
          <w:sz w:val="21"/>
          <w:szCs w:val="21"/>
        </w:rPr>
        <w:t xml:space="preserve">Hébergement et déploiement</w:t>
      </w:r>
    </w:p>
    <w:p>
      <w:pPr>
        <w:spacing w:after="90"/>
        <w:ind w:left="0"/>
      </w:pPr>
      <w:r>
        <w:rPr>
          <w:rFonts w:ascii="Arial" w:cs="Arial" w:eastAsia="Arial" w:hAnsi="Arial"/>
          <w:b/>
          <w:bCs/>
          <w:color w:val="1B4427"/>
          <w:sz w:val="21"/>
          <w:szCs w:val="21"/>
        </w:rPr>
        <w:t xml:space="preserve">9.   </w:t>
      </w:r>
      <w:r>
        <w:rPr>
          <w:rFonts w:ascii="Arial" w:cs="Arial" w:eastAsia="Arial" w:hAnsi="Arial"/>
          <w:b/>
          <w:bCs/>
          <w:color w:val="1F2937"/>
          <w:sz w:val="21"/>
          <w:szCs w:val="21"/>
        </w:rPr>
        <w:t xml:space="preserve">Sauvegardes et supervision</w:t>
      </w:r>
    </w:p>
    <w:p>
      <w:pPr>
        <w:spacing w:after="90"/>
        <w:ind w:left="0"/>
      </w:pPr>
      <w:r>
        <w:rPr>
          <w:rFonts w:ascii="Arial" w:cs="Arial" w:eastAsia="Arial" w:hAnsi="Arial"/>
          <w:b/>
          <w:bCs/>
          <w:color w:val="1B4427"/>
          <w:sz w:val="21"/>
          <w:szCs w:val="21"/>
        </w:rPr>
        <w:t xml:space="preserve">10.   </w:t>
      </w:r>
      <w:r>
        <w:rPr>
          <w:rFonts w:ascii="Arial" w:cs="Arial" w:eastAsia="Arial" w:hAnsi="Arial"/>
          <w:b/>
          <w:bCs/>
          <w:color w:val="1F2937"/>
          <w:sz w:val="21"/>
          <w:szCs w:val="21"/>
        </w:rPr>
        <w:t xml:space="preserve">Maintenance courante</w:t>
      </w:r>
    </w:p>
    <w:p>
      <w:pPr>
        <w:spacing w:after="90"/>
        <w:ind w:left="0"/>
      </w:pPr>
      <w:r>
        <w:rPr>
          <w:rFonts w:ascii="Arial" w:cs="Arial" w:eastAsia="Arial" w:hAnsi="Arial"/>
          <w:b/>
          <w:bCs/>
          <w:color w:val="1B4427"/>
          <w:sz w:val="21"/>
          <w:szCs w:val="21"/>
        </w:rPr>
        <w:t xml:space="preserve">11.   </w:t>
      </w:r>
      <w:r>
        <w:rPr>
          <w:rFonts w:ascii="Arial" w:cs="Arial" w:eastAsia="Arial" w:hAnsi="Arial"/>
          <w:b/>
          <w:bCs/>
          <w:color w:val="1F2937"/>
          <w:sz w:val="21"/>
          <w:szCs w:val="21"/>
        </w:rPr>
        <w:t xml:space="preserve">Incidents fréquents et résolution</w:t>
      </w:r>
    </w:p>
    <w:p>
      <w:pPr>
        <w:spacing w:after="90"/>
        <w:ind w:left="0"/>
      </w:pPr>
      <w:r>
        <w:rPr>
          <w:rFonts w:ascii="Arial" w:cs="Arial" w:eastAsia="Arial" w:hAnsi="Arial"/>
          <w:b/>
          <w:bCs/>
          <w:color w:val="1B4427"/>
          <w:sz w:val="21"/>
          <w:szCs w:val="21"/>
        </w:rPr>
        <w:t xml:space="preserve">12.   </w:t>
      </w:r>
      <w:r>
        <w:rPr>
          <w:rFonts w:ascii="Arial" w:cs="Arial" w:eastAsia="Arial" w:hAnsi="Arial"/>
          <w:b/>
          <w:bCs/>
          <w:color w:val="1F2937"/>
          <w:sz w:val="21"/>
          <w:szCs w:val="21"/>
        </w:rPr>
        <w:t xml:space="preserve">Reprise du projet — check-list</w:t>
      </w:r>
    </w:p>
    <w:p>
      <w:pPr>
        <w:spacing w:after="90"/>
        <w:ind w:left="0"/>
      </w:pPr>
      <w:r>
        <w:rPr>
          <w:rFonts w:ascii="Arial" w:cs="Arial" w:eastAsia="Arial" w:hAnsi="Arial"/>
          <w:b/>
          <w:bCs/>
          <w:color w:val="1B4427"/>
          <w:sz w:val="21"/>
          <w:szCs w:val="21"/>
        </w:rPr>
        <w:t xml:space="preserve">A.   </w:t>
      </w:r>
      <w:r>
        <w:rPr>
          <w:rFonts w:ascii="Arial" w:cs="Arial" w:eastAsia="Arial" w:hAnsi="Arial"/>
          <w:b/>
          <w:bCs/>
          <w:color w:val="1F2937"/>
          <w:sz w:val="21"/>
          <w:szCs w:val="21"/>
        </w:rPr>
        <w:t xml:space="preserve">Annexe A — Comportement en mode dégradé</w:t>
      </w:r>
    </w:p>
    <w:p>
      <w:pPr>
        <w:spacing w:after="90"/>
        <w:ind w:left="0"/>
      </w:pPr>
      <w:r>
        <w:rPr>
          <w:rFonts w:ascii="Arial" w:cs="Arial" w:eastAsia="Arial" w:hAnsi="Arial"/>
          <w:b/>
          <w:bCs/>
          <w:color w:val="1B4427"/>
          <w:sz w:val="21"/>
          <w:szCs w:val="21"/>
        </w:rPr>
        <w:t xml:space="preserve">B.   </w:t>
      </w:r>
      <w:r>
        <w:rPr>
          <w:rFonts w:ascii="Arial" w:cs="Arial" w:eastAsia="Arial" w:hAnsi="Arial"/>
          <w:b/>
          <w:bCs/>
          <w:color w:val="1F2937"/>
          <w:sz w:val="21"/>
          <w:szCs w:val="21"/>
        </w:rPr>
        <w:t xml:space="preserve">Annexe B — Documents techniques livrés</w:t>
      </w:r>
    </w:p>
    <w:p>
      <w:pPr>
        <w:pStyle w:val="Heading1"/>
        <w:pageBreakBefore/>
      </w:pPr>
      <w:r>
        <w:t xml:space="preserve">1. Objet du document</w:t>
      </w:r>
    </w:p>
    <w:p>
      <w:pPr>
        <w:spacing w:after="130"/>
        <w:jc w:val="both"/>
      </w:pPr>
      <w:r>
        <w:rPr>
          <w:rFonts w:ascii="Arial" w:cs="Arial" w:eastAsia="Arial" w:hAnsi="Arial"/>
          <w:sz w:val="21"/>
          <w:szCs w:val="21"/>
        </w:rPr>
        <w:t xml:space="preserve">Ce document décrit l'architecture technique, le fonctionnement interne et les procédures d'exploitation de la plateforme JAEI. Il s'adresse à la personne ou à l'équipe qui assurera la maintenance et les évolutions futures du système.</w:t>
      </w:r>
    </w:p>
    <w:p>
      <w:pPr>
        <w:spacing w:after="130"/>
        <w:jc w:val="both"/>
      </w:pPr>
      <w:r>
        <w:rPr>
          <w:rFonts w:ascii="Arial" w:cs="Arial" w:eastAsia="Arial" w:hAnsi="Arial"/>
          <w:sz w:val="21"/>
          <w:szCs w:val="21"/>
        </w:rPr>
        <w:t xml:space="preserve">Il ne décrit pas l'usage de la plateforme du point de vue d'un auteur, d'un reviewer ou d'un administrateur : cet aspect relève des guides utilisateurs, livrés séparément.</w:t>
      </w:r>
    </w:p>
    <w:p>
      <w:pPr>
        <w:pStyle w:val="Heading2"/>
      </w:pPr>
      <w:r>
        <w:t xml:space="preserve">Périmètre couvert</w:t>
      </w:r>
    </w:p>
    <w:p>
      <w:pPr>
        <w:pStyle w:val="ListParagraph"/>
        <w:numPr>
          <w:ilvl w:val="0"/>
          <w:numId w:val="2"/>
        </w:numPr>
        <w:spacing w:after="70"/>
      </w:pPr>
      <w:r>
        <w:rPr>
          <w:rFonts w:ascii="Arial" w:cs="Arial" w:eastAsia="Arial" w:hAnsi="Arial"/>
          <w:sz w:val="21"/>
          <w:szCs w:val="21"/>
        </w:rPr>
        <w:t xml:space="preserve">Architecture applicative et choix techniques structurants</w:t>
      </w:r>
    </w:p>
    <w:p>
      <w:pPr>
        <w:pStyle w:val="ListParagraph"/>
        <w:numPr>
          <w:ilvl w:val="0"/>
          <w:numId w:val="2"/>
        </w:numPr>
        <w:spacing w:after="70"/>
      </w:pPr>
      <w:r>
        <w:rPr>
          <w:rFonts w:ascii="Arial" w:cs="Arial" w:eastAsia="Arial" w:hAnsi="Arial"/>
          <w:sz w:val="21"/>
          <w:szCs w:val="21"/>
        </w:rPr>
        <w:t xml:space="preserve">Modèle de données complet et mécanisme de migration</w:t>
      </w:r>
    </w:p>
    <w:p>
      <w:pPr>
        <w:pStyle w:val="ListParagraph"/>
        <w:numPr>
          <w:ilvl w:val="0"/>
          <w:numId w:val="2"/>
        </w:numPr>
        <w:spacing w:after="70"/>
      </w:pPr>
      <w:r>
        <w:rPr>
          <w:rFonts w:ascii="Arial" w:cs="Arial" w:eastAsia="Arial" w:hAnsi="Arial"/>
          <w:sz w:val="21"/>
          <w:szCs w:val="21"/>
        </w:rPr>
        <w:t xml:space="preserve">Workflows métier : soumission, évaluation, décision, publication, paiement</w:t>
      </w:r>
    </w:p>
    <w:p>
      <w:pPr>
        <w:pStyle w:val="ListParagraph"/>
        <w:numPr>
          <w:ilvl w:val="0"/>
          <w:numId w:val="2"/>
        </w:numPr>
        <w:spacing w:after="70"/>
      </w:pPr>
      <w:r>
        <w:rPr>
          <w:rFonts w:ascii="Arial" w:cs="Arial" w:eastAsia="Arial" w:hAnsi="Arial"/>
          <w:sz w:val="21"/>
          <w:szCs w:val="21"/>
        </w:rPr>
        <w:t xml:space="preserve">Dispositifs de sécurité mis en œuvre</w:t>
      </w:r>
    </w:p>
    <w:p>
      <w:pPr>
        <w:pStyle w:val="ListParagraph"/>
        <w:numPr>
          <w:ilvl w:val="0"/>
          <w:numId w:val="2"/>
        </w:numPr>
        <w:spacing w:after="70"/>
      </w:pPr>
      <w:r>
        <w:rPr>
          <w:rFonts w:ascii="Arial" w:cs="Arial" w:eastAsia="Arial" w:hAnsi="Arial"/>
          <w:sz w:val="21"/>
          <w:szCs w:val="21"/>
        </w:rPr>
        <w:t xml:space="preserve">Interface de programmation (API REST)</w:t>
      </w:r>
    </w:p>
    <w:p>
      <w:pPr>
        <w:pStyle w:val="ListParagraph"/>
        <w:numPr>
          <w:ilvl w:val="0"/>
          <w:numId w:val="2"/>
        </w:numPr>
        <w:spacing w:after="70"/>
      </w:pPr>
      <w:r>
        <w:rPr>
          <w:rFonts w:ascii="Arial" w:cs="Arial" w:eastAsia="Arial" w:hAnsi="Arial"/>
          <w:sz w:val="21"/>
          <w:szCs w:val="21"/>
        </w:rPr>
        <w:t xml:space="preserve">Hébergement, déploiement et configuration</w:t>
      </w:r>
    </w:p>
    <w:p>
      <w:pPr>
        <w:pStyle w:val="ListParagraph"/>
        <w:numPr>
          <w:ilvl w:val="0"/>
          <w:numId w:val="2"/>
        </w:numPr>
        <w:spacing w:after="70"/>
      </w:pPr>
      <w:r>
        <w:rPr>
          <w:rFonts w:ascii="Arial" w:cs="Arial" w:eastAsia="Arial" w:hAnsi="Arial"/>
          <w:sz w:val="21"/>
          <w:szCs w:val="21"/>
        </w:rPr>
        <w:t xml:space="preserve">Sauvegardes, supervision, maintenance courante et résolution d'incidents</w:t>
      </w:r>
    </w:p>
    <w:p>
      <w:pPr>
        <w:pBdr>
          <w:left w:val="single" w:color="2E9E68" w:sz="12" w:space="8"/>
        </w:pBdr>
        <w:spacing w:after="180" w:before="100"/>
        <w:ind w:left="260"/>
      </w:pPr>
      <w:r>
        <w:rPr>
          <w:rFonts w:ascii="Arial" w:cs="Arial" w:eastAsia="Arial" w:hAnsi="Arial"/>
          <w:b/>
          <w:bCs/>
          <w:color w:val="1B4427"/>
          <w:sz w:val="19"/>
          <w:szCs w:val="19"/>
        </w:rPr>
        <w:t xml:space="preserve">Note — </w:t>
      </w:r>
      <w:r>
        <w:rPr>
          <w:rFonts w:ascii="Arial" w:cs="Arial" w:eastAsia="Arial" w:hAnsi="Arial"/>
          <w:color w:val="4B5563"/>
          <w:sz w:val="19"/>
          <w:szCs w:val="19"/>
        </w:rPr>
        <w:t xml:space="preserve">Ce document ne contient aucun mot de passe ni clé d'API. Les secrets sont transmis séparément et stockés dans le tableau de bord de l'hébergeur.</w:t>
      </w:r>
    </w:p>
    <w:p>
      <w:pPr>
        <w:pStyle w:val="Heading1"/>
        <w:pageBreakBefore/>
      </w:pPr>
      <w:r>
        <w:t xml:space="preserve">2. Architecture générale</w:t>
      </w:r>
    </w:p>
    <w:p>
      <w:pPr>
        <w:pStyle w:val="Heading2"/>
      </w:pPr>
      <w:r>
        <w:t xml:space="preserve">2.1 Vue d'ensemble</w:t>
      </w:r>
    </w:p>
    <w:p>
      <w:pPr>
        <w:spacing w:after="130"/>
        <w:jc w:val="both"/>
      </w:pPr>
      <w:r>
        <w:rPr>
          <w:rFonts w:ascii="Arial" w:cs="Arial" w:eastAsia="Arial" w:hAnsi="Arial"/>
          <w:sz w:val="21"/>
          <w:szCs w:val="21"/>
        </w:rPr>
        <w:t xml:space="preserve">La plateforme repose sur une architecture trois tiers à couplage faible. Le site public est un ensemble de fichiers statiques, qui consomme une interface de programmation REST, elle-même adossée à une base de données PostgreSQL managée. Les trois composants sont déployés et redémarrés indépendamment les uns des autres.</w:t>
      </w:r>
    </w:p>
    <w:p>
      <w:pPr>
        <w:spacing w:after="40"/>
      </w:pPr>
    </w:p>
    <w:p>
      <w:pPr>
        <w:shd w:fill="F3F6F4" w:val="clear"/>
        <w:spacing w:after="0" w:line="240"/>
        <w:ind w:left="340"/>
      </w:pPr>
      <w:r>
        <w:rPr>
          <w:rFonts w:ascii="Consolas" w:cs="Consolas" w:eastAsia="Consolas" w:hAnsi="Consolas"/>
          <w:color w:val="14361F"/>
          <w:sz w:val="17"/>
          <w:szCs w:val="17"/>
        </w:rPr>
        <w:t xml:space="preserve">            Navigateur du visiteur</w:t>
      </w:r>
    </w:p>
    <w:p>
      <w:pPr>
        <w:shd w:fill="F3F6F4" w:val="clear"/>
        <w:spacing w:after="0" w:line="240"/>
        <w:ind w:left="340"/>
      </w:pPr>
      <w:r>
        <w:rPr>
          <w:rFonts w:ascii="Consolas" w:cs="Consolas" w:eastAsia="Consolas" w:hAnsi="Consolas"/>
          <w:color w:val="14361F"/>
          <w:sz w:val="17"/>
          <w:szCs w:val="17"/>
        </w:rPr>
        <w:t xml:space="preserve">                     |  HTTPS</w:t>
      </w:r>
    </w:p>
    <w:p>
      <w:pPr>
        <w:shd w:fill="F3F6F4" w:val="clear"/>
        <w:spacing w:after="0" w:line="240"/>
        <w:ind w:left="340"/>
      </w:pPr>
      <w:r>
        <w:rPr>
          <w:rFonts w:ascii="Consolas" w:cs="Consolas" w:eastAsia="Consolas" w:hAnsi="Consolas"/>
          <w:color w:val="14361F"/>
          <w:sz w:val="17"/>
          <w:szCs w:val="17"/>
        </w:rPr>
        <w:t xml:space="preserve">                     v</w:t>
      </w:r>
    </w:p>
    <w:p>
      <w:pPr>
        <w:shd w:fill="F3F6F4" w:val="clear"/>
        <w:spacing w:after="0" w:line="240"/>
        <w:ind w:left="340"/>
      </w:pPr>
      <w:r>
        <w:rPr>
          <w:rFonts w:ascii="Consolas" w:cs="Consolas" w:eastAsia="Consolas" w:hAnsi="Consolas"/>
          <w:color w:val="14361F"/>
          <w:sz w:val="17"/>
          <w:szCs w:val="17"/>
        </w:rPr>
        <w:t xml:space="preserve">  +----------------------+        +--------------------------+</w:t>
      </w:r>
    </w:p>
    <w:p>
      <w:pPr>
        <w:shd w:fill="F3F6F4" w:val="clear"/>
        <w:spacing w:after="0" w:line="240"/>
        <w:ind w:left="340"/>
      </w:pPr>
      <w:r>
        <w:rPr>
          <w:rFonts w:ascii="Consolas" w:cs="Consolas" w:eastAsia="Consolas" w:hAnsi="Consolas"/>
          <w:color w:val="14361F"/>
          <w:sz w:val="17"/>
          <w:szCs w:val="17"/>
        </w:rPr>
        <w:t xml:space="preserve">  |  FRONTEND statique   |  HTTPS |  BACKEND Node / Express   |</w:t>
      </w:r>
    </w:p>
    <w:p>
      <w:pPr>
        <w:shd w:fill="F3F6F4" w:val="clear"/>
        <w:spacing w:after="0" w:line="240"/>
        <w:ind w:left="340"/>
      </w:pPr>
      <w:r>
        <w:rPr>
          <w:rFonts w:ascii="Consolas" w:cs="Consolas" w:eastAsia="Consolas" w:hAnsi="Consolas"/>
          <w:color w:val="14361F"/>
          <w:sz w:val="17"/>
          <w:szCs w:val="17"/>
        </w:rPr>
        <w:t xml:space="preserve">  |  React 19 + Vite     | -----&gt; |  jaei-backend            |</w:t>
      </w:r>
    </w:p>
    <w:p>
      <w:pPr>
        <w:shd w:fill="F3F6F4" w:val="clear"/>
        <w:spacing w:after="0" w:line="240"/>
        <w:ind w:left="340"/>
      </w:pPr>
      <w:r>
        <w:rPr>
          <w:rFonts w:ascii="Consolas" w:cs="Consolas" w:eastAsia="Consolas" w:hAnsi="Consolas"/>
          <w:color w:val="14361F"/>
          <w:sz w:val="17"/>
          <w:szCs w:val="17"/>
        </w:rPr>
        <w:t xml:space="preserve">  |  jaei-journal.org    |  /api  |  .onrender.com           |</w:t>
      </w:r>
    </w:p>
    <w:p>
      <w:pPr>
        <w:shd w:fill="F3F6F4" w:val="clear"/>
        <w:spacing w:after="0" w:line="240"/>
        <w:ind w:left="340"/>
      </w:pPr>
      <w:r>
        <w:rPr>
          <w:rFonts w:ascii="Consolas" w:cs="Consolas" w:eastAsia="Consolas" w:hAnsi="Consolas"/>
          <w:color w:val="14361F"/>
          <w:sz w:val="17"/>
          <w:szCs w:val="17"/>
        </w:rPr>
        <w:t xml:space="preserve">  +----------------------+        +------------+-------------+</w:t>
      </w:r>
    </w:p>
    <w:p>
      <w:pPr>
        <w:shd w:fill="F3F6F4" w:val="clear"/>
        <w:spacing w:after="0" w:line="240"/>
        <w:ind w:left="340"/>
      </w:pPr>
      <w:r>
        <w:rPr>
          <w:rFonts w:ascii="Consolas" w:cs="Consolas" w:eastAsia="Consolas" w:hAnsi="Consolas"/>
          <w:color w:val="14361F"/>
          <w:sz w:val="17"/>
          <w:szCs w:val="17"/>
        </w:rPr>
        <w:t xml:space="preserve">                                               |</w:t>
      </w:r>
    </w:p>
    <w:p>
      <w:pPr>
        <w:shd w:fill="F3F6F4" w:val="clear"/>
        <w:spacing w:after="0" w:line="240"/>
        <w:ind w:left="340"/>
      </w:pPr>
      <w:r>
        <w:rPr>
          <w:rFonts w:ascii="Consolas" w:cs="Consolas" w:eastAsia="Consolas" w:hAnsi="Consolas"/>
          <w:color w:val="14361F"/>
          <w:sz w:val="17"/>
          <w:szCs w:val="17"/>
        </w:rPr>
        <w:t xml:space="preserve">                 +-----------------+-----------+-----------+</w:t>
      </w:r>
    </w:p>
    <w:p>
      <w:pPr>
        <w:shd w:fill="F3F6F4" w:val="clear"/>
        <w:spacing w:after="0" w:line="240"/>
        <w:ind w:left="340"/>
      </w:pPr>
      <w:r>
        <w:rPr>
          <w:rFonts w:ascii="Consolas" w:cs="Consolas" w:eastAsia="Consolas" w:hAnsi="Consolas"/>
          <w:color w:val="14361F"/>
          <w:sz w:val="17"/>
          <w:szCs w:val="17"/>
        </w:rPr>
        <w:t xml:space="preserve">                 v                 v                       v</w:t>
      </w:r>
    </w:p>
    <w:p>
      <w:pPr>
        <w:shd w:fill="F3F6F4" w:val="clear"/>
        <w:spacing w:after="0" w:line="240"/>
        <w:ind w:left="340"/>
      </w:pPr>
      <w:r>
        <w:rPr>
          <w:rFonts w:ascii="Consolas" w:cs="Consolas" w:eastAsia="Consolas" w:hAnsi="Consolas"/>
          <w:color w:val="14361F"/>
          <w:sz w:val="17"/>
          <w:szCs w:val="17"/>
        </w:rPr>
        <w:t xml:space="preserve">        +----------------+  +--------------+   +---------------------+</w:t>
      </w:r>
    </w:p>
    <w:p>
      <w:pPr>
        <w:shd w:fill="F3F6F4" w:val="clear"/>
        <w:spacing w:after="0" w:line="240"/>
        <w:ind w:left="340"/>
      </w:pPr>
      <w:r>
        <w:rPr>
          <w:rFonts w:ascii="Consolas" w:cs="Consolas" w:eastAsia="Consolas" w:hAnsi="Consolas"/>
          <w:color w:val="14361F"/>
          <w:sz w:val="17"/>
          <w:szCs w:val="17"/>
        </w:rPr>
        <w:t xml:space="preserve">        | Neon           |  | Cloudinary   |   | Services tiers      |</w:t>
      </w:r>
    </w:p>
    <w:p>
      <w:pPr>
        <w:shd w:fill="F3F6F4" w:val="clear"/>
        <w:spacing w:after="0" w:line="240"/>
        <w:ind w:left="340"/>
      </w:pPr>
      <w:r>
        <w:rPr>
          <w:rFonts w:ascii="Consolas" w:cs="Consolas" w:eastAsia="Consolas" w:hAnsi="Consolas"/>
          <w:color w:val="14361F"/>
          <w:sz w:val="17"/>
          <w:szCs w:val="17"/>
        </w:rPr>
        <w:t xml:space="preserve">        | PostgreSQL     |  | (fichiers)   |   | Resend   (emails)   |</w:t>
      </w:r>
    </w:p>
    <w:p>
      <w:pPr>
        <w:shd w:fill="F3F6F4" w:val="clear"/>
        <w:spacing w:after="0" w:line="240"/>
        <w:ind w:left="340"/>
      </w:pPr>
      <w:r>
        <w:rPr>
          <w:rFonts w:ascii="Consolas" w:cs="Consolas" w:eastAsia="Consolas" w:hAnsi="Consolas"/>
          <w:color w:val="14361F"/>
          <w:sz w:val="17"/>
          <w:szCs w:val="17"/>
        </w:rPr>
        <w:t xml:space="preserve">        | Frankfurt      |  |              |   | Gemini   (IA)       |</w:t>
      </w:r>
    </w:p>
    <w:p>
      <w:pPr>
        <w:shd w:fill="F3F6F4" w:val="clear"/>
        <w:spacing w:after="0" w:line="240"/>
        <w:ind w:left="340"/>
      </w:pPr>
      <w:r>
        <w:rPr>
          <w:rFonts w:ascii="Consolas" w:cs="Consolas" w:eastAsia="Consolas" w:hAnsi="Consolas"/>
          <w:color w:val="14361F"/>
          <w:sz w:val="17"/>
          <w:szCs w:val="17"/>
        </w:rPr>
        <w:t xml:space="preserve">        +----------------+  +--------------+   | CinetPay (paiement) |</w:t>
      </w:r>
    </w:p>
    <w:p>
      <w:pPr>
        <w:shd w:fill="F3F6F4" w:val="clear"/>
        <w:spacing w:after="0" w:line="240"/>
        <w:ind w:left="340"/>
      </w:pPr>
      <w:r>
        <w:rPr>
          <w:rFonts w:ascii="Consolas" w:cs="Consolas" w:eastAsia="Consolas" w:hAnsi="Consolas"/>
          <w:color w:val="14361F"/>
          <w:sz w:val="17"/>
          <w:szCs w:val="17"/>
        </w:rPr>
        <w:t xml:space="preserve">                                               +---------------------+</w:t>
      </w:r>
    </w:p>
    <w:p>
      <w:pPr>
        <w:spacing w:after="130"/>
      </w:pPr>
    </w:p>
    <w:p>
      <w:pPr>
        <w:pStyle w:val="Heading2"/>
      </w:pPr>
      <w:r>
        <w:t xml:space="preserve">2.2 Principes structurants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Choix technique</w:t>
            </w:r>
          </w:p>
        </w:tc>
        <w:tc>
          <w:tcPr>
            <w:tcW w:type="dxa" w:w="64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Motif</w:t>
            </w:r>
          </w:p>
        </w:tc>
      </w:tr>
      <w:tr>
        <w:tc>
          <w:tcPr>
            <w:tcW w:type="dxa" w:w="2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Pas d'ORM — client PostgreSQL direct</w:t>
            </w:r>
          </w:p>
        </w:tc>
        <w:tc>
          <w:tcPr>
            <w:tcW w:type="dxa" w:w="6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Requêtes SQL explicites, lisibles et auditables ; aucune couche d'abstraction supplémentaire à maintenir</w:t>
            </w:r>
          </w:p>
        </w:tc>
      </w:tr>
      <w:tr>
        <w:tc>
          <w:tcPr>
            <w:tcW w:type="dxa" w:w="26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Migrations exécutées au démarrage</w:t>
            </w:r>
          </w:p>
        </w:tc>
        <w:tc>
          <w:tcPr>
            <w:tcW w:type="dxa" w:w="6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 schéma se répare seul à chaque déploiement, sans commande manuelle ni outil externe</w:t>
            </w:r>
          </w:p>
        </w:tc>
      </w:tr>
      <w:tr>
        <w:tc>
          <w:tcPr>
            <w:tcW w:type="dxa" w:w="2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Frontend entièrement statique</w:t>
            </w:r>
          </w:p>
        </w:tc>
        <w:tc>
          <w:tcPr>
            <w:tcW w:type="dxa" w:w="6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Aucun serveur de rendu à maintenir, coût d'hébergement nul, diffusion par réseau de contenu</w:t>
            </w:r>
          </w:p>
        </w:tc>
      </w:tr>
      <w:tr>
        <w:tc>
          <w:tcPr>
            <w:tcW w:type="dxa" w:w="26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Jetons JWT sans session serveur</w:t>
            </w:r>
          </w:p>
        </w:tc>
        <w:tc>
          <w:tcPr>
            <w:tcW w:type="dxa" w:w="6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 backend reste sans état : il peut redémarrer sans déconnecter les utilisateurs</w:t>
            </w:r>
          </w:p>
        </w:tc>
      </w:tr>
      <w:tr>
        <w:tc>
          <w:tcPr>
            <w:tcW w:type="dxa" w:w="2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Dégradation contrôlée</w:t>
            </w:r>
          </w:p>
        </w:tc>
        <w:tc>
          <w:tcPr>
            <w:tcW w:type="dxa" w:w="6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L'absence d'un service externe désactive proprement la fonctionnalité concernée au lieu de faire tomber l'application</w:t>
            </w:r>
          </w:p>
        </w:tc>
      </w:tr>
    </w:tbl>
    <w:p>
      <w:pPr>
        <w:spacing w:after="200"/>
      </w:pPr>
    </w:p>
    <w:p>
      <w:pPr>
        <w:pStyle w:val="Heading2"/>
      </w:pPr>
      <w:r>
        <w:t xml:space="preserve">2.3 Environnement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326"/>
      </w:tblGrid>
      <w:tr>
        <w:trPr>
          <w:tblHeader/>
        </w:trPr>
        <w:tc>
          <w:tcPr>
            <w:tcW w:type="dxa" w:w="23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Couche</w:t>
            </w:r>
          </w:p>
        </w:tc>
        <w:tc>
          <w:tcPr>
            <w:tcW w:type="dxa" w:w="44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Technologie</w:t>
            </w:r>
          </w:p>
        </w:tc>
        <w:tc>
          <w:tcPr>
            <w:tcW w:type="dxa" w:w="23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Version</w:t>
            </w:r>
          </w:p>
        </w:tc>
      </w:tr>
      <w:tr>
        <w:tc>
          <w:tcPr>
            <w:tcW w:type="dxa" w:w="23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Interface utilisateur</w:t>
            </w:r>
          </w:p>
        </w:tc>
        <w:tc>
          <w:tcPr>
            <w:tcW w:type="dxa" w:w="4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React, React Router, Tailwind CSS, build Vite</w:t>
            </w:r>
          </w:p>
        </w:tc>
        <w:tc>
          <w:tcPr>
            <w:tcW w:type="dxa" w:w="2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React 19 / Vite 5</w:t>
            </w:r>
          </w:p>
        </w:tc>
      </w:tr>
      <w:tr>
        <w:tc>
          <w:tcPr>
            <w:tcW w:type="dxa" w:w="23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Serveur applicatif</w:t>
            </w:r>
          </w:p>
        </w:tc>
        <w:tc>
          <w:tcPr>
            <w:tcW w:type="dxa" w:w="4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Node.js + Express</w:t>
            </w:r>
          </w:p>
        </w:tc>
        <w:tc>
          <w:tcPr>
            <w:tcW w:type="dxa" w:w="2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Express 5</w:t>
            </w:r>
          </w:p>
        </w:tc>
      </w:tr>
      <w:tr>
        <w:tc>
          <w:tcPr>
            <w:tcW w:type="dxa" w:w="23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Base de données</w:t>
            </w:r>
          </w:p>
        </w:tc>
        <w:tc>
          <w:tcPr>
            <w:tcW w:type="dxa" w:w="4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PostgreSQL, client pg sans ORM</w:t>
            </w:r>
          </w:p>
        </w:tc>
        <w:tc>
          <w:tcPr>
            <w:tcW w:type="dxa" w:w="2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pg 8</w:t>
            </w:r>
          </w:p>
        </w:tc>
      </w:tr>
      <w:tr>
        <w:tc>
          <w:tcPr>
            <w:tcW w:type="dxa" w:w="23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Authentification</w:t>
            </w:r>
          </w:p>
        </w:tc>
        <w:tc>
          <w:tcPr>
            <w:tcW w:type="dxa" w:w="4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JWT + Bcrypt (coût 12)</w:t>
            </w:r>
          </w:p>
        </w:tc>
        <w:tc>
          <w:tcPr>
            <w:tcW w:type="dxa" w:w="2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jsonwebtoken 9</w:t>
            </w:r>
          </w:p>
        </w:tc>
      </w:tr>
      <w:tr>
        <w:tc>
          <w:tcPr>
            <w:tcW w:type="dxa" w:w="23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Stockage des fichiers</w:t>
            </w:r>
          </w:p>
        </w:tc>
        <w:tc>
          <w:tcPr>
            <w:tcW w:type="dxa" w:w="4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Cloudinary, repli disque local</w:t>
            </w:r>
          </w:p>
        </w:tc>
        <w:tc>
          <w:tcPr>
            <w:tcW w:type="dxa" w:w="2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cloudinary 2</w:t>
            </w:r>
          </w:p>
        </w:tc>
      </w:tr>
      <w:tr>
        <w:tc>
          <w:tcPr>
            <w:tcW w:type="dxa" w:w="23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Envoi des emails</w:t>
            </w:r>
          </w:p>
        </w:tc>
        <w:tc>
          <w:tcPr>
            <w:tcW w:type="dxa" w:w="4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Resend (API HTTPS), SMTP en local</w:t>
            </w:r>
          </w:p>
        </w:tc>
        <w:tc>
          <w:tcPr>
            <w:tcW w:type="dxa" w:w="2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nodemailer 8</w:t>
            </w:r>
          </w:p>
        </w:tc>
      </w:tr>
      <w:tr>
        <w:tc>
          <w:tcPr>
            <w:tcW w:type="dxa" w:w="23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Paiement en ligne</w:t>
            </w:r>
          </w:p>
        </w:tc>
        <w:tc>
          <w:tcPr>
            <w:tcW w:type="dxa" w:w="4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CinetPay (Mobile Money et carte)</w:t>
            </w:r>
          </w:p>
        </w:tc>
        <w:tc>
          <w:tcPr>
            <w:tcW w:type="dxa" w:w="2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w:t>
            </w:r>
          </w:p>
        </w:tc>
      </w:tr>
      <w:tr>
        <w:tc>
          <w:tcPr>
            <w:tcW w:type="dxa" w:w="23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Intelligence artificielle</w:t>
            </w:r>
          </w:p>
        </w:tc>
        <w:tc>
          <w:tcPr>
            <w:tcW w:type="dxa" w:w="4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Google Gemini</w:t>
            </w:r>
          </w:p>
        </w:tc>
        <w:tc>
          <w:tcPr>
            <w:tcW w:type="dxa" w:w="2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gemini-2.5-flash</w:t>
            </w:r>
          </w:p>
        </w:tc>
      </w:tr>
      <w:tr>
        <w:tc>
          <w:tcPr>
            <w:tcW w:type="dxa" w:w="23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Hébergement</w:t>
            </w:r>
          </w:p>
        </w:tc>
        <w:tc>
          <w:tcPr>
            <w:tcW w:type="dxa" w:w="4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Render — service web + site statique</w:t>
            </w:r>
          </w:p>
        </w:tc>
        <w:tc>
          <w:tcPr>
            <w:tcW w:type="dxa" w:w="2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plan gratuit</w:t>
            </w:r>
          </w:p>
        </w:tc>
      </w:tr>
      <w:tr>
        <w:tc>
          <w:tcPr>
            <w:tcW w:type="dxa" w:w="23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Base hébergée</w:t>
            </w:r>
          </w:p>
        </w:tc>
        <w:tc>
          <w:tcPr>
            <w:tcW w:type="dxa" w:w="4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Neon PostgreSQL</w:t>
            </w:r>
          </w:p>
        </w:tc>
        <w:tc>
          <w:tcPr>
            <w:tcW w:type="dxa" w:w="2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région Frankfurt</w:t>
            </w:r>
          </w:p>
        </w:tc>
      </w:tr>
    </w:tbl>
    <w:p>
      <w:pPr>
        <w:pStyle w:val="Heading1"/>
        <w:pageBreakBefore/>
      </w:pPr>
      <w:r>
        <w:t xml:space="preserve">3. Composants applicatifs</w:t>
      </w:r>
    </w:p>
    <w:p>
      <w:pPr>
        <w:pStyle w:val="Heading2"/>
      </w:pPr>
      <w:r>
        <w:t xml:space="preserve">3.1 Backend</w:t>
      </w:r>
    </w:p>
    <w:p>
      <w:pPr>
        <w:spacing w:after="130"/>
        <w:jc w:val="both"/>
      </w:pPr>
      <w:r>
        <w:rPr>
          <w:rFonts w:ascii="Arial" w:cs="Arial" w:eastAsia="Arial" w:hAnsi="Arial"/>
          <w:sz w:val="21"/>
          <w:szCs w:val="21"/>
        </w:rPr>
        <w:t xml:space="preserve">Le serveur Express applique, dans l'ordre, la chaîne de traitement suivante à chaque requête entrante :</w:t>
      </w:r>
    </w:p>
    <w:p>
      <w:pPr>
        <w:pStyle w:val="ListParagraph"/>
        <w:numPr>
          <w:ilvl w:val="0"/>
          <w:numId w:val="3"/>
        </w:numPr>
        <w:spacing w:after="70"/>
      </w:pPr>
      <w:r>
        <w:rPr>
          <w:rFonts w:ascii="Arial" w:cs="Arial" w:eastAsia="Arial" w:hAnsi="Arial"/>
          <w:sz w:val="21"/>
          <w:szCs w:val="21"/>
        </w:rPr>
        <w:t xml:space="preserve">Résolution DNS forcée en IPv4 : l'hébergeur ne route pas l'IPv6 sortant, ce qui faisait échouer les appels aux services tiers.</w:t>
      </w:r>
    </w:p>
    <w:p>
      <w:pPr>
        <w:pStyle w:val="ListParagraph"/>
        <w:numPr>
          <w:ilvl w:val="0"/>
          <w:numId w:val="3"/>
        </w:numPr>
        <w:spacing w:after="70"/>
      </w:pPr>
      <w:r>
        <w:rPr>
          <w:rFonts w:ascii="Arial" w:cs="Arial" w:eastAsia="Arial" w:hAnsi="Arial"/>
          <w:sz w:val="21"/>
          <w:szCs w:val="21"/>
        </w:rPr>
        <w:t xml:space="preserve">Confiance au proxy inverse. Sans ce réglage, toutes les requêtes semblent provenir de la même adresse et les limiteurs de débit bloquent l'ensemble des utilisateurs simultanément.</w:t>
      </w:r>
    </w:p>
    <w:p>
      <w:pPr>
        <w:pStyle w:val="ListParagraph"/>
        <w:numPr>
          <w:ilvl w:val="0"/>
          <w:numId w:val="3"/>
        </w:numPr>
        <w:spacing w:after="70"/>
      </w:pPr>
      <w:r>
        <w:rPr>
          <w:rFonts w:ascii="Arial" w:cs="Arial" w:eastAsia="Arial" w:hAnsi="Arial"/>
          <w:sz w:val="21"/>
          <w:szCs w:val="21"/>
        </w:rPr>
        <w:t xml:space="preserve">En-têtes de sécurité HTTP (protection contre le détournement de cadre et l'interprétation abusive des types de contenu).</w:t>
      </w:r>
    </w:p>
    <w:p>
      <w:pPr>
        <w:pStyle w:val="ListParagraph"/>
        <w:numPr>
          <w:ilvl w:val="0"/>
          <w:numId w:val="3"/>
        </w:numPr>
        <w:spacing w:after="70"/>
      </w:pPr>
      <w:r>
        <w:rPr>
          <w:rFonts w:ascii="Arial" w:cs="Arial" w:eastAsia="Arial" w:hAnsi="Arial"/>
          <w:sz w:val="21"/>
          <w:szCs w:val="21"/>
        </w:rPr>
        <w:t xml:space="preserve">Filtrage des origines autorisées (CORS) sur liste blanche stricte.</w:t>
      </w:r>
    </w:p>
    <w:p>
      <w:pPr>
        <w:pStyle w:val="ListParagraph"/>
        <w:numPr>
          <w:ilvl w:val="0"/>
          <w:numId w:val="3"/>
        </w:numPr>
        <w:spacing w:after="70"/>
      </w:pPr>
      <w:r>
        <w:rPr>
          <w:rFonts w:ascii="Arial" w:cs="Arial" w:eastAsia="Arial" w:hAnsi="Arial"/>
          <w:sz w:val="21"/>
          <w:szCs w:val="21"/>
        </w:rPr>
        <w:t xml:space="preserve">Service des fichiers : avatars en accès public, manuscrits sous contrôle d'accès.</w:t>
      </w:r>
    </w:p>
    <w:p>
      <w:pPr>
        <w:pStyle w:val="ListParagraph"/>
        <w:numPr>
          <w:ilvl w:val="0"/>
          <w:numId w:val="3"/>
        </w:numPr>
        <w:spacing w:after="70"/>
      </w:pPr>
      <w:r>
        <w:rPr>
          <w:rFonts w:ascii="Arial" w:cs="Arial" w:eastAsia="Arial" w:hAnsi="Arial"/>
          <w:sz w:val="21"/>
          <w:szCs w:val="21"/>
        </w:rPr>
        <w:t xml:space="preserve">Analyse du corps de requête JSON, puis routage vers les modules fonctionnels.</w:t>
      </w:r>
    </w:p>
    <w:p>
      <w:pPr>
        <w:pStyle w:val="ListParagraph"/>
        <w:numPr>
          <w:ilvl w:val="0"/>
          <w:numId w:val="3"/>
        </w:numPr>
        <w:spacing w:after="70"/>
      </w:pPr>
      <w:r>
        <w:rPr>
          <w:rFonts w:ascii="Arial" w:cs="Arial" w:eastAsia="Arial" w:hAnsi="Arial"/>
          <w:sz w:val="21"/>
          <w:szCs w:val="21"/>
        </w:rPr>
        <w:t xml:space="preserve">Gestionnaire d'erreurs global : en production, aucun détail technique interne n'est renvoyé au client.</w:t>
      </w:r>
    </w:p>
    <w:p>
      <w:pPr>
        <w:spacing w:after="140"/>
      </w:pPr>
    </w:p>
    <w:p>
      <w:pPr>
        <w:spacing w:after="130"/>
        <w:jc w:val="both"/>
      </w:pPr>
      <w:r>
        <w:rPr>
          <w:rFonts w:ascii="Arial" w:cs="Arial" w:eastAsia="Arial" w:hAnsi="Arial"/>
          <w:sz w:val="21"/>
          <w:szCs w:val="21"/>
        </w:rPr>
        <w:t xml:space="preserve">Le code serveur est organisé en dix modules de routage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Préfixe</w:t>
            </w:r>
          </w:p>
        </w:tc>
        <w:tc>
          <w:tcPr>
            <w:tcW w:type="dxa" w:w="68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Responsabilité</w:t>
            </w:r>
          </w:p>
        </w:tc>
      </w:tr>
      <w:tr>
        <w:tc>
          <w:tcPr>
            <w:tcW w:type="dxa" w:w="2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/api/auth</w:t>
            </w:r>
          </w:p>
        </w:tc>
        <w:tc>
          <w:tcPr>
            <w:tcW w:type="dxa" w:w="68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Inscription, vérification de l'adresse email, connexion, mot de passe oublié, profil, avatar</w:t>
            </w:r>
          </w:p>
        </w:tc>
      </w:tr>
      <w:tr>
        <w:tc>
          <w:tcPr>
            <w:tcW w:type="dxa" w:w="2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/api/submissions</w:t>
            </w:r>
          </w:p>
        </w:tc>
        <w:tc>
          <w:tcPr>
            <w:tcW w:type="dxa" w:w="68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Cycle de vie des soumissions, fichiers joints, statuts, frais de publication, retrait</w:t>
            </w:r>
          </w:p>
        </w:tc>
      </w:tr>
      <w:tr>
        <w:tc>
          <w:tcPr>
            <w:tcW w:type="dxa" w:w="2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/api/reviews</w:t>
            </w:r>
          </w:p>
        </w:tc>
        <w:tc>
          <w:tcPr>
            <w:tcW w:type="dxa" w:w="68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Assignation des éditeurs et des reviewers, invitations externes, dépôt des évaluations</w:t>
            </w:r>
          </w:p>
        </w:tc>
      </w:tr>
      <w:tr>
        <w:tc>
          <w:tcPr>
            <w:tcW w:type="dxa" w:w="2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/api/articles</w:t>
            </w:r>
          </w:p>
        </w:tc>
        <w:tc>
          <w:tcPr>
            <w:tcW w:type="dxa" w:w="68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Catalogue public, détail d'un article, compteurs, notation</w:t>
            </w:r>
          </w:p>
        </w:tc>
      </w:tr>
      <w:tr>
        <w:tc>
          <w:tcPr>
            <w:tcW w:type="dxa" w:w="2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/api/users</w:t>
            </w:r>
          </w:p>
        </w:tc>
        <w:tc>
          <w:tcPr>
            <w:tcW w:type="dxa" w:w="68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Administration des comptes</w:t>
            </w:r>
          </w:p>
        </w:tc>
      </w:tr>
      <w:tr>
        <w:tc>
          <w:tcPr>
            <w:tcW w:type="dxa" w:w="2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/api/editorial-board</w:t>
            </w:r>
          </w:p>
        </w:tc>
        <w:tc>
          <w:tcPr>
            <w:tcW w:type="dxa" w:w="68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Comité éditorial : lecture publique, écriture réservée à l'administration</w:t>
            </w:r>
          </w:p>
        </w:tc>
      </w:tr>
      <w:tr>
        <w:tc>
          <w:tcPr>
            <w:tcW w:type="dxa" w:w="2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/api/payments</w:t>
            </w:r>
          </w:p>
        </w:tc>
        <w:tc>
          <w:tcPr>
            <w:tcW w:type="dxa" w:w="68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CinetPay : initiation, notification serveur à serveur, vérification, historique</w:t>
            </w:r>
          </w:p>
        </w:tc>
      </w:tr>
      <w:tr>
        <w:tc>
          <w:tcPr>
            <w:tcW w:type="dxa" w:w="2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/api/ai</w:t>
            </w:r>
          </w:p>
        </w:tc>
        <w:tc>
          <w:tcPr>
            <w:tcW w:type="dxa" w:w="68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Assistance Gemini : mots-clés, résumé, pertinence, extraction de métadonnées</w:t>
            </w:r>
          </w:p>
        </w:tc>
      </w:tr>
      <w:tr>
        <w:tc>
          <w:tcPr>
            <w:tcW w:type="dxa" w:w="2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/api/notifications</w:t>
            </w:r>
          </w:p>
        </w:tc>
        <w:tc>
          <w:tcPr>
            <w:tcW w:type="dxa" w:w="68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Cloche de notifications au sein de l'application</w:t>
            </w:r>
          </w:p>
        </w:tc>
      </w:tr>
      <w:tr>
        <w:tc>
          <w:tcPr>
            <w:tcW w:type="dxa" w:w="2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/api/admin</w:t>
            </w:r>
          </w:p>
        </w:tc>
        <w:tc>
          <w:tcPr>
            <w:tcW w:type="dxa" w:w="68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Diagnostic du schéma, migration et audit des domaines scientifiques</w:t>
            </w:r>
          </w:p>
        </w:tc>
      </w:tr>
    </w:tbl>
    <w:p>
      <w:pPr>
        <w:spacing w:after="200"/>
      </w:pPr>
    </w:p>
    <w:p>
      <w:pPr>
        <w:spacing w:after="130"/>
        <w:jc w:val="both"/>
      </w:pPr>
      <w:r>
        <w:rPr>
          <w:rFonts w:ascii="Arial" w:cs="Arial" w:eastAsia="Arial" w:hAnsi="Arial"/>
          <w:sz w:val="21"/>
          <w:szCs w:val="21"/>
        </w:rPr>
        <w:t xml:space="preserve">Quatre services transverses complètent ces modules : l'envoi des emails (vingt-deux modèles), l'assistance par intelligence artificielle, le stockage des fichiers et la génération des notifications.</w:t>
      </w:r>
    </w:p>
    <w:p>
      <w:pPr>
        <w:pBdr>
          <w:left w:val="single" w:color="2E9E68" w:sz="12" w:space="8"/>
        </w:pBdr>
        <w:spacing w:after="180" w:before="100"/>
        <w:ind w:left="260"/>
      </w:pPr>
      <w:r>
        <w:rPr>
          <w:rFonts w:ascii="Arial" w:cs="Arial" w:eastAsia="Arial" w:hAnsi="Arial"/>
          <w:b/>
          <w:bCs/>
          <w:color w:val="1B4427"/>
          <w:sz w:val="19"/>
          <w:szCs w:val="19"/>
        </w:rPr>
        <w:t xml:space="preserve">Note — </w:t>
      </w:r>
      <w:r>
        <w:rPr>
          <w:rFonts w:ascii="Arial" w:cs="Arial" w:eastAsia="Arial" w:hAnsi="Arial"/>
          <w:color w:val="4B5563"/>
          <w:sz w:val="19"/>
          <w:szCs w:val="19"/>
        </w:rPr>
        <w:t xml:space="preserve">Les envois d'emails passent par une interface HTTPS et non par SMTP : l'hébergeur bloque les ports SMTP sortants sur son plan gratuit. Le chemin SMTP est conservé dans le code pour le développement local.</w:t>
      </w:r>
    </w:p>
    <w:p>
      <w:pPr>
        <w:pStyle w:val="Heading2"/>
      </w:pPr>
      <w:r>
        <w:t xml:space="preserve">3.2 Frontend</w:t>
      </w:r>
    </w:p>
    <w:p>
      <w:pPr>
        <w:spacing w:after="130"/>
        <w:jc w:val="both"/>
      </w:pPr>
      <w:r>
        <w:rPr>
          <w:rFonts w:ascii="Arial" w:cs="Arial" w:eastAsia="Arial" w:hAnsi="Arial"/>
          <w:sz w:val="21"/>
          <w:szCs w:val="21"/>
        </w:rPr>
        <w:t xml:space="preserve">Application React à page unique, compilée par Vite. Elle compte trente-deux pages réparties en six espaces : public, authentification, auteur, reviewer, administration, et pages partagées.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Espace</w:t>
            </w:r>
          </w:p>
        </w:tc>
        <w:tc>
          <w:tcPr>
            <w:tcW w:type="dxa" w:w="66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Contenu</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Public (12 pages)</w:t>
            </w:r>
          </w:p>
        </w:tc>
        <w:tc>
          <w:tcPr>
            <w:tcW w:type="dxa" w:w="66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Accueil, catalogue, détail d'article, à propos, guides de soumission, mentions légales</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Authentification (6)</w:t>
            </w:r>
          </w:p>
        </w:tc>
        <w:tc>
          <w:tcPr>
            <w:tcW w:type="dxa" w:w="66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Connexion, inscription, vérification d'adresse, mot de passe oublié et réinitialisation</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Auteur (5)</w:t>
            </w:r>
          </w:p>
        </w:tc>
        <w:tc>
          <w:tcPr>
            <w:tcW w:type="dxa" w:w="66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Tableau de bord, portail de soumission, formulaire, paiement et retour de paiement</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Reviewer (3)</w:t>
            </w:r>
          </w:p>
        </w:tc>
        <w:tc>
          <w:tcPr>
            <w:tcW w:type="dxa" w:w="66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Tableau de bord, liste des assignations, formulaire d'évaluation</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Administration (5)</w:t>
            </w:r>
          </w:p>
        </w:tc>
        <w:tc>
          <w:tcPr>
            <w:tcW w:type="dxa" w:w="66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Tableau de bord, soumissions, utilisateurs, comité éditorial, statistiques</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Partagé (1)</w:t>
            </w:r>
          </w:p>
        </w:tc>
        <w:tc>
          <w:tcPr>
            <w:tcW w:type="dxa" w:w="66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Détail d'une soumission, accessible à l'auteur et à l'administration</w:t>
            </w:r>
          </w:p>
        </w:tc>
      </w:tr>
    </w:tbl>
    <w:p>
      <w:pPr>
        <w:spacing w:after="200"/>
      </w:pPr>
    </w:p>
    <w:p>
      <w:pPr>
        <w:pBdr>
          <w:left w:val="single" w:color="D97706" w:sz="12" w:space="8"/>
        </w:pBdr>
        <w:spacing w:after="180" w:before="100"/>
        <w:ind w:left="260"/>
      </w:pPr>
      <w:r>
        <w:rPr>
          <w:rFonts w:ascii="Arial" w:cs="Arial" w:eastAsia="Arial" w:hAnsi="Arial"/>
          <w:b/>
          <w:bCs/>
          <w:color w:val="B45309"/>
          <w:sz w:val="19"/>
          <w:szCs w:val="19"/>
        </w:rPr>
        <w:t xml:space="preserve">Attention — </w:t>
      </w:r>
      <w:r>
        <w:rPr>
          <w:rFonts w:ascii="Arial" w:cs="Arial" w:eastAsia="Arial" w:hAnsi="Arial"/>
          <w:color w:val="4B5563"/>
          <w:sz w:val="19"/>
          <w:szCs w:val="19"/>
        </w:rPr>
        <w:t xml:space="preserve">Le contrôle d'accès effectué côté navigateur est un confort d'affichage, jamais une sécurité. Toute donnée sensible est re-vérifiée par le serveur.</w:t>
      </w:r>
    </w:p>
    <w:p>
      <w:pPr>
        <w:spacing w:after="130"/>
        <w:jc w:val="both"/>
      </w:pPr>
      <w:r>
        <w:rPr>
          <w:rFonts w:ascii="Arial" w:cs="Arial" w:eastAsia="Arial" w:hAnsi="Arial"/>
          <w:sz w:val="21"/>
          <w:szCs w:val="21"/>
        </w:rPr>
        <w:t xml:space="preserve">Le délai d'attente des appels réseau est fixé à soixante secondes : il couvre le réveil de l'instance d'hébergement après une période d'inactivité.</w:t>
      </w:r>
    </w:p>
    <w:p>
      <w:pPr>
        <w:pStyle w:val="Heading2"/>
      </w:pPr>
      <w:r>
        <w:t xml:space="preserve">3.3 Services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26"/>
      </w:tblGrid>
      <w:tr>
        <w:trPr>
          <w:tblHeader/>
        </w:trPr>
        <w:tc>
          <w:tcPr>
            <w:tcW w:type="dxa" w:w="21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Service</w:t>
            </w:r>
          </w:p>
        </w:tc>
        <w:tc>
          <w:tcPr>
            <w:tcW w:type="dxa" w:w="36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Usage</w:t>
            </w:r>
          </w:p>
        </w:tc>
        <w:tc>
          <w:tcPr>
            <w:tcW w:type="dxa" w:w="33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Si indisponible</w:t>
            </w:r>
          </w:p>
        </w:tc>
      </w:tr>
      <w:tr>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Neon</w:t>
            </w:r>
          </w:p>
        </w:tc>
        <w:tc>
          <w:tcPr>
            <w:tcW w:type="dxa" w:w="3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Base de données PostgreSQL</w:t>
            </w:r>
          </w:p>
        </w:tc>
        <w:tc>
          <w:tcPr>
            <w:tcW w:type="dxa" w:w="3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 serveur reste en ligne, les données sont inaccessibles</w:t>
            </w:r>
          </w:p>
        </w:tc>
      </w:tr>
      <w:tr>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Cloudinary</w:t>
            </w:r>
          </w:p>
        </w:tc>
        <w:tc>
          <w:tcPr>
            <w:tcW w:type="dxa" w:w="36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Stockage des manuscrits et avatars</w:t>
            </w:r>
          </w:p>
        </w:tc>
        <w:tc>
          <w:tcPr>
            <w:tcW w:type="dxa" w:w="3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Repli sur le disque local (non durable)</w:t>
            </w:r>
          </w:p>
        </w:tc>
      </w:tr>
      <w:tr>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Resend</w:t>
            </w:r>
          </w:p>
        </w:tc>
        <w:tc>
          <w:tcPr>
            <w:tcW w:type="dxa" w:w="3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Envoi de tous les emails</w:t>
            </w:r>
          </w:p>
        </w:tc>
        <w:tc>
          <w:tcPr>
            <w:tcW w:type="dxa" w:w="3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Envois ignorés et journalisés</w:t>
            </w:r>
          </w:p>
        </w:tc>
      </w:tr>
      <w:tr>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Google Gemini</w:t>
            </w:r>
          </w:p>
        </w:tc>
        <w:tc>
          <w:tcPr>
            <w:tcW w:type="dxa" w:w="36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Assistance à la rédaction et extraction</w:t>
            </w:r>
          </w:p>
        </w:tc>
        <w:tc>
          <w:tcPr>
            <w:tcW w:type="dxa" w:w="3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Fonctions masquées dans l'interface</w:t>
            </w:r>
          </w:p>
        </w:tc>
      </w:tr>
      <w:tr>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CinetPay</w:t>
            </w:r>
          </w:p>
        </w:tc>
        <w:tc>
          <w:tcPr>
            <w:tcW w:type="dxa" w:w="3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Paiement des frais de publication</w:t>
            </w:r>
          </w:p>
        </w:tc>
        <w:tc>
          <w:tcPr>
            <w:tcW w:type="dxa" w:w="3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Mode hors ligne, validation manuelle</w:t>
            </w:r>
          </w:p>
        </w:tc>
      </w:tr>
    </w:tbl>
    <w:p>
      <w:pPr>
        <w:pStyle w:val="Heading1"/>
        <w:pageBreakBefore/>
      </w:pPr>
      <w:r>
        <w:t xml:space="preserve">4. Modèle de données</w:t>
      </w:r>
    </w:p>
    <w:p>
      <w:pPr>
        <w:spacing w:after="130"/>
        <w:jc w:val="both"/>
      </w:pPr>
      <w:r>
        <w:rPr>
          <w:rFonts w:ascii="Arial" w:cs="Arial" w:eastAsia="Arial" w:hAnsi="Arial"/>
          <w:sz w:val="21"/>
          <w:szCs w:val="21"/>
        </w:rPr>
        <w:t xml:space="preserve">La base compte dix tables. Les clés étrangères portent une règle de suppression explicite, afin qu'aucune donnée orpheline ne subsiste — une exception est signalée au chapitre 10.</w:t>
      </w:r>
    </w:p>
    <w:p>
      <w:pPr>
        <w:pStyle w:val="Heading2"/>
      </w:pPr>
      <w:r>
        <w:t xml:space="preserve">4.1 Tables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Table</w:t>
            </w:r>
          </w:p>
        </w:tc>
        <w:tc>
          <w:tcPr>
            <w:tcW w:type="dxa" w:w="69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Contenu</w:t>
            </w:r>
          </w:p>
        </w:tc>
      </w:tr>
      <w:tr>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users</w:t>
            </w:r>
          </w:p>
        </w:tc>
        <w:tc>
          <w:tcPr>
            <w:tcW w:type="dxa" w:w="6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Comptes de la plateforme : identité, rôle, établissement, mot de passe haché, état de vérification de l'adresse email, jetons de réinitialisation</w:t>
            </w:r>
          </w:p>
        </w:tc>
      </w:tr>
      <w:tr>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submissions</w:t>
            </w:r>
          </w:p>
        </w:tc>
        <w:tc>
          <w:tcPr>
            <w:tcW w:type="dxa" w:w="6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Manuscrits soumis. Table centrale : métadonnées, fichier manuscrit, PDF de publication, statut, numéro de manuscrit, liste structurée des auteurs, éditeur en charge, état des frais de publication, compteurs publics</w:t>
            </w:r>
          </w:p>
        </w:tc>
      </w:tr>
      <w:tr>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submission_files</w:t>
            </w:r>
          </w:p>
        </w:tc>
        <w:tc>
          <w:tcPr>
            <w:tcW w:type="dxa" w:w="6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Fichiers rattachés à une soumission : manuscrit, lettre d'accompagnement, figures, tableaux, avec libellé, description, ordre d'affichage et numéro de version (0 = soumission initiale, 1, 2… = versions révisées)</w:t>
            </w:r>
          </w:p>
        </w:tc>
      </w:tr>
      <w:tr>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editor_messages</w:t>
            </w:r>
          </w:p>
        </w:tc>
        <w:tc>
          <w:tcPr>
            <w:tcW w:type="dxa" w:w="6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Messages de l'éditeur à l'auteur : seul contenu éditorial visible par l'auteur, sur sa plateforme comme dans ses emails. Chaque message peut accompagner une décision</w:t>
            </w:r>
          </w:p>
        </w:tc>
      </w:tr>
      <w:tr>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reviews</w:t>
            </w:r>
          </w:p>
        </w:tc>
        <w:tc>
          <w:tcPr>
            <w:tcW w:type="dxa" w:w="6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Une ligne par couple soumission / reviewer : commentaires destinés à l'auteur, commentaires confidentiels réservés à l'éditeur, recommandation, fichier annoté, jeton d'invitation, dates d'acceptation ou de refus</w:t>
            </w:r>
          </w:p>
        </w:tc>
      </w:tr>
      <w:tr>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payments</w:t>
            </w:r>
          </w:p>
        </w:tc>
        <w:tc>
          <w:tcPr>
            <w:tcW w:type="dxa" w:w="6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Transactions : montant, devise, moyen de paiement, identifiant de transaction unique, statut et date de règlement</w:t>
            </w:r>
          </w:p>
        </w:tc>
      </w:tr>
      <w:tr>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research_areas</w:t>
            </w:r>
          </w:p>
        </w:tc>
        <w:tc>
          <w:tcPr>
            <w:tcW w:type="dxa" w:w="6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Les huit domaines scientifiques officiels du journal</w:t>
            </w:r>
          </w:p>
        </w:tc>
      </w:tr>
      <w:tr>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published_articles</w:t>
            </w:r>
          </w:p>
        </w:tc>
        <w:tc>
          <w:tcPr>
            <w:tcW w:type="dxa" w:w="6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Identifiant DOI et compteur de consultations des articles publiés</w:t>
            </w:r>
          </w:p>
        </w:tc>
      </w:tr>
      <w:tr>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editorial_members</w:t>
            </w:r>
          </w:p>
        </w:tc>
        <w:tc>
          <w:tcPr>
            <w:tcW w:type="dxa" w:w="6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Comité éditorial : fonction, nom, affiliation, ordre d'affichage. Alimente la page « About » du site</w:t>
            </w:r>
          </w:p>
        </w:tc>
      </w:tr>
      <w:tr>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notifications</w:t>
            </w:r>
          </w:p>
        </w:tc>
        <w:tc>
          <w:tcPr>
            <w:tcW w:type="dxa" w:w="6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Notifications internes : destinataire, type, titre, corps, lien, date de lecture</w:t>
            </w:r>
          </w:p>
        </w:tc>
      </w:tr>
    </w:tbl>
    <w:p>
      <w:pPr>
        <w:spacing w:after="200"/>
      </w:pPr>
    </w:p>
    <w:p>
      <w:pPr>
        <w:pStyle w:val="Heading3"/>
      </w:pPr>
      <w:r>
        <w:t xml:space="preserve">Points de vigilance sur les données</w:t>
      </w:r>
    </w:p>
    <w:p>
      <w:pPr>
        <w:pStyle w:val="ListParagraph"/>
        <w:numPr>
          <w:ilvl w:val="0"/>
          <w:numId w:val="2"/>
        </w:numPr>
        <w:spacing w:after="70"/>
      </w:pPr>
      <w:r>
        <w:rPr>
          <w:rFonts w:ascii="Arial" w:cs="Arial" w:eastAsia="Arial" w:hAnsi="Arial"/>
          <w:b/>
          <w:bCs/>
          <w:sz w:val="21"/>
          <w:szCs w:val="21"/>
        </w:rPr>
        <w:t xml:space="preserve">Deux fichiers par article publié. </w:t>
      </w:r>
      <w:r>
        <w:rPr>
          <w:rFonts w:ascii="Arial" w:cs="Arial" w:eastAsia="Arial" w:hAnsi="Arial"/>
          <w:sz w:val="21"/>
          <w:szCs w:val="21"/>
        </w:rPr>
        <w:t xml:space="preserve">Le manuscrit d'origine au format Word et le PDF mis en page par la maison d'édition sont distincts. C'est ce dernier qui est servi au public.</w:t>
      </w:r>
    </w:p>
    <w:p>
      <w:pPr>
        <w:pStyle w:val="ListParagraph"/>
        <w:numPr>
          <w:ilvl w:val="0"/>
          <w:numId w:val="2"/>
        </w:numPr>
        <w:spacing w:after="70"/>
      </w:pPr>
      <w:r>
        <w:rPr>
          <w:rFonts w:ascii="Arial" w:cs="Arial" w:eastAsia="Arial" w:hAnsi="Arial"/>
          <w:b/>
          <w:bCs/>
          <w:sz w:val="21"/>
          <w:szCs w:val="21"/>
        </w:rPr>
        <w:t xml:space="preserve">Unicité des paiements. </w:t>
      </w:r>
      <w:r>
        <w:rPr>
          <w:rFonts w:ascii="Arial" w:cs="Arial" w:eastAsia="Arial" w:hAnsi="Arial"/>
          <w:sz w:val="21"/>
          <w:szCs w:val="21"/>
        </w:rPr>
        <w:t xml:space="preserve">Une contrainte d'unicité sur le couple soumission / moyen de paiement neutralise les notifications rejouées par la passerelle.</w:t>
      </w:r>
    </w:p>
    <w:p>
      <w:pPr>
        <w:pStyle w:val="ListParagraph"/>
        <w:numPr>
          <w:ilvl w:val="0"/>
          <w:numId w:val="2"/>
        </w:numPr>
        <w:spacing w:after="70"/>
      </w:pPr>
      <w:r>
        <w:rPr>
          <w:rFonts w:ascii="Arial" w:cs="Arial" w:eastAsia="Arial" w:hAnsi="Arial"/>
          <w:b/>
          <w:bCs/>
          <w:sz w:val="21"/>
          <w:szCs w:val="21"/>
        </w:rPr>
        <w:t xml:space="preserve">Mots de passe irréversibles. </w:t>
      </w:r>
      <w:r>
        <w:rPr>
          <w:rFonts w:ascii="Arial" w:cs="Arial" w:eastAsia="Arial" w:hAnsi="Arial"/>
          <w:sz w:val="21"/>
          <w:szCs w:val="21"/>
        </w:rPr>
        <w:t xml:space="preserve">Les mots de passe sont hachés avec Bcrypt. Un mot de passe perdu ne peut être que réinitialisé, jamais retrouvé — y compris par le prestataire.</w:t>
      </w:r>
    </w:p>
    <w:p>
      <w:pPr>
        <w:pStyle w:val="Heading2"/>
      </w:pPr>
      <w:r>
        <w:t xml:space="preserve">4.2 Gestion des migrations</w:t>
      </w:r>
    </w:p>
    <w:p>
      <w:pPr>
        <w:spacing w:after="130"/>
        <w:jc w:val="both"/>
      </w:pPr>
      <w:r>
        <w:rPr>
          <w:rFonts w:ascii="Arial" w:cs="Arial" w:eastAsia="Arial" w:hAnsi="Arial"/>
          <w:sz w:val="21"/>
          <w:szCs w:val="21"/>
        </w:rPr>
        <w:t xml:space="preserve">Le module d'initialisation de la base s'exécute à chaque démarrage du serveur et est idempotent : il peut être relancé indéfiniment sans effet de bord.</w:t>
      </w:r>
    </w:p>
    <w:p>
      <w:pPr>
        <w:pStyle w:val="ListParagraph"/>
        <w:numPr>
          <w:ilvl w:val="0"/>
          <w:numId w:val="2"/>
        </w:numPr>
        <w:spacing w:after="70"/>
      </w:pPr>
      <w:r>
        <w:rPr>
          <w:rFonts w:ascii="Arial" w:cs="Arial" w:eastAsia="Arial" w:hAnsi="Arial"/>
          <w:sz w:val="21"/>
          <w:szCs w:val="21"/>
        </w:rPr>
        <w:t xml:space="preserve">Création des tables manquantes, sans toucher aux tables existantes</w:t>
      </w:r>
    </w:p>
    <w:p>
      <w:pPr>
        <w:pStyle w:val="ListParagraph"/>
        <w:numPr>
          <w:ilvl w:val="0"/>
          <w:numId w:val="2"/>
        </w:numPr>
        <w:spacing w:after="70"/>
      </w:pPr>
      <w:r>
        <w:rPr>
          <w:rFonts w:ascii="Arial" w:cs="Arial" w:eastAsia="Arial" w:hAnsi="Arial"/>
          <w:sz w:val="21"/>
          <w:szCs w:val="21"/>
        </w:rPr>
        <w:t xml:space="preserve">Ajout des colonnes introduites depuis la version précédente</w:t>
      </w:r>
    </w:p>
    <w:p>
      <w:pPr>
        <w:pStyle w:val="ListParagraph"/>
        <w:numPr>
          <w:ilvl w:val="0"/>
          <w:numId w:val="2"/>
        </w:numPr>
        <w:spacing w:after="70"/>
      </w:pPr>
      <w:r>
        <w:rPr>
          <w:rFonts w:ascii="Arial" w:cs="Arial" w:eastAsia="Arial" w:hAnsi="Arial"/>
          <w:sz w:val="21"/>
          <w:szCs w:val="21"/>
        </w:rPr>
        <w:t xml:space="preserve">Reconstruction des contraintes de validation héritées, dont les listes de valeurs figées rejetaient les statuts ajoutés depuis</w:t>
      </w:r>
    </w:p>
    <w:p>
      <w:pPr>
        <w:pStyle w:val="ListParagraph"/>
        <w:numPr>
          <w:ilvl w:val="0"/>
          <w:numId w:val="2"/>
        </w:numPr>
        <w:spacing w:after="70"/>
      </w:pPr>
      <w:r>
        <w:rPr>
          <w:rFonts w:ascii="Arial" w:cs="Arial" w:eastAsia="Arial" w:hAnsi="Arial"/>
          <w:sz w:val="21"/>
          <w:szCs w:val="21"/>
        </w:rPr>
        <w:t xml:space="preserve">Correctifs ponctuels de données : renommage de domaines, normalisation</w:t>
      </w:r>
    </w:p>
    <w:p>
      <w:pPr>
        <w:pStyle w:val="ListParagraph"/>
        <w:numPr>
          <w:ilvl w:val="0"/>
          <w:numId w:val="2"/>
        </w:numPr>
        <w:spacing w:after="70"/>
      </w:pPr>
      <w:r>
        <w:rPr>
          <w:rFonts w:ascii="Arial" w:cs="Arial" w:eastAsia="Arial" w:hAnsi="Arial"/>
          <w:sz w:val="21"/>
          <w:szCs w:val="21"/>
        </w:rPr>
        <w:t xml:space="preserve">Chaque migration est isolée : une migration en échec est journalisée puis ignorée, elle n'interrompt pas le démarrage</w:t>
      </w:r>
    </w:p>
    <w:p>
      <w:pPr>
        <w:spacing w:after="140"/>
      </w:pPr>
    </w:p>
    <w:p>
      <w:pPr>
        <w:spacing w:after="130"/>
        <w:jc w:val="both"/>
      </w:pPr>
      <w:r>
        <w:rPr>
          <w:rFonts w:ascii="Arial" w:cs="Arial" w:eastAsia="Arial" w:hAnsi="Arial"/>
          <w:sz w:val="21"/>
          <w:szCs w:val="21"/>
        </w:rPr>
        <w:t xml:space="preserve">L'initialisation ne bloque pas l'écoute réseau : si la base est momentanément injoignable, le serveur reste en ligne et répond au contrôle de santé, au lieu de redémarrer en boucle.</w:t>
      </w:r>
    </w:p>
    <w:p>
      <w:pPr>
        <w:pBdr>
          <w:left w:val="single" w:color="D97706" w:sz="12" w:space="8"/>
        </w:pBdr>
        <w:spacing w:after="180" w:before="100"/>
        <w:ind w:left="260"/>
      </w:pPr>
      <w:r>
        <w:rPr>
          <w:rFonts w:ascii="Arial" w:cs="Arial" w:eastAsia="Arial" w:hAnsi="Arial"/>
          <w:b/>
          <w:bCs/>
          <w:color w:val="B45309"/>
          <w:sz w:val="19"/>
          <w:szCs w:val="19"/>
        </w:rPr>
        <w:t xml:space="preserve">Attention — </w:t>
      </w:r>
      <w:r>
        <w:rPr>
          <w:rFonts w:ascii="Arial" w:cs="Arial" w:eastAsia="Arial" w:hAnsi="Arial"/>
          <w:color w:val="4B5563"/>
          <w:sz w:val="19"/>
          <w:szCs w:val="19"/>
        </w:rPr>
        <w:t xml:space="preserve">Toute évolution du schéma doit passer par un bloc idempotent dans ce module, puis par un déploiement. Une modification appliquée manuellement en production serait invisible pour les autres environnements et perdue lors d'une reconstruction.</w:t>
      </w:r>
    </w:p>
    <w:p>
      <w:pPr>
        <w:pStyle w:val="Heading1"/>
        <w:pageBreakBefore/>
      </w:pPr>
      <w:r>
        <w:t xml:space="preserve">5. Workflows métier</w:t>
      </w:r>
    </w:p>
    <w:p>
      <w:pPr>
        <w:pStyle w:val="Heading2"/>
      </w:pPr>
      <w:r>
        <w:t xml:space="preserve">5.1 Cycle de vie d'un manuscrit</w:t>
      </w:r>
    </w:p>
    <w:p>
      <w:pPr>
        <w:spacing w:after="130"/>
        <w:jc w:val="both"/>
      </w:pPr>
      <w:r>
        <w:rPr>
          <w:rFonts w:ascii="Arial" w:cs="Arial" w:eastAsia="Arial" w:hAnsi="Arial"/>
          <w:sz w:val="21"/>
          <w:szCs w:val="21"/>
        </w:rPr>
        <w:t xml:space="preserve">L'espace de l'auteur présente six étapes, conformément à la définition retenue par le comité éditorial. Chaque étape regroupe un ou plusieurs statuts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Étape (onglet auteur)</w:t>
            </w:r>
          </w:p>
        </w:tc>
        <w:tc>
          <w:tcPr>
            <w:tcW w:type="dxa" w:w="39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Déclencheur</w:t>
            </w:r>
          </w:p>
        </w:tc>
        <w:tc>
          <w:tcPr>
            <w:tcW w:type="dxa" w:w="32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Statuts techniques</w:t>
            </w:r>
          </w:p>
        </w:tc>
      </w:tr>
      <w:tr>
        <w:tc>
          <w:tcPr>
            <w:tcW w:type="dxa" w:w="19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Submitted</w:t>
            </w:r>
          </w:p>
        </w:tc>
        <w:tc>
          <w:tcPr>
            <w:tcW w:type="dxa" w:w="39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L'auteur soumet son manuscrit</w:t>
            </w:r>
          </w:p>
        </w:tc>
        <w:tc>
          <w:tcPr>
            <w:tcW w:type="dxa" w:w="32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pending, submitted</w:t>
            </w:r>
          </w:p>
        </w:tc>
      </w:tr>
      <w:tr>
        <w:tc>
          <w:tcPr>
            <w:tcW w:type="dxa" w:w="19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Under review</w:t>
            </w:r>
          </w:p>
        </w:tc>
        <w:tc>
          <w:tcPr>
            <w:tcW w:type="dxa" w:w="39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Un reviewer accepte l'invitation</w:t>
            </w:r>
          </w:p>
        </w:tc>
        <w:tc>
          <w:tcPr>
            <w:tcW w:type="dxa" w:w="32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under_review</w:t>
            </w:r>
          </w:p>
        </w:tc>
      </w:tr>
      <w:tr>
        <w:tc>
          <w:tcPr>
            <w:tcW w:type="dxa" w:w="19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Revisions</w:t>
            </w:r>
          </w:p>
        </w:tc>
        <w:tc>
          <w:tcPr>
            <w:tcW w:type="dxa" w:w="39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Un reviewer a envoyé ses commentaires, ou l'éditeur demande des corrections</w:t>
            </w:r>
          </w:p>
        </w:tc>
        <w:tc>
          <w:tcPr>
            <w:tcW w:type="dxa" w:w="32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revision_needed, major_revision, minor_revision, sent_back, revised</w:t>
            </w:r>
          </w:p>
        </w:tc>
      </w:tr>
      <w:tr>
        <w:tc>
          <w:tcPr>
            <w:tcW w:type="dxa" w:w="19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Accepted</w:t>
            </w:r>
          </w:p>
        </w:tc>
        <w:tc>
          <w:tcPr>
            <w:tcW w:type="dxa" w:w="39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Décision « Accept »</w:t>
            </w:r>
          </w:p>
        </w:tc>
        <w:tc>
          <w:tcPr>
            <w:tcW w:type="dxa" w:w="32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accepted</w:t>
            </w:r>
          </w:p>
        </w:tc>
      </w:tr>
      <w:tr>
        <w:tc>
          <w:tcPr>
            <w:tcW w:type="dxa" w:w="19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Published</w:t>
            </w:r>
          </w:p>
        </w:tc>
        <w:tc>
          <w:tcPr>
            <w:tcW w:type="dxa" w:w="39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Publication sur le site</w:t>
            </w:r>
          </w:p>
        </w:tc>
        <w:tc>
          <w:tcPr>
            <w:tcW w:type="dxa" w:w="32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published</w:t>
            </w:r>
          </w:p>
        </w:tc>
      </w:tr>
      <w:tr>
        <w:tc>
          <w:tcPr>
            <w:tcW w:type="dxa" w:w="19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Rejected</w:t>
            </w:r>
          </w:p>
        </w:tc>
        <w:tc>
          <w:tcPr>
            <w:tcW w:type="dxa" w:w="39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Décision « Reject »</w:t>
            </w:r>
          </w:p>
        </w:tc>
        <w:tc>
          <w:tcPr>
            <w:tcW w:type="dxa" w:w="32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rejected</w:t>
            </w:r>
          </w:p>
        </w:tc>
      </w:tr>
    </w:tbl>
    <w:p>
      <w:pPr>
        <w:spacing w:after="200"/>
      </w:pPr>
    </w:p>
    <w:p>
      <w:pPr>
        <w:spacing w:after="40"/>
      </w:pPr>
    </w:p>
    <w:p>
      <w:pPr>
        <w:shd w:fill="F3F6F4" w:val="clear"/>
        <w:spacing w:after="0" w:line="240"/>
        <w:ind w:left="340"/>
      </w:pPr>
      <w:r>
        <w:rPr>
          <w:rFonts w:ascii="Consolas" w:cs="Consolas" w:eastAsia="Consolas" w:hAnsi="Consolas"/>
          <w:color w:val="14361F"/>
          <w:sz w:val="17"/>
          <w:szCs w:val="17"/>
        </w:rPr>
        <w:t xml:space="preserve"> Auteur --&gt; submitted --(un reviewer ACCEPTE)--&gt; under_review</w:t>
      </w:r>
    </w:p>
    <w:p>
      <w:pPr>
        <w:shd w:fill="F3F6F4" w:val="clear"/>
        <w:spacing w:after="0" w:line="240"/>
        <w:ind w:left="340"/>
      </w:pPr>
      <w:r>
        <w:rPr>
          <w:rFonts w:ascii="Consolas" w:cs="Consolas" w:eastAsia="Consolas" w:hAnsi="Consolas"/>
          <w:color w:val="14361F"/>
          <w:sz w:val="17"/>
          <w:szCs w:val="17"/>
        </w:rPr>
        <w:t xml:space="preserve">               |                                     |</w:t>
      </w:r>
    </w:p>
    <w:p>
      <w:pPr>
        <w:shd w:fill="F3F6F4" w:val="clear"/>
        <w:spacing w:after="0" w:line="240"/>
        <w:ind w:left="340"/>
      </w:pPr>
      <w:r>
        <w:rPr>
          <w:rFonts w:ascii="Consolas" w:cs="Consolas" w:eastAsia="Consolas" w:hAnsi="Consolas"/>
          <w:color w:val="14361F"/>
          <w:sz w:val="17"/>
          <w:szCs w:val="17"/>
        </w:rPr>
        <w:t xml:space="preserve">               | Send back (format)                  | décision explicite de l'éditeur</w:t>
      </w:r>
    </w:p>
    <w:p>
      <w:pPr>
        <w:shd w:fill="F3F6F4" w:val="clear"/>
        <w:spacing w:after="0" w:line="240"/>
        <w:ind w:left="340"/>
      </w:pPr>
      <w:r>
        <w:rPr>
          <w:rFonts w:ascii="Consolas" w:cs="Consolas" w:eastAsia="Consolas" w:hAnsi="Consolas"/>
          <w:color w:val="14361F"/>
          <w:sz w:val="17"/>
          <w:szCs w:val="17"/>
        </w:rPr>
        <w:t xml:space="preserve">               v                                     |</w:t>
      </w:r>
    </w:p>
    <w:p>
      <w:pPr>
        <w:shd w:fill="F3F6F4" w:val="clear"/>
        <w:spacing w:after="0" w:line="240"/>
        <w:ind w:left="340"/>
      </w:pPr>
      <w:r>
        <w:rPr>
          <w:rFonts w:ascii="Consolas" w:cs="Consolas" w:eastAsia="Consolas" w:hAnsi="Consolas"/>
          <w:color w:val="14361F"/>
          <w:sz w:val="17"/>
          <w:szCs w:val="17"/>
        </w:rPr>
        <w:t xml:space="preserve">           sent_back           +---------------------+--------------------+</w:t>
      </w:r>
    </w:p>
    <w:p>
      <w:pPr>
        <w:shd w:fill="F3F6F4" w:val="clear"/>
        <w:spacing w:after="0" w:line="240"/>
        <w:ind w:left="340"/>
      </w:pPr>
      <w:r>
        <w:rPr>
          <w:rFonts w:ascii="Consolas" w:cs="Consolas" w:eastAsia="Consolas" w:hAnsi="Consolas"/>
          <w:color w:val="14361F"/>
          <w:sz w:val="17"/>
          <w:szCs w:val="17"/>
        </w:rPr>
        <w:t xml:space="preserve">               |                v                     v                    v</w:t>
      </w:r>
    </w:p>
    <w:p>
      <w:pPr>
        <w:shd w:fill="F3F6F4" w:val="clear"/>
        <w:spacing w:after="0" w:line="240"/>
        <w:ind w:left="340"/>
      </w:pPr>
      <w:r>
        <w:rPr>
          <w:rFonts w:ascii="Consolas" w:cs="Consolas" w:eastAsia="Consolas" w:hAnsi="Consolas"/>
          <w:color w:val="14361F"/>
          <w:sz w:val="17"/>
          <w:szCs w:val="17"/>
        </w:rPr>
        <w:t xml:space="preserve">               |         major / minor_revision    accepted             rejected</w:t>
      </w:r>
    </w:p>
    <w:p>
      <w:pPr>
        <w:shd w:fill="F3F6F4" w:val="clear"/>
        <w:spacing w:after="0" w:line="240"/>
        <w:ind w:left="340"/>
      </w:pPr>
      <w:r>
        <w:rPr>
          <w:rFonts w:ascii="Consolas" w:cs="Consolas" w:eastAsia="Consolas" w:hAnsi="Consolas"/>
          <w:color w:val="14361F"/>
          <w:sz w:val="17"/>
          <w:szCs w:val="17"/>
        </w:rPr>
        <w:t xml:space="preserve">               |                |                     |</w:t>
      </w:r>
    </w:p>
    <w:p>
      <w:pPr>
        <w:shd w:fill="F3F6F4" w:val="clear"/>
        <w:spacing w:after="0" w:line="240"/>
        <w:ind w:left="340"/>
      </w:pPr>
      <w:r>
        <w:rPr>
          <w:rFonts w:ascii="Consolas" w:cs="Consolas" w:eastAsia="Consolas" w:hAnsi="Consolas"/>
          <w:color w:val="14361F"/>
          <w:sz w:val="17"/>
          <w:szCs w:val="17"/>
        </w:rPr>
        <w:t xml:space="preserve">               +--------+-------+                     | APC réglée + PDF déposé</w:t>
      </w:r>
    </w:p>
    <w:p>
      <w:pPr>
        <w:shd w:fill="F3F6F4" w:val="clear"/>
        <w:spacing w:after="0" w:line="240"/>
        <w:ind w:left="340"/>
      </w:pPr>
      <w:r>
        <w:rPr>
          <w:rFonts w:ascii="Consolas" w:cs="Consolas" w:eastAsia="Consolas" w:hAnsi="Consolas"/>
          <w:color w:val="14361F"/>
          <w:sz w:val="17"/>
          <w:szCs w:val="17"/>
        </w:rPr>
        <w:t xml:space="preserve">                        v                              v</w:t>
      </w:r>
    </w:p>
    <w:p>
      <w:pPr>
        <w:shd w:fill="F3F6F4" w:val="clear"/>
        <w:spacing w:after="0" w:line="240"/>
        <w:ind w:left="340"/>
      </w:pPr>
      <w:r>
        <w:rPr>
          <w:rFonts w:ascii="Consolas" w:cs="Consolas" w:eastAsia="Consolas" w:hAnsi="Consolas"/>
          <w:color w:val="14361F"/>
          <w:sz w:val="17"/>
          <w:szCs w:val="17"/>
        </w:rPr>
        <w:t xml:space="preserve">         version révisée déposée par l'auteur      published</w:t>
      </w:r>
    </w:p>
    <w:p>
      <w:pPr>
        <w:shd w:fill="F3F6F4" w:val="clear"/>
        <w:spacing w:after="0" w:line="240"/>
        <w:ind w:left="340"/>
      </w:pPr>
      <w:r>
        <w:rPr>
          <w:rFonts w:ascii="Consolas" w:cs="Consolas" w:eastAsia="Consolas" w:hAnsi="Consolas"/>
          <w:color w:val="14361F"/>
          <w:sz w:val="17"/>
          <w:szCs w:val="17"/>
        </w:rPr>
        <w:t xml:space="preserve">                        v</w:t>
      </w:r>
    </w:p>
    <w:p>
      <w:pPr>
        <w:shd w:fill="F3F6F4" w:val="clear"/>
        <w:spacing w:after="0" w:line="240"/>
        <w:ind w:left="340"/>
      </w:pPr>
      <w:r>
        <w:rPr>
          <w:rFonts w:ascii="Consolas" w:cs="Consolas" w:eastAsia="Consolas" w:hAnsi="Consolas"/>
          <w:color w:val="14361F"/>
          <w:sz w:val="17"/>
          <w:szCs w:val="17"/>
        </w:rPr>
        <w:t xml:space="preserve">                     revised --(nouvelle acceptation)--&gt; under_review (round 2+)</w:t>
      </w:r>
    </w:p>
    <w:p>
      <w:pPr>
        <w:shd w:fill="F3F6F4" w:val="clear"/>
        <w:spacing w:after="0" w:line="240"/>
        <w:ind w:left="340"/>
      </w:pPr>
      <w:r>
        <w:rPr>
          <w:rFonts w:ascii="Consolas" w:cs="Consolas" w:eastAsia="Consolas" w:hAnsi="Consolas"/>
          <w:color w:val="14361F"/>
          <w:sz w:val="17"/>
          <w:szCs w:val="17"/>
        </w:rPr>
        <w:t xml:space="preserve"/>
      </w:r>
    </w:p>
    <w:p>
      <w:pPr>
        <w:shd w:fill="F3F6F4" w:val="clear"/>
        <w:spacing w:after="0" w:line="240"/>
        <w:ind w:left="340"/>
      </w:pPr>
      <w:r>
        <w:rPr>
          <w:rFonts w:ascii="Consolas" w:cs="Consolas" w:eastAsia="Consolas" w:hAnsi="Consolas"/>
          <w:color w:val="14361F"/>
          <w:sz w:val="17"/>
          <w:szCs w:val="17"/>
        </w:rPr>
        <w:t xml:space="preserve">  withdrawn : retrait à l'initiative de l'auteur</w:t>
      </w:r>
    </w:p>
    <w:p>
      <w:pPr>
        <w:spacing w:after="130"/>
      </w:pPr>
    </w:p>
    <w:p>
      <w:pPr>
        <w:pStyle w:val="ListParagraph"/>
        <w:numPr>
          <w:ilvl w:val="0"/>
          <w:numId w:val="2"/>
        </w:numPr>
        <w:spacing w:after="70"/>
      </w:pPr>
      <w:r>
        <w:rPr>
          <w:rFonts w:ascii="Arial" w:cs="Arial" w:eastAsia="Arial" w:hAnsi="Arial"/>
          <w:sz w:val="21"/>
          <w:szCs w:val="21"/>
        </w:rPr>
        <w:t xml:space="preserve">Inviter un reviewer ne change pas le statut : c'est son acceptation qui fait passer l'article « Under review », et lui donne accès au manuscrit — pas avant.</w:t>
      </w:r>
    </w:p>
    <w:p>
      <w:pPr>
        <w:pStyle w:val="ListParagraph"/>
        <w:numPr>
          <w:ilvl w:val="0"/>
          <w:numId w:val="2"/>
        </w:numPr>
        <w:spacing w:after="70"/>
      </w:pPr>
      <w:r>
        <w:rPr>
          <w:rFonts w:ascii="Arial" w:cs="Arial" w:eastAsia="Arial" w:hAnsi="Arial"/>
          <w:b w:val="false"/>
          <w:bCs w:val="false"/>
          <w:sz w:val="21"/>
          <w:szCs w:val="21"/>
        </w:rPr>
        <w:t xml:space="preserve">Le statut n'avance plus automatiquement quand un reviewer rend ses commentaires : </w:t>
      </w:r>
      <w:r>
        <w:rPr>
          <w:rFonts w:ascii="Arial" w:cs="Arial" w:eastAsia="Arial" w:hAnsi="Arial"/>
          <w:b w:val="false"/>
          <w:bCs w:val="false"/>
          <w:sz w:val="21"/>
          <w:szCs w:val="21"/>
        </w:rPr>
        <w:t xml:space="preserve">l'article reste « Under review », tel que le voit l'auteur, tant que l'éditeur n'a pas explicitement tranché. Auparavant, le statut basculait seul en « à réviser », visible de l'auteur avant même que l'éditeur ait pris connaissance des commentaires.</w:t>
      </w:r>
    </w:p>
    <w:p>
      <w:pPr>
        <w:pStyle w:val="ListParagraph"/>
        <w:numPr>
          <w:ilvl w:val="0"/>
          <w:numId w:val="2"/>
        </w:numPr>
        <w:spacing w:after="70"/>
      </w:pPr>
      <w:r>
        <w:rPr>
          <w:rFonts w:ascii="Arial" w:cs="Arial" w:eastAsia="Arial" w:hAnsi="Arial"/>
          <w:sz w:val="21"/>
          <w:szCs w:val="21"/>
        </w:rPr>
        <w:t xml:space="preserve">Chaque reviewer garde l'accès à son évaluation tant qu'il ne l'a pas rendue, même si un autre a déjà rendu la sienne. L'éditeur peut inviter un reviewer supplémentaire à tout moment pendant l'évaluation, y compris après une première évaluation reçue.</w:t>
      </w:r>
    </w:p>
    <w:p>
      <w:pPr>
        <w:pStyle w:val="ListParagraph"/>
        <w:numPr>
          <w:ilvl w:val="0"/>
          <w:numId w:val="2"/>
        </w:numPr>
        <w:spacing w:after="70"/>
      </w:pPr>
      <w:r>
        <w:rPr>
          <w:rFonts w:ascii="Arial" w:cs="Arial" w:eastAsia="Arial" w:hAnsi="Arial"/>
          <w:sz w:val="21"/>
          <w:szCs w:val="21"/>
        </w:rPr>
        <w:t xml:space="preserve">Après le dépôt d'une version révisée, un reviewer déjà intervenu peut être réinvité pour une seconde évaluation (délai ramené à deux semaines, contre un mois pour la première).</w:t>
      </w:r>
    </w:p>
    <w:p>
      <w:pPr>
        <w:spacing w:after="100"/>
      </w:pPr>
    </w:p>
    <w:p>
      <w:pPr>
        <w:spacing w:after="130"/>
        <w:jc w:val="both"/>
      </w:pPr>
      <w:r>
        <w:rPr>
          <w:rFonts w:ascii="Arial" w:cs="Arial" w:eastAsia="Arial" w:hAnsi="Arial"/>
          <w:sz w:val="21"/>
          <w:szCs w:val="21"/>
        </w:rPr>
        <w:t xml:space="preserve">Chaque décision déclenche un email à l'auteur et une notification interne. Les libellés transmis à l'auteur sont ceux retenus par le comité : Accept, Reject, Major revision, Minor revision, Revision requested, Sent back to the authors. Une décision de révision est désormais transmise au soumetteur et à chaque co-auteur déclaré, et détaille les documents attendus, le format exigé et la date limite.</w:t>
      </w:r>
    </w:p>
    <w:p>
      <w:pPr>
        <w:pStyle w:val="Heading2"/>
      </w:pPr>
      <w:r>
        <w:t xml:space="preserve">5.2 Règle de publication</w:t>
      </w:r>
    </w:p>
    <w:p>
      <w:pPr>
        <w:spacing w:after="130"/>
        <w:jc w:val="both"/>
      </w:pPr>
      <w:r>
        <w:rPr>
          <w:rFonts w:ascii="Arial" w:cs="Arial" w:eastAsia="Arial" w:hAnsi="Arial"/>
          <w:sz w:val="21"/>
          <w:szCs w:val="21"/>
        </w:rPr>
        <w:t xml:space="preserve">Un article ne peut pas être publié tant que deux conditions ne sont pas remplies : les frais de publication sont constatés, et le PDF mis en page par la maison d'édition a été déposé. Un article publié est ainsi toujours servi en PDF, jamais en Word. Le serveur refuse la publication dans le cas contraire : ce verrou ne peut être contourné depuis l'interface.</w:t>
      </w:r>
    </w:p>
    <w:p>
      <w:pPr>
        <w:pStyle w:val="Heading2"/>
      </w:pPr>
      <w:r>
        <w:t xml:space="preserve">5.3 Parcours d'évaluation et communication avec l'auteur</w:t>
      </w:r>
    </w:p>
    <w:p>
      <w:pPr>
        <w:pStyle w:val="ListParagraph"/>
        <w:numPr>
          <w:ilvl w:val="0"/>
          <w:numId w:val="3"/>
        </w:numPr>
        <w:spacing w:after="70"/>
      </w:pPr>
      <w:r>
        <w:rPr>
          <w:rFonts w:ascii="Arial" w:cs="Arial" w:eastAsia="Arial" w:hAnsi="Arial"/>
          <w:sz w:val="21"/>
          <w:szCs w:val="21"/>
        </w:rPr>
        <w:t xml:space="preserve">L'administration assigne un éditeur à la soumission.</w:t>
      </w:r>
    </w:p>
    <w:p>
      <w:pPr>
        <w:pStyle w:val="ListParagraph"/>
        <w:numPr>
          <w:ilvl w:val="0"/>
          <w:numId w:val="3"/>
        </w:numPr>
        <w:spacing w:after="70"/>
      </w:pPr>
      <w:r>
        <w:rPr>
          <w:rFonts w:ascii="Arial" w:cs="Arial" w:eastAsia="Arial" w:hAnsi="Arial"/>
          <w:sz w:val="21"/>
          <w:szCs w:val="21"/>
        </w:rPr>
        <w:t xml:space="preserve">Elle assigne des reviewers internes, ou invite un expert externe par email.</w:t>
      </w:r>
    </w:p>
    <w:p>
      <w:pPr>
        <w:pStyle w:val="ListParagraph"/>
        <w:numPr>
          <w:ilvl w:val="0"/>
          <w:numId w:val="3"/>
        </w:numPr>
        <w:spacing w:after="70"/>
      </w:pPr>
      <w:r>
        <w:rPr>
          <w:rFonts w:ascii="Arial" w:cs="Arial" w:eastAsia="Arial" w:hAnsi="Arial"/>
          <w:sz w:val="21"/>
          <w:szCs w:val="21"/>
        </w:rPr>
        <w:t xml:space="preserve">L'invitation contient deux liens signés par un jeton à usage unique. Chaque réponse déclenche un email de confirmation au reviewer. Après acceptation, il est conduit directement à sa page « Articles to review » — et c'est seulement à partir de là que l'accès au manuscrit s'ouvre.</w:t>
      </w:r>
    </w:p>
    <w:p>
      <w:pPr>
        <w:pStyle w:val="ListParagraph"/>
        <w:numPr>
          <w:ilvl w:val="0"/>
          <w:numId w:val="3"/>
        </w:numPr>
        <w:spacing w:after="70"/>
      </w:pPr>
      <w:r>
        <w:rPr>
          <w:rFonts w:ascii="Arial" w:cs="Arial" w:eastAsia="Arial" w:hAnsi="Arial"/>
          <w:sz w:val="21"/>
          <w:szCs w:val="21"/>
        </w:rPr>
        <w:t xml:space="preserve">Le reviewer dépose son évaluation : commentaires, commentaires confidentiels réservés à l'éditeur, recommandation et, si besoin, un fichier annoté. Ce dépôt ne change pas le statut du manuscrit.</w:t>
      </w:r>
    </w:p>
    <w:p>
      <w:pPr>
        <w:pStyle w:val="ListParagraph"/>
        <w:numPr>
          <w:ilvl w:val="0"/>
          <w:numId w:val="3"/>
        </w:numPr>
        <w:spacing w:after="70"/>
      </w:pPr>
      <w:r>
        <w:rPr>
          <w:rFonts w:ascii="Arial" w:cs="Arial" w:eastAsia="Arial" w:hAnsi="Arial"/>
          <w:sz w:val="21"/>
          <w:szCs w:val="21"/>
        </w:rPr>
        <w:t xml:space="preserve">L'auteur ne voit jamais les commentaires des reviewers. L'éditeur lui écrit dans la fenêtre « Editor comments » : message seul, ou message joint à une décision. Ce fil est le seul contenu éditorial visible par l'auteur, sur sa plateforme comme dans ses emails.</w:t>
      </w:r>
    </w:p>
    <w:p>
      <w:pPr>
        <w:pStyle w:val="ListParagraph"/>
        <w:numPr>
          <w:ilvl w:val="0"/>
          <w:numId w:val="3"/>
        </w:numPr>
        <w:spacing w:after="70"/>
      </w:pPr>
      <w:r>
        <w:rPr>
          <w:rFonts w:ascii="Arial" w:cs="Arial" w:eastAsia="Arial" w:hAnsi="Arial"/>
          <w:sz w:val="21"/>
          <w:szCs w:val="21"/>
        </w:rPr>
        <w:t xml:space="preserve">L'auteur dépose sa version révisée : réponse aux reviewers, manuscrit révisé en version propre, manuscrit avec suivi des modifications, et autres documents (les trois premiers ne sont pas exigés après un simple renvoi pour non-conformité de format, qui précède toute évaluation). L'équipe éditoriale est alertée, peut réinviter un reviewer déjà intervenu, ou décider directement.</w:t>
      </w:r>
    </w:p>
    <w:p>
      <w:pPr>
        <w:pStyle w:val="Heading2"/>
      </w:pPr>
      <w:r>
        <w:t xml:space="preserve">5.4 Paiement des frais de publication</w:t>
      </w:r>
    </w:p>
    <w:p>
      <w:pPr>
        <w:spacing w:after="130"/>
        <w:jc w:val="both"/>
      </w:pPr>
      <w:r>
        <w:rPr>
          <w:rFonts w:ascii="Arial" w:cs="Arial" w:eastAsia="Arial" w:hAnsi="Arial"/>
          <w:sz w:val="21"/>
          <w:szCs w:val="21"/>
        </w:rPr>
        <w:t xml:space="preserve">Le montant est de 100 000 FCFA, soit environ 155 euros, 180 dollars américains ou 1 300 yuans.</w:t>
      </w:r>
    </w:p>
    <w:p>
      <w:pPr>
        <w:spacing w:after="40"/>
      </w:pPr>
    </w:p>
    <w:p>
      <w:pPr>
        <w:shd w:fill="F3F6F4" w:val="clear"/>
        <w:spacing w:after="0" w:line="240"/>
        <w:ind w:left="340"/>
      </w:pPr>
      <w:r>
        <w:rPr>
          <w:rFonts w:ascii="Consolas" w:cs="Consolas" w:eastAsia="Consolas" w:hAnsi="Consolas"/>
          <w:color w:val="14361F"/>
          <w:sz w:val="17"/>
          <w:szCs w:val="17"/>
        </w:rPr>
        <w:t xml:space="preserve">  Auteur --&gt; initiation --&gt; CinetPay --&gt; page de paiement</w:t>
      </w:r>
    </w:p>
    <w:p>
      <w:pPr>
        <w:shd w:fill="F3F6F4" w:val="clear"/>
        <w:spacing w:after="0" w:line="240"/>
        <w:ind w:left="340"/>
      </w:pPr>
      <w:r>
        <w:rPr>
          <w:rFonts w:ascii="Consolas" w:cs="Consolas" w:eastAsia="Consolas" w:hAnsi="Consolas"/>
          <w:color w:val="14361F"/>
          <w:sz w:val="17"/>
          <w:szCs w:val="17"/>
        </w:rPr>
        <w:t xml:space="preserve">                                |          (Mobile Money / carte)</w:t>
      </w:r>
    </w:p>
    <w:p>
      <w:pPr>
        <w:shd w:fill="F3F6F4" w:val="clear"/>
        <w:spacing w:after="0" w:line="240"/>
        <w:ind w:left="340"/>
      </w:pPr>
      <w:r>
        <w:rPr>
          <w:rFonts w:ascii="Consolas" w:cs="Consolas" w:eastAsia="Consolas" w:hAnsi="Consolas"/>
          <w:color w:val="14361F"/>
          <w:sz w:val="17"/>
          <w:szCs w:val="17"/>
        </w:rPr>
        <w:t xml:space="preserve">             +------------------+------------------+</w:t>
      </w:r>
    </w:p>
    <w:p>
      <w:pPr>
        <w:shd w:fill="F3F6F4" w:val="clear"/>
        <w:spacing w:after="0" w:line="240"/>
        <w:ind w:left="340"/>
      </w:pPr>
      <w:r>
        <w:rPr>
          <w:rFonts w:ascii="Consolas" w:cs="Consolas" w:eastAsia="Consolas" w:hAnsi="Consolas"/>
          <w:color w:val="14361F"/>
          <w:sz w:val="17"/>
          <w:szCs w:val="17"/>
        </w:rPr>
        <w:t xml:space="preserve">             v                                     v</w:t>
      </w:r>
    </w:p>
    <w:p>
      <w:pPr>
        <w:shd w:fill="F3F6F4" w:val="clear"/>
        <w:spacing w:after="0" w:line="240"/>
        <w:ind w:left="340"/>
      </w:pPr>
      <w:r>
        <w:rPr>
          <w:rFonts w:ascii="Consolas" w:cs="Consolas" w:eastAsia="Consolas" w:hAnsi="Consolas"/>
          <w:color w:val="14361F"/>
          <w:sz w:val="17"/>
          <w:szCs w:val="17"/>
        </w:rPr>
        <w:t xml:space="preserve">   notification serveur à serveur          retour navigateur</w:t>
      </w:r>
    </w:p>
    <w:p>
      <w:pPr>
        <w:shd w:fill="F3F6F4" w:val="clear"/>
        <w:spacing w:after="0" w:line="240"/>
        <w:ind w:left="340"/>
      </w:pPr>
      <w:r>
        <w:rPr>
          <w:rFonts w:ascii="Consolas" w:cs="Consolas" w:eastAsia="Consolas" w:hAnsi="Consolas"/>
          <w:color w:val="14361F"/>
          <w:sz w:val="17"/>
          <w:szCs w:val="17"/>
        </w:rPr>
        <w:t xml:space="preserve">   -&gt; vérification du statut réel          -&gt; affichage du résultat</w:t>
      </w:r>
    </w:p>
    <w:p>
      <w:pPr>
        <w:shd w:fill="F3F6F4" w:val="clear"/>
        <w:spacing w:after="0" w:line="240"/>
        <w:ind w:left="340"/>
      </w:pPr>
      <w:r>
        <w:rPr>
          <w:rFonts w:ascii="Consolas" w:cs="Consolas" w:eastAsia="Consolas" w:hAnsi="Consolas"/>
          <w:color w:val="14361F"/>
          <w:sz w:val="17"/>
          <w:szCs w:val="17"/>
        </w:rPr>
        <w:t xml:space="preserve">   -&gt; paiement marqué « réglé »</w:t>
      </w:r>
    </w:p>
    <w:p>
      <w:pPr>
        <w:shd w:fill="F3F6F4" w:val="clear"/>
        <w:spacing w:after="0" w:line="240"/>
        <w:ind w:left="340"/>
      </w:pPr>
      <w:r>
        <w:rPr>
          <w:rFonts w:ascii="Consolas" w:cs="Consolas" w:eastAsia="Consolas" w:hAnsi="Consolas"/>
          <w:color w:val="14361F"/>
          <w:sz w:val="17"/>
          <w:szCs w:val="17"/>
        </w:rPr>
        <w:t xml:space="preserve">   -&gt; frais de publication validés</w:t>
      </w:r>
    </w:p>
    <w:p>
      <w:pPr>
        <w:shd w:fill="F3F6F4" w:val="clear"/>
        <w:spacing w:after="0" w:line="240"/>
        <w:ind w:left="340"/>
      </w:pPr>
      <w:r>
        <w:rPr>
          <w:rFonts w:ascii="Consolas" w:cs="Consolas" w:eastAsia="Consolas" w:hAnsi="Consolas"/>
          <w:color w:val="14361F"/>
          <w:sz w:val="17"/>
          <w:szCs w:val="17"/>
        </w:rPr>
        <w:t xml:space="preserve">   -&gt; emails auteur et administration</w:t>
      </w:r>
    </w:p>
    <w:p>
      <w:pPr>
        <w:spacing w:after="130"/>
      </w:pPr>
    </w:p>
    <w:p>
      <w:pPr>
        <w:spacing w:after="130"/>
        <w:jc w:val="both"/>
      </w:pPr>
      <w:r>
        <w:rPr>
          <w:rFonts w:ascii="Arial" w:cs="Arial" w:eastAsia="Arial" w:hAnsi="Arial"/>
          <w:sz w:val="21"/>
          <w:szCs w:val="21"/>
        </w:rPr>
        <w:t xml:space="preserve">La notification serveur à serveur fait foi. Le retour navigateur ne sert qu'à l'affichage : le statut réel est toujours revérifié auprès de la passerelle, jamais déduit des paramètres d'URL.</w:t>
      </w:r>
    </w:p>
    <w:p>
      <w:pPr>
        <w:pBdr>
          <w:left w:val="single" w:color="D97706" w:sz="12" w:space="8"/>
        </w:pBdr>
        <w:spacing w:after="180" w:before="100"/>
        <w:ind w:left="260"/>
      </w:pPr>
      <w:r>
        <w:rPr>
          <w:rFonts w:ascii="Arial" w:cs="Arial" w:eastAsia="Arial" w:hAnsi="Arial"/>
          <w:b/>
          <w:bCs/>
          <w:color w:val="B45309"/>
          <w:sz w:val="19"/>
          <w:szCs w:val="19"/>
        </w:rPr>
        <w:t xml:space="preserve">Attention — </w:t>
      </w:r>
      <w:r>
        <w:rPr>
          <w:rFonts w:ascii="Arial" w:cs="Arial" w:eastAsia="Arial" w:hAnsi="Arial"/>
          <w:color w:val="4B5563"/>
          <w:sz w:val="19"/>
          <w:szCs w:val="19"/>
        </w:rPr>
        <w:t xml:space="preserve">Le paiement en ligne n'est pas actif à ce jour : les identifiants du compte marchand n'ont pas été fournis. La plateforme fonctionne en mode hors ligne, où l'auteur reçoit les instructions de règlement et l'administration constate le paiement manuellement. La procédure d'activation figure au chapitre 8.</w:t>
      </w:r>
    </w:p>
    <w:p>
      <w:pPr>
        <w:pStyle w:val="Heading1"/>
        <w:pageBreakBefore/>
      </w:pPr>
      <w:r>
        <w:t xml:space="preserve">6. Sécurité</w:t>
      </w:r>
    </w:p>
    <w:p>
      <w:pPr>
        <w:pStyle w:val="Heading2"/>
      </w:pPr>
      <w:r>
        <w:t xml:space="preserve">6.1 Authentification</w:t>
      </w:r>
    </w:p>
    <w:p>
      <w:pPr>
        <w:pStyle w:val="ListParagraph"/>
        <w:numPr>
          <w:ilvl w:val="0"/>
          <w:numId w:val="2"/>
        </w:numPr>
        <w:spacing w:after="70"/>
      </w:pPr>
      <w:r>
        <w:rPr>
          <w:rFonts w:ascii="Arial" w:cs="Arial" w:eastAsia="Arial" w:hAnsi="Arial"/>
          <w:sz w:val="21"/>
          <w:szCs w:val="21"/>
        </w:rPr>
        <w:t xml:space="preserve">Mots de passe hachés avec Bcrypt, facteur de coût 12. Le hachage est à sens unique.</w:t>
      </w:r>
    </w:p>
    <w:p>
      <w:pPr>
        <w:pStyle w:val="ListParagraph"/>
        <w:numPr>
          <w:ilvl w:val="0"/>
          <w:numId w:val="2"/>
        </w:numPr>
        <w:spacing w:after="70"/>
      </w:pPr>
      <w:r>
        <w:rPr>
          <w:rFonts w:ascii="Arial" w:cs="Arial" w:eastAsia="Arial" w:hAnsi="Arial"/>
          <w:sz w:val="21"/>
          <w:szCs w:val="21"/>
        </w:rPr>
        <w:t xml:space="preserve">Jetons JWT signés, transmis à chaque requête dans l'en-tête d'autorisation.</w:t>
      </w:r>
    </w:p>
    <w:p>
      <w:pPr>
        <w:pStyle w:val="ListParagraph"/>
        <w:numPr>
          <w:ilvl w:val="0"/>
          <w:numId w:val="2"/>
        </w:numPr>
        <w:spacing w:after="70"/>
      </w:pPr>
      <w:r>
        <w:rPr>
          <w:rFonts w:ascii="Arial" w:cs="Arial" w:eastAsia="Arial" w:hAnsi="Arial"/>
          <w:sz w:val="21"/>
          <w:szCs w:val="21"/>
        </w:rPr>
        <w:t xml:space="preserve">La connexion est refusée tant que l'adresse email n'a pas été confirmée.</w:t>
      </w:r>
    </w:p>
    <w:p>
      <w:pPr>
        <w:pStyle w:val="ListParagraph"/>
        <w:numPr>
          <w:ilvl w:val="0"/>
          <w:numId w:val="2"/>
        </w:numPr>
        <w:spacing w:after="70"/>
      </w:pPr>
      <w:r>
        <w:rPr>
          <w:rFonts w:ascii="Arial" w:cs="Arial" w:eastAsia="Arial" w:hAnsi="Arial"/>
          <w:sz w:val="21"/>
          <w:szCs w:val="21"/>
        </w:rPr>
        <w:t xml:space="preserve">Lien de confirmation valable 24 heures, lien de réinitialisation valable 1 heure, tous deux à usage unique.</w:t>
      </w:r>
    </w:p>
    <w:p>
      <w:pPr>
        <w:pStyle w:val="ListParagraph"/>
        <w:numPr>
          <w:ilvl w:val="0"/>
          <w:numId w:val="2"/>
        </w:numPr>
        <w:spacing w:after="70"/>
      </w:pPr>
      <w:r>
        <w:rPr>
          <w:rFonts w:ascii="Arial" w:cs="Arial" w:eastAsia="Arial" w:hAnsi="Arial"/>
          <w:sz w:val="21"/>
          <w:szCs w:val="21"/>
        </w:rPr>
        <w:t xml:space="preserve">La demande de réinitialisation renvoie toujours la même réponse, que le compte existe ou non : aucune énumération d'adresses n'est possible.</w:t>
      </w:r>
    </w:p>
    <w:p>
      <w:pPr>
        <w:pStyle w:val="Heading2"/>
      </w:pPr>
      <w:r>
        <w:t xml:space="preserve">6.2 Autorisation</w:t>
      </w:r>
    </w:p>
    <w:p>
      <w:pPr>
        <w:spacing w:after="130"/>
        <w:jc w:val="both"/>
      </w:pPr>
      <w:r>
        <w:rPr>
          <w:rFonts w:ascii="Arial" w:cs="Arial" w:eastAsia="Arial" w:hAnsi="Arial"/>
          <w:sz w:val="21"/>
          <w:szCs w:val="21"/>
        </w:rPr>
        <w:t xml:space="preserve">Trois niveaux successifs de contrôle sont appliqués côté serveur :</w:t>
      </w:r>
    </w:p>
    <w:p>
      <w:pPr>
        <w:pStyle w:val="ListParagraph"/>
        <w:numPr>
          <w:ilvl w:val="0"/>
          <w:numId w:val="3"/>
        </w:numPr>
        <w:spacing w:after="70"/>
      </w:pPr>
      <w:r>
        <w:rPr>
          <w:rFonts w:ascii="Arial" w:cs="Arial" w:eastAsia="Arial" w:hAnsi="Arial"/>
          <w:sz w:val="21"/>
          <w:szCs w:val="21"/>
        </w:rPr>
        <w:t xml:space="preserve">Validation de la signature et de la date d'expiration du jeton.</w:t>
      </w:r>
    </w:p>
    <w:p>
      <w:pPr>
        <w:pStyle w:val="ListParagraph"/>
        <w:numPr>
          <w:ilvl w:val="0"/>
          <w:numId w:val="3"/>
        </w:numPr>
        <w:spacing w:after="70"/>
      </w:pPr>
      <w:r>
        <w:rPr>
          <w:rFonts w:ascii="Arial" w:cs="Arial" w:eastAsia="Arial" w:hAnsi="Arial"/>
          <w:sz w:val="21"/>
          <w:szCs w:val="21"/>
        </w:rPr>
        <w:t xml:space="preserve">Contrôle du rôle requis par la route.</w:t>
      </w:r>
    </w:p>
    <w:p>
      <w:pPr>
        <w:pStyle w:val="ListParagraph"/>
        <w:numPr>
          <w:ilvl w:val="0"/>
          <w:numId w:val="3"/>
        </w:numPr>
        <w:spacing w:after="70"/>
      </w:pPr>
      <w:r>
        <w:rPr>
          <w:rFonts w:ascii="Arial" w:cs="Arial" w:eastAsia="Arial" w:hAnsi="Arial"/>
          <w:sz w:val="21"/>
          <w:szCs w:val="21"/>
        </w:rPr>
        <w:t xml:space="preserve">Contrôle de propriété dans la requête elle-même : un auteur ne lit que ses soumissions, un reviewer que ses assignations. Le rôle seul ne donne jamais accès aux données d'autrui.</w:t>
      </w:r>
    </w:p>
    <w:p>
      <w:pPr>
        <w:spacing w:after="140"/>
      </w:pPr>
    </w:p>
    <w:p>
      <w:pPr>
        <w:spacing w:after="130"/>
        <w:jc w:val="both"/>
      </w:pPr>
      <w:r>
        <w:rPr>
          <w:rFonts w:ascii="Arial" w:cs="Arial" w:eastAsia="Arial" w:hAnsi="Arial"/>
          <w:sz w:val="21"/>
          <w:szCs w:val="21"/>
        </w:rPr>
        <w:t xml:space="preserve">Les comptes administrateurs ne peuvent pas être créés par inscription publique : seuls les rôles auteur et reviewer sont acceptés à l'inscription. La promotion se fait en base ou par un administrateur déjà en place.</w:t>
      </w:r>
    </w:p>
    <w:p>
      <w:pPr>
        <w:spacing w:after="130"/>
        <w:jc w:val="both"/>
      </w:pPr>
      <w:r>
        <w:rPr>
          <w:rFonts w:ascii="Arial" w:cs="Arial" w:eastAsia="Arial" w:hAnsi="Arial"/>
          <w:sz w:val="21"/>
          <w:szCs w:val="21"/>
        </w:rPr>
        <w:t xml:space="preserve">La confidentialité de l'évaluation est imposée par le serveur, et pas seulement à l'affichage :</w:t>
      </w:r>
    </w:p>
    <w:p>
      <w:pPr>
        <w:pStyle w:val="ListParagraph"/>
        <w:numPr>
          <w:ilvl w:val="0"/>
          <w:numId w:val="2"/>
        </w:numPr>
        <w:spacing w:after="70"/>
      </w:pPr>
      <w:r>
        <w:rPr>
          <w:rFonts w:ascii="Arial" w:cs="Arial" w:eastAsia="Arial" w:hAnsi="Arial"/>
          <w:sz w:val="21"/>
          <w:szCs w:val="21"/>
        </w:rPr>
        <w:t xml:space="preserve">l'auteur ne reçoit des évaluations que leur avancement : ni commentaire, ni recommandation, ni fichier annoté ;</w:t>
      </w:r>
    </w:p>
    <w:p>
      <w:pPr>
        <w:pStyle w:val="ListParagraph"/>
        <w:numPr>
          <w:ilvl w:val="0"/>
          <w:numId w:val="2"/>
        </w:numPr>
        <w:spacing w:after="70"/>
      </w:pPr>
      <w:r>
        <w:rPr>
          <w:rFonts w:ascii="Arial" w:cs="Arial" w:eastAsia="Arial" w:hAnsi="Arial"/>
          <w:sz w:val="21"/>
          <w:szCs w:val="21"/>
        </w:rPr>
        <w:t xml:space="preserve">les commentaires confidentiels et l'identité des reviewers ne sont servis qu'à l'administration ;</w:t>
      </w:r>
    </w:p>
    <w:p>
      <w:pPr>
        <w:pStyle w:val="ListParagraph"/>
        <w:numPr>
          <w:ilvl w:val="0"/>
          <w:numId w:val="2"/>
        </w:numPr>
        <w:spacing w:after="70"/>
      </w:pPr>
      <w:r>
        <w:rPr>
          <w:rFonts w:ascii="Arial" w:cs="Arial" w:eastAsia="Arial" w:hAnsi="Arial"/>
          <w:sz w:val="21"/>
          <w:szCs w:val="21"/>
        </w:rPr>
        <w:t xml:space="preserve">les messages de l'éditeur à l'auteur ne sont servis qu'à l'administration et à l'auteur du manuscrit, jamais aux reviewers ;</w:t>
      </w:r>
    </w:p>
    <w:p>
      <w:pPr>
        <w:pStyle w:val="ListParagraph"/>
        <w:numPr>
          <w:ilvl w:val="0"/>
          <w:numId w:val="2"/>
        </w:numPr>
        <w:spacing w:after="70"/>
      </w:pPr>
      <w:r>
        <w:rPr>
          <w:rFonts w:ascii="Arial" w:cs="Arial" w:eastAsia="Arial" w:hAnsi="Arial"/>
          <w:b w:val="false"/>
          <w:bCs w:val="false"/>
          <w:sz w:val="21"/>
          <w:szCs w:val="21"/>
        </w:rPr>
        <w:t xml:space="preserve">un reviewer n'a accès ni au manuscrit ni au formulaire d'évaluation tant qu'il n'a pas accepté l'invitation</w:t>
      </w:r>
      <w:r>
        <w:rPr>
          <w:rFonts w:ascii="Arial" w:cs="Arial" w:eastAsia="Arial" w:hAnsi="Arial"/>
          <w:b w:val="false"/>
          <w:bCs w:val="false"/>
          <w:sz w:val="21"/>
          <w:szCs w:val="21"/>
        </w:rPr>
        <w:t xml:space="preserve"> — un contrôle qui portait auparavant seulement sur la propriété de l'évaluation, pas sur son statut, et qui a été renforcé le 23 septembre ;</w:t>
      </w:r>
    </w:p>
    <w:p>
      <w:pPr>
        <w:pStyle w:val="ListParagraph"/>
        <w:numPr>
          <w:ilvl w:val="0"/>
          <w:numId w:val="2"/>
        </w:numPr>
        <w:spacing w:after="70"/>
      </w:pPr>
      <w:r>
        <w:rPr>
          <w:rFonts w:ascii="Arial" w:cs="Arial" w:eastAsia="Arial" w:hAnsi="Arial"/>
          <w:b/>
          <w:bCs/>
          <w:sz w:val="21"/>
          <w:szCs w:val="21"/>
        </w:rPr>
        <w:t xml:space="preserve">double-aveugle : </w:t>
      </w:r>
      <w:r>
        <w:rPr>
          <w:rFonts w:ascii="Arial" w:cs="Arial" w:eastAsia="Arial" w:hAnsi="Arial"/>
          <w:b w:val="false"/>
          <w:bCs w:val="false"/>
          <w:sz w:val="21"/>
          <w:szCs w:val="21"/>
        </w:rPr>
        <w:t xml:space="preserve">la page de titre d'un manuscrit (identité et affiliations des auteurs) n'est jamais transmise à un reviewer, quelle que soit la manière dont il consulte les fichiers du manuscrit.</w:t>
      </w:r>
    </w:p>
    <w:p>
      <w:pPr>
        <w:pStyle w:val="Heading2"/>
      </w:pPr>
      <w:r>
        <w:t xml:space="preserve">6.3 Protection des fichiers</w:t>
      </w:r>
    </w:p>
    <w:p>
      <w:pPr>
        <w:spacing w:after="130"/>
        <w:jc w:val="both"/>
      </w:pPr>
      <w:r>
        <w:rPr>
          <w:rFonts w:ascii="Arial" w:cs="Arial" w:eastAsia="Arial" w:hAnsi="Arial"/>
          <w:sz w:val="21"/>
          <w:szCs w:val="21"/>
        </w:rPr>
        <w:t xml:space="preserve">Les manuscrits non publiés sont servis derrière un contrôle d'accès qui :</w:t>
      </w:r>
    </w:p>
    <w:p>
      <w:pPr>
        <w:pStyle w:val="ListParagraph"/>
        <w:numPr>
          <w:ilvl w:val="0"/>
          <w:numId w:val="2"/>
        </w:numPr>
        <w:spacing w:after="70"/>
      </w:pPr>
      <w:r>
        <w:rPr>
          <w:rFonts w:ascii="Arial" w:cs="Arial" w:eastAsia="Arial" w:hAnsi="Arial"/>
          <w:sz w:val="21"/>
          <w:szCs w:val="21"/>
        </w:rPr>
        <w:t xml:space="preserve">rejette tout nom de fichier hors d'un format strict, ce qui interdit la remontée dans l'arborescence du serveur ;</w:t>
      </w:r>
    </w:p>
    <w:p>
      <w:pPr>
        <w:pStyle w:val="ListParagraph"/>
        <w:numPr>
          <w:ilvl w:val="0"/>
          <w:numId w:val="2"/>
        </w:numPr>
        <w:spacing w:after="70"/>
      </w:pPr>
      <w:r>
        <w:rPr>
          <w:rFonts w:ascii="Arial" w:cs="Arial" w:eastAsia="Arial" w:hAnsi="Arial"/>
          <w:sz w:val="21"/>
          <w:szCs w:val="21"/>
        </w:rPr>
        <w:t xml:space="preserve">laisse passer librement les manuscrits des articles publiés ;</w:t>
      </w:r>
    </w:p>
    <w:p>
      <w:pPr>
        <w:pStyle w:val="ListParagraph"/>
        <w:numPr>
          <w:ilvl w:val="0"/>
          <w:numId w:val="2"/>
        </w:numPr>
        <w:spacing w:after="70"/>
      </w:pPr>
      <w:r>
        <w:rPr>
          <w:rFonts w:ascii="Arial" w:cs="Arial" w:eastAsia="Arial" w:hAnsi="Arial"/>
          <w:sz w:val="21"/>
          <w:szCs w:val="21"/>
        </w:rPr>
        <w:t xml:space="preserve">exige sinon un jeton valide et n'autorise que l'administration, l'auteur de la soumission, ou un reviewer effectivement assigné, vérifié en base ;</w:t>
      </w:r>
    </w:p>
    <w:p>
      <w:pPr>
        <w:pStyle w:val="ListParagraph"/>
        <w:numPr>
          <w:ilvl w:val="0"/>
          <w:numId w:val="2"/>
        </w:numPr>
        <w:spacing w:after="70"/>
      </w:pPr>
      <w:r>
        <w:rPr>
          <w:rFonts w:ascii="Arial" w:cs="Arial" w:eastAsia="Arial" w:hAnsi="Arial"/>
          <w:sz w:val="21"/>
          <w:szCs w:val="21"/>
        </w:rPr>
        <w:t xml:space="preserve">refuse l'accès dans tous les autres cas.</w:t>
      </w:r>
    </w:p>
    <w:p>
      <w:pPr>
        <w:pBdr>
          <w:left w:val="single" w:color="2E9E68" w:sz="12" w:space="8"/>
        </w:pBdr>
        <w:spacing w:after="180" w:before="100"/>
        <w:ind w:left="260"/>
      </w:pPr>
      <w:r>
        <w:rPr>
          <w:rFonts w:ascii="Arial" w:cs="Arial" w:eastAsia="Arial" w:hAnsi="Arial"/>
          <w:b/>
          <w:bCs/>
          <w:color w:val="1B4427"/>
          <w:sz w:val="19"/>
          <w:szCs w:val="19"/>
        </w:rPr>
        <w:t xml:space="preserve">Note — </w:t>
      </w:r>
      <w:r>
        <w:rPr>
          <w:rFonts w:ascii="Arial" w:cs="Arial" w:eastAsia="Arial" w:hAnsi="Arial"/>
          <w:color w:val="4B5563"/>
          <w:sz w:val="19"/>
          <w:szCs w:val="19"/>
        </w:rPr>
        <w:t xml:space="preserve">En production, tous les liens de fichiers du site passent par un relais du serveur, qui impose le bon type de fichier et un nom propre. Le compte gratuit du service de stockage bloque la diffusion publique des PDF : le relais les récupère alors par l'interface authentifiée du service. Aucun lien du site ne doit pointer directement vers le service de stockage.</w:t>
      </w:r>
    </w:p>
    <w:p>
      <w:pPr>
        <w:pStyle w:val="Heading2"/>
      </w:pPr>
      <w:r>
        <w:t xml:space="preserve">6.4 Limitation de débit</w:t>
      </w:r>
    </w:p>
    <w:p>
      <w:pPr>
        <w:spacing w:after="130"/>
        <w:jc w:val="both"/>
      </w:pPr>
      <w:r>
        <w:rPr>
          <w:rFonts w:ascii="Arial" w:cs="Arial" w:eastAsia="Arial" w:hAnsi="Arial"/>
          <w:sz w:val="21"/>
          <w:szCs w:val="21"/>
        </w:rPr>
        <w:t xml:space="preserve">Sept limiteurs protègent les points d'entrée sensibles, par adresse IP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Point d'entrée</w:t>
            </w:r>
          </w:p>
        </w:tc>
        <w:tc>
          <w:tcPr>
            <w:tcW w:type="dxa" w:w="24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Fenêtre</w:t>
            </w:r>
          </w:p>
        </w:tc>
        <w:tc>
          <w:tcPr>
            <w:tcW w:type="dxa" w:w="24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Quota</w:t>
            </w:r>
          </w:p>
        </w:tc>
      </w:tr>
      <w:tr>
        <w:tc>
          <w:tcPr>
            <w:tcW w:type="dxa" w:w="4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Connexion</w:t>
            </w:r>
          </w:p>
        </w:tc>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15 minutes</w:t>
            </w:r>
          </w:p>
        </w:tc>
        <w:tc>
          <w:tcPr>
            <w:tcW w:type="dxa" w:w="2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10 tentatives échouées</w:t>
            </w:r>
          </w:p>
        </w:tc>
      </w:tr>
      <w:tr>
        <w:tc>
          <w:tcPr>
            <w:tcW w:type="dxa" w:w="4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Inscription</w:t>
            </w:r>
          </w:p>
        </w:tc>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 heure</w:t>
            </w:r>
          </w:p>
        </w:tc>
        <w:tc>
          <w:tcPr>
            <w:tcW w:type="dxa" w:w="2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20 comptes</w:t>
            </w:r>
          </w:p>
        </w:tc>
      </w:tr>
      <w:tr>
        <w:tc>
          <w:tcPr>
            <w:tcW w:type="dxa" w:w="4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Mot de passe oublié et renvoi de vérification</w:t>
            </w:r>
          </w:p>
        </w:tc>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 heure</w:t>
            </w:r>
          </w:p>
        </w:tc>
        <w:tc>
          <w:tcPr>
            <w:tcW w:type="dxa" w:w="2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5 demandes</w:t>
            </w:r>
          </w:p>
        </w:tc>
      </w:tr>
      <w:tr>
        <w:tc>
          <w:tcPr>
            <w:tcW w:type="dxa" w:w="4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Notation d'un article</w:t>
            </w:r>
          </w:p>
        </w:tc>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 heure</w:t>
            </w:r>
          </w:p>
        </w:tc>
        <w:tc>
          <w:tcPr>
            <w:tcW w:type="dxa" w:w="2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30 notations</w:t>
            </w:r>
          </w:p>
        </w:tc>
      </w:tr>
      <w:tr>
        <w:tc>
          <w:tcPr>
            <w:tcW w:type="dxa" w:w="4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Compteur de téléchargements</w:t>
            </w:r>
          </w:p>
        </w:tc>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 heure</w:t>
            </w:r>
          </w:p>
        </w:tc>
        <w:tc>
          <w:tcPr>
            <w:tcW w:type="dxa" w:w="2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60 incréments</w:t>
            </w:r>
          </w:p>
        </w:tc>
      </w:tr>
      <w:tr>
        <w:tc>
          <w:tcPr>
            <w:tcW w:type="dxa" w:w="42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Notification de paiement</w:t>
            </w:r>
          </w:p>
        </w:tc>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 heure</w:t>
            </w:r>
          </w:p>
        </w:tc>
        <w:tc>
          <w:tcPr>
            <w:tcW w:type="dxa" w:w="2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100 appels</w:t>
            </w:r>
          </w:p>
        </w:tc>
      </w:tr>
      <w:tr>
        <w:tc>
          <w:tcPr>
            <w:tcW w:type="dxa" w:w="42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Catalogue et comité éditorial</w:t>
            </w:r>
          </w:p>
        </w:tc>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15 minutes</w:t>
            </w:r>
          </w:p>
        </w:tc>
        <w:tc>
          <w:tcPr>
            <w:tcW w:type="dxa" w:w="2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200 requêtes</w:t>
            </w:r>
          </w:p>
        </w:tc>
      </w:tr>
    </w:tbl>
    <w:p>
      <w:pPr>
        <w:spacing w:after="200"/>
      </w:pPr>
    </w:p>
    <w:p>
      <w:pPr>
        <w:pBdr>
          <w:left w:val="single" w:color="2E9E68" w:sz="12" w:space="8"/>
        </w:pBdr>
        <w:spacing w:after="180" w:before="100"/>
        <w:ind w:left="260"/>
      </w:pPr>
      <w:r>
        <w:rPr>
          <w:rFonts w:ascii="Arial" w:cs="Arial" w:eastAsia="Arial" w:hAnsi="Arial"/>
          <w:b/>
          <w:bCs/>
          <w:color w:val="1B4427"/>
          <w:sz w:val="19"/>
          <w:szCs w:val="19"/>
        </w:rPr>
        <w:t xml:space="preserve">Note — </w:t>
      </w:r>
      <w:r>
        <w:rPr>
          <w:rFonts w:ascii="Arial" w:cs="Arial" w:eastAsia="Arial" w:hAnsi="Arial"/>
          <w:color w:val="4B5563"/>
          <w:sz w:val="19"/>
          <w:szCs w:val="19"/>
        </w:rPr>
        <w:t xml:space="preserve">Ces compteurs sont tenus en mémoire : ils repartent de zéro à chaque redémarrage du serveur et ne seraient pas partagés entre plusieurs instances. C'est adapté à la configuration actuelle, qui n'en comporte qu'une.</w:t>
      </w:r>
    </w:p>
    <w:p>
      <w:pPr>
        <w:pStyle w:val="Heading2"/>
      </w:pPr>
      <w:r>
        <w:t xml:space="preserve">6.5 Autres protections</w:t>
      </w:r>
    </w:p>
    <w:p>
      <w:pPr>
        <w:pStyle w:val="ListParagraph"/>
        <w:numPr>
          <w:ilvl w:val="0"/>
          <w:numId w:val="2"/>
        </w:numPr>
        <w:spacing w:after="70"/>
      </w:pPr>
      <w:r>
        <w:rPr>
          <w:rFonts w:ascii="Arial" w:cs="Arial" w:eastAsia="Arial" w:hAnsi="Arial"/>
          <w:sz w:val="21"/>
          <w:szCs w:val="21"/>
        </w:rPr>
        <w:t xml:space="preserve">En-têtes de sécurité HTTP : anti-détournement de cadre, anti-interprétation abusive des types de contenu, masquage de la signature du serveur.</w:t>
      </w:r>
    </w:p>
    <w:p>
      <w:pPr>
        <w:pStyle w:val="ListParagraph"/>
        <w:numPr>
          <w:ilvl w:val="0"/>
          <w:numId w:val="2"/>
        </w:numPr>
        <w:spacing w:after="70"/>
      </w:pPr>
      <w:r>
        <w:rPr>
          <w:rFonts w:ascii="Arial" w:cs="Arial" w:eastAsia="Arial" w:hAnsi="Arial"/>
          <w:sz w:val="21"/>
          <w:szCs w:val="21"/>
        </w:rPr>
        <w:t xml:space="preserve">Filtrage des origines autorisées sur liste blanche stricte.</w:t>
      </w:r>
    </w:p>
    <w:p>
      <w:pPr>
        <w:pStyle w:val="ListParagraph"/>
        <w:numPr>
          <w:ilvl w:val="0"/>
          <w:numId w:val="2"/>
        </w:numPr>
        <w:spacing w:after="70"/>
      </w:pPr>
      <w:r>
        <w:rPr>
          <w:rFonts w:ascii="Arial" w:cs="Arial" w:eastAsia="Arial" w:hAnsi="Arial"/>
          <w:sz w:val="21"/>
          <w:szCs w:val="21"/>
        </w:rPr>
        <w:t xml:space="preserve">Requêtes de base de données exclusivement paramétrées : aucune injection SQL n'est possible.</w:t>
      </w:r>
    </w:p>
    <w:p>
      <w:pPr>
        <w:pStyle w:val="ListParagraph"/>
        <w:numPr>
          <w:ilvl w:val="0"/>
          <w:numId w:val="2"/>
        </w:numPr>
        <w:spacing w:after="70"/>
      </w:pPr>
      <w:r>
        <w:rPr>
          <w:rFonts w:ascii="Arial" w:cs="Arial" w:eastAsia="Arial" w:hAnsi="Arial"/>
          <w:sz w:val="21"/>
          <w:szCs w:val="21"/>
        </w:rPr>
        <w:t xml:space="preserve">Téléversements limités à 10 Mo par fichier et 12 fichiers par soumission, filtrés sur le type réel du fichier (format Word uniquement pour les manuscrits).</w:t>
      </w:r>
    </w:p>
    <w:p>
      <w:pPr>
        <w:pStyle w:val="ListParagraph"/>
        <w:numPr>
          <w:ilvl w:val="0"/>
          <w:numId w:val="2"/>
        </w:numPr>
        <w:spacing w:after="70"/>
      </w:pPr>
      <w:r>
        <w:rPr>
          <w:rFonts w:ascii="Arial" w:cs="Arial" w:eastAsia="Arial" w:hAnsi="Arial"/>
          <w:sz w:val="21"/>
          <w:szCs w:val="21"/>
        </w:rPr>
        <w:t xml:space="preserve">Aucun secret dans le dépôt de code : les fichiers de configuration, les téléversements locaux et les notes internes en sont exclus.</w:t>
      </w:r>
    </w:p>
    <w:p>
      <w:pPr>
        <w:pStyle w:val="ListParagraph"/>
        <w:numPr>
          <w:ilvl w:val="0"/>
          <w:numId w:val="2"/>
        </w:numPr>
        <w:spacing w:after="70"/>
      </w:pPr>
      <w:r>
        <w:rPr>
          <w:rFonts w:ascii="Arial" w:cs="Arial" w:eastAsia="Arial" w:hAnsi="Arial"/>
          <w:sz w:val="21"/>
          <w:szCs w:val="21"/>
        </w:rPr>
        <w:t xml:space="preserve">Chiffrement HTTPS et certificat TLS gérés par l'hébergeur, renouvellement automatique.</w:t>
      </w:r>
    </w:p>
    <w:p>
      <w:pPr>
        <w:pStyle w:val="Heading1"/>
        <w:pageBreakBefore/>
      </w:pPr>
      <w:r>
        <w:t xml:space="preserve">7. Interface de programmation (API)</w:t>
      </w:r>
    </w:p>
    <w:p>
      <w:pPr>
        <w:spacing w:after="130"/>
        <w:jc w:val="both"/>
      </w:pPr>
      <w:r>
        <w:rPr>
          <w:rFonts w:ascii="Arial" w:cs="Arial" w:eastAsia="Arial" w:hAnsi="Arial"/>
          <w:sz w:val="21"/>
          <w:szCs w:val="21"/>
        </w:rPr>
        <w:t xml:space="preserve">La plateforme expose une interface REST de 64 points d'entrée, répartis en onze groupes fonctionnels. Le détail complet — paramètres, corps de requête, réponses, codes d'erreur — figure dans le document API.md livré avec le code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Groupe</w:t>
            </w:r>
          </w:p>
        </w:tc>
        <w:tc>
          <w:tcPr>
            <w:tcW w:type="dxa" w:w="15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Points d'entrée</w:t>
            </w:r>
          </w:p>
        </w:tc>
        <w:tc>
          <w:tcPr>
            <w:tcW w:type="dxa" w:w="51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Objet</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/health</w:t>
            </w:r>
          </w:p>
        </w:tc>
        <w:tc>
          <w:tcPr>
            <w:tcW w:type="dxa" w:w="1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w:t>
            </w:r>
          </w:p>
        </w:tc>
        <w:tc>
          <w:tcPr>
            <w:tcW w:type="dxa" w:w="51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Contrôle de disponibilité du service</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/auth</w:t>
            </w:r>
          </w:p>
        </w:tc>
        <w:tc>
          <w:tcPr>
            <w:tcW w:type="dxa" w:w="15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11</w:t>
            </w:r>
          </w:p>
        </w:tc>
        <w:tc>
          <w:tcPr>
            <w:tcW w:type="dxa" w:w="51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Cycle de vie des comptes et des sessions</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/submissions</w:t>
            </w:r>
          </w:p>
        </w:tc>
        <w:tc>
          <w:tcPr>
            <w:tcW w:type="dxa" w:w="1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12</w:t>
            </w:r>
          </w:p>
        </w:tc>
        <w:tc>
          <w:tcPr>
            <w:tcW w:type="dxa" w:w="51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Dépôt et suivi des manuscrits, messages de l'éditeur, versions révisées</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/reviews</w:t>
            </w:r>
          </w:p>
        </w:tc>
        <w:tc>
          <w:tcPr>
            <w:tcW w:type="dxa" w:w="15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11</w:t>
            </w:r>
          </w:p>
        </w:tc>
        <w:tc>
          <w:tcPr>
            <w:tcW w:type="dxa" w:w="51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Assignations et évaluations</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/articles</w:t>
            </w:r>
          </w:p>
        </w:tc>
        <w:tc>
          <w:tcPr>
            <w:tcW w:type="dxa" w:w="1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5</w:t>
            </w:r>
          </w:p>
        </w:tc>
        <w:tc>
          <w:tcPr>
            <w:tcW w:type="dxa" w:w="51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Catalogue public</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/users</w:t>
            </w:r>
          </w:p>
        </w:tc>
        <w:tc>
          <w:tcPr>
            <w:tcW w:type="dxa" w:w="15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3</w:t>
            </w:r>
          </w:p>
        </w:tc>
        <w:tc>
          <w:tcPr>
            <w:tcW w:type="dxa" w:w="51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Administration des comptes</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/editorial-board</w:t>
            </w:r>
          </w:p>
        </w:tc>
        <w:tc>
          <w:tcPr>
            <w:tcW w:type="dxa" w:w="1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4</w:t>
            </w:r>
          </w:p>
        </w:tc>
        <w:tc>
          <w:tcPr>
            <w:tcW w:type="dxa" w:w="51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Comité éditorial</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/payments</w:t>
            </w:r>
          </w:p>
        </w:tc>
        <w:tc>
          <w:tcPr>
            <w:tcW w:type="dxa" w:w="15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7</w:t>
            </w:r>
          </w:p>
        </w:tc>
        <w:tc>
          <w:tcPr>
            <w:tcW w:type="dxa" w:w="51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Frais de publication</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/ai</w:t>
            </w:r>
          </w:p>
        </w:tc>
        <w:tc>
          <w:tcPr>
            <w:tcW w:type="dxa" w:w="1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5</w:t>
            </w:r>
          </w:p>
        </w:tc>
        <w:tc>
          <w:tcPr>
            <w:tcW w:type="dxa" w:w="51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Assistance par intelligence artificielle</w:t>
            </w:r>
          </w:p>
        </w:tc>
      </w:tr>
      <w:tr>
        <w:tc>
          <w:tcPr>
            <w:tcW w:type="dxa" w:w="2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/notifications</w:t>
            </w:r>
          </w:p>
        </w:tc>
        <w:tc>
          <w:tcPr>
            <w:tcW w:type="dxa" w:w="15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3</w:t>
            </w:r>
          </w:p>
        </w:tc>
        <w:tc>
          <w:tcPr>
            <w:tcW w:type="dxa" w:w="51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Notifications internes</w:t>
            </w:r>
          </w:p>
        </w:tc>
      </w:tr>
      <w:tr>
        <w:tc>
          <w:tcPr>
            <w:tcW w:type="dxa" w:w="2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/admin</w:t>
            </w:r>
          </w:p>
        </w:tc>
        <w:tc>
          <w:tcPr>
            <w:tcW w:type="dxa" w:w="1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3</w:t>
            </w:r>
          </w:p>
        </w:tc>
        <w:tc>
          <w:tcPr>
            <w:tcW w:type="dxa" w:w="51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Diagnostic technique</w:t>
            </w:r>
          </w:p>
        </w:tc>
      </w:tr>
    </w:tbl>
    <w:p>
      <w:pPr>
        <w:spacing w:after="200"/>
      </w:pPr>
    </w:p>
    <w:p>
      <w:pPr>
        <w:pStyle w:val="Heading2"/>
      </w:pPr>
      <w:r>
        <w:t xml:space="preserve">Conventions</w:t>
      </w:r>
    </w:p>
    <w:p>
      <w:pPr>
        <w:pStyle w:val="ListParagraph"/>
        <w:numPr>
          <w:ilvl w:val="0"/>
          <w:numId w:val="2"/>
        </w:numPr>
        <w:spacing w:after="70"/>
      </w:pPr>
      <w:r>
        <w:rPr>
          <w:rFonts w:ascii="Arial" w:cs="Arial" w:eastAsia="Arial" w:hAnsi="Arial"/>
          <w:sz w:val="21"/>
          <w:szCs w:val="21"/>
        </w:rPr>
        <w:t xml:space="preserve">Toutes les requêtes et réponses sont au format JSON, à l'exception des envois de fichiers.</w:t>
      </w:r>
    </w:p>
    <w:p>
      <w:pPr>
        <w:pStyle w:val="ListParagraph"/>
        <w:numPr>
          <w:ilvl w:val="0"/>
          <w:numId w:val="2"/>
        </w:numPr>
        <w:spacing w:after="70"/>
      </w:pPr>
      <w:r>
        <w:rPr>
          <w:rFonts w:ascii="Arial" w:cs="Arial" w:eastAsia="Arial" w:hAnsi="Arial"/>
          <w:sz w:val="21"/>
          <w:szCs w:val="21"/>
        </w:rPr>
        <w:t xml:space="preserve">Les points d'entrée protégés attendent le jeton dans l'en-tête d'autorisation.</w:t>
      </w:r>
    </w:p>
    <w:p>
      <w:pPr>
        <w:pStyle w:val="ListParagraph"/>
        <w:numPr>
          <w:ilvl w:val="0"/>
          <w:numId w:val="2"/>
        </w:numPr>
        <w:spacing w:after="70"/>
      </w:pPr>
      <w:r>
        <w:rPr>
          <w:rFonts w:ascii="Arial" w:cs="Arial" w:eastAsia="Arial" w:hAnsi="Arial"/>
          <w:sz w:val="21"/>
          <w:szCs w:val="21"/>
        </w:rPr>
        <w:t xml:space="preserve">Les erreurs ont toutes la même forme et ne divulguent jamais d'information technique interne en production.</w:t>
      </w:r>
    </w:p>
    <w:p>
      <w:pPr>
        <w:pStyle w:val="ListParagraph"/>
        <w:numPr>
          <w:ilvl w:val="0"/>
          <w:numId w:val="2"/>
        </w:numPr>
        <w:spacing w:after="70"/>
      </w:pPr>
      <w:r>
        <w:rPr>
          <w:rFonts w:ascii="Arial" w:cs="Arial" w:eastAsia="Arial" w:hAnsi="Arial"/>
          <w:sz w:val="21"/>
          <w:szCs w:val="21"/>
        </w:rPr>
        <w:t xml:space="preserve">Les codes de retour suivent les conventions HTTP : 200 succès, 201 création, 400 requête invalide, 401 non authentifié, 403 non autorisé, 404 introuvable, 409 conflit métier, 429 quota dépassé, 500 erreur serveur.</w:t>
      </w:r>
    </w:p>
    <w:p>
      <w:pPr>
        <w:pStyle w:val="Heading1"/>
        <w:pageBreakBefore/>
      </w:pPr>
      <w:r>
        <w:t xml:space="preserve">8. Hébergement et déploiement</w:t>
      </w:r>
    </w:p>
    <w:p>
      <w:pPr>
        <w:pStyle w:val="Heading2"/>
      </w:pPr>
      <w:r>
        <w:t xml:space="preserve">8.1 Cartographie de l'infrastructure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426"/>
      </w:tblGrid>
      <w:tr>
        <w:trPr>
          <w:tblHeader/>
        </w:trPr>
        <w:tc>
          <w:tcPr>
            <w:tcW w:type="dxa" w:w="25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Composant</w:t>
            </w:r>
          </w:p>
        </w:tc>
        <w:tc>
          <w:tcPr>
            <w:tcW w:type="dxa" w:w="21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Fournisseur</w:t>
            </w:r>
          </w:p>
        </w:tc>
        <w:tc>
          <w:tcPr>
            <w:tcW w:type="dxa" w:w="44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Identification</w:t>
            </w:r>
          </w:p>
        </w:tc>
      </w:tr>
      <w:tr>
        <w:tc>
          <w:tcPr>
            <w:tcW w:type="dxa" w:w="2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Site public</w:t>
            </w:r>
          </w:p>
        </w:tc>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Render</w:t>
            </w:r>
          </w:p>
        </w:tc>
        <w:tc>
          <w:tcPr>
            <w:tcW w:type="dxa" w:w="4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jaei-frontend — jaei-journal.org</w:t>
            </w:r>
          </w:p>
        </w:tc>
      </w:tr>
      <w:tr>
        <w:tc>
          <w:tcPr>
            <w:tcW w:type="dxa" w:w="25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Serveur applicatif</w:t>
            </w:r>
          </w:p>
        </w:tc>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Render</w:t>
            </w:r>
          </w:p>
        </w:tc>
        <w:tc>
          <w:tcPr>
            <w:tcW w:type="dxa" w:w="4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jaei-backend — région Frankfurt</w:t>
            </w:r>
          </w:p>
        </w:tc>
      </w:tr>
      <w:tr>
        <w:tc>
          <w:tcPr>
            <w:tcW w:type="dxa" w:w="2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Base de données</w:t>
            </w:r>
          </w:p>
        </w:tc>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Neon</w:t>
            </w:r>
          </w:p>
        </w:tc>
        <w:tc>
          <w:tcPr>
            <w:tcW w:type="dxa" w:w="4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PostgreSQL, région Frankfurt</w:t>
            </w:r>
          </w:p>
        </w:tc>
      </w:tr>
      <w:tr>
        <w:tc>
          <w:tcPr>
            <w:tcW w:type="dxa" w:w="25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Domaine, DNS et messagerie</w:t>
            </w:r>
          </w:p>
        </w:tc>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Infomaniak</w:t>
            </w:r>
          </w:p>
        </w:tc>
        <w:tc>
          <w:tcPr>
            <w:tcW w:type="dxa" w:w="4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jaei-journal.org</w:t>
            </w:r>
          </w:p>
        </w:tc>
      </w:tr>
      <w:tr>
        <w:tc>
          <w:tcPr>
            <w:tcW w:type="dxa" w:w="2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Envoi des emails</w:t>
            </w:r>
          </w:p>
        </w:tc>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Resend</w:t>
            </w:r>
          </w:p>
        </w:tc>
        <w:tc>
          <w:tcPr>
            <w:tcW w:type="dxa" w:w="4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Domaine vérifié (DKIM et SPF)</w:t>
            </w:r>
          </w:p>
        </w:tc>
      </w:tr>
      <w:tr>
        <w:tc>
          <w:tcPr>
            <w:tcW w:type="dxa" w:w="25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Stockage des fichiers</w:t>
            </w:r>
          </w:p>
        </w:tc>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Cloudinary</w:t>
            </w:r>
          </w:p>
        </w:tc>
        <w:tc>
          <w:tcPr>
            <w:tcW w:type="dxa" w:w="4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Dossiers jaei/submissions et jaei/published</w:t>
            </w:r>
          </w:p>
        </w:tc>
      </w:tr>
      <w:tr>
        <w:tc>
          <w:tcPr>
            <w:tcW w:type="dxa" w:w="2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Paiement en ligne</w:t>
            </w:r>
          </w:p>
        </w:tc>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CinetPay</w:t>
            </w:r>
          </w:p>
        </w:tc>
        <w:tc>
          <w:tcPr>
            <w:tcW w:type="dxa" w:w="4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Non activé à ce jour</w:t>
            </w:r>
          </w:p>
        </w:tc>
      </w:tr>
      <w:tr>
        <w:tc>
          <w:tcPr>
            <w:tcW w:type="dxa" w:w="25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Intelligence artificielle</w:t>
            </w:r>
          </w:p>
        </w:tc>
        <w:tc>
          <w:tcPr>
            <w:tcW w:type="dxa" w:w="21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Google</w:t>
            </w:r>
          </w:p>
        </w:tc>
        <w:tc>
          <w:tcPr>
            <w:tcW w:type="dxa" w:w="4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gemini-2.5-flash</w:t>
            </w:r>
          </w:p>
        </w:tc>
      </w:tr>
      <w:tr>
        <w:tc>
          <w:tcPr>
            <w:tcW w:type="dxa" w:w="25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Dépôt de code</w:t>
            </w:r>
          </w:p>
        </w:tc>
        <w:tc>
          <w:tcPr>
            <w:tcW w:type="dxa" w:w="21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GitHub</w:t>
            </w:r>
          </w:p>
        </w:tc>
        <w:tc>
          <w:tcPr>
            <w:tcW w:type="dxa" w:w="4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Jaei-Contact/Plateforme-JAEI</w:t>
            </w:r>
          </w:p>
        </w:tc>
      </w:tr>
    </w:tbl>
    <w:p>
      <w:pPr>
        <w:spacing w:after="200"/>
      </w:pPr>
    </w:p>
    <w:p>
      <w:pPr>
        <w:pStyle w:val="Heading3"/>
      </w:pPr>
      <w:r>
        <w:t xml:space="preserve">Contraintes liées au plan d'hébergement gratuit</w:t>
      </w:r>
    </w:p>
    <w:p>
      <w:pPr>
        <w:pStyle w:val="ListParagraph"/>
        <w:numPr>
          <w:ilvl w:val="0"/>
          <w:numId w:val="2"/>
        </w:numPr>
        <w:spacing w:after="70"/>
      </w:pPr>
      <w:r>
        <w:rPr>
          <w:rFonts w:ascii="Arial" w:cs="Arial" w:eastAsia="Arial" w:hAnsi="Arial"/>
          <w:b/>
          <w:bCs/>
          <w:sz w:val="21"/>
          <w:szCs w:val="21"/>
        </w:rPr>
        <w:t xml:space="preserve">Mise en veille. </w:t>
      </w:r>
      <w:r>
        <w:rPr>
          <w:rFonts w:ascii="Arial" w:cs="Arial" w:eastAsia="Arial" w:hAnsi="Arial"/>
          <w:sz w:val="21"/>
          <w:szCs w:val="21"/>
        </w:rPr>
        <w:t xml:space="preserve">Après une quinzaine de minutes sans trafic, le serveur s'éteint ; le premier appel suivant prend une cinquantaine de secondes. Le site est réglé pour absorber ce délai. Un plan payant supprime ce comportement.</w:t>
      </w:r>
    </w:p>
    <w:p>
      <w:pPr>
        <w:pStyle w:val="ListParagraph"/>
        <w:numPr>
          <w:ilvl w:val="0"/>
          <w:numId w:val="2"/>
        </w:numPr>
        <w:spacing w:after="70"/>
      </w:pPr>
      <w:r>
        <w:rPr>
          <w:rFonts w:ascii="Arial" w:cs="Arial" w:eastAsia="Arial" w:hAnsi="Arial"/>
          <w:b/>
          <w:bCs/>
          <w:sz w:val="21"/>
          <w:szCs w:val="21"/>
        </w:rPr>
        <w:t xml:space="preserve">Disque non durable. </w:t>
      </w:r>
      <w:r>
        <w:rPr>
          <w:rFonts w:ascii="Arial" w:cs="Arial" w:eastAsia="Arial" w:hAnsi="Arial"/>
          <w:sz w:val="21"/>
          <w:szCs w:val="21"/>
        </w:rPr>
        <w:t xml:space="preserve">Tout fichier écrit sur le disque du serveur est perdu au redéploiement : le stockage externe doit rester configuré.</w:t>
      </w:r>
    </w:p>
    <w:p>
      <w:pPr>
        <w:pStyle w:val="ListParagraph"/>
        <w:numPr>
          <w:ilvl w:val="0"/>
          <w:numId w:val="2"/>
        </w:numPr>
        <w:spacing w:after="70"/>
      </w:pPr>
      <w:r>
        <w:rPr>
          <w:rFonts w:ascii="Arial" w:cs="Arial" w:eastAsia="Arial" w:hAnsi="Arial"/>
          <w:b/>
          <w:bCs/>
          <w:sz w:val="21"/>
          <w:szCs w:val="21"/>
        </w:rPr>
        <w:t xml:space="preserve">Base de données initiale abandonnée. </w:t>
      </w:r>
      <w:r>
        <w:rPr>
          <w:rFonts w:ascii="Arial" w:cs="Arial" w:eastAsia="Arial" w:hAnsi="Arial"/>
          <w:sz w:val="21"/>
          <w:szCs w:val="21"/>
        </w:rPr>
        <w:t xml:space="preserve">La base incluse dans le plan gratuit de l'hébergeur expire au bout de trente jours ; la production a donc été migrée vers Neon. Le fichier de configuration d'infrastructure conserve une déclaration héritée de cette époque, qui n'est plus utilisée.</w:t>
      </w:r>
    </w:p>
    <w:p>
      <w:pPr>
        <w:pStyle w:val="Heading2"/>
      </w:pPr>
      <w:r>
        <w:t xml:space="preserve">8.2 Variables d'environnement</w:t>
      </w:r>
    </w:p>
    <w:p>
      <w:pPr>
        <w:spacing w:after="130"/>
        <w:jc w:val="both"/>
      </w:pPr>
      <w:r>
        <w:rPr>
          <w:rFonts w:ascii="Arial" w:cs="Arial" w:eastAsia="Arial" w:hAnsi="Arial"/>
          <w:sz w:val="21"/>
          <w:szCs w:val="21"/>
        </w:rPr>
        <w:t xml:space="preserve">Elles sont saisies dans le tableau de bord de l'hébergeur, sur le service applicatif.</w:t>
      </w:r>
    </w:p>
    <w:p>
      <w:pPr>
        <w:pStyle w:val="Heading3"/>
      </w:pPr>
      <w:r>
        <w:t xml:space="preserve">Indispensables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926"/>
      </w:tblGrid>
      <w:tr>
        <w:trPr>
          <w:tblHeader/>
        </w:trPr>
        <w:tc>
          <w:tcPr>
            <w:tcW w:type="dxa" w:w="27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Variable</w:t>
            </w:r>
          </w:p>
        </w:tc>
        <w:tc>
          <w:tcPr>
            <w:tcW w:type="dxa" w:w="34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Rôle</w:t>
            </w:r>
          </w:p>
        </w:tc>
        <w:tc>
          <w:tcPr>
            <w:tcW w:type="dxa" w:w="29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Si absente</w:t>
            </w:r>
          </w:p>
        </w:tc>
      </w:tr>
      <w:tr>
        <w:tc>
          <w:tcPr>
            <w:tcW w:type="dxa" w:w="2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DATABASE_URL</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Chaîne de connexion à la base Neon</w:t>
            </w:r>
          </w:p>
        </w:tc>
        <w:tc>
          <w:tcPr>
            <w:tcW w:type="dxa" w:w="2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Aucune donnée accessible</w:t>
            </w:r>
          </w:p>
        </w:tc>
      </w:tr>
      <w:tr>
        <w:tc>
          <w:tcPr>
            <w:tcW w:type="dxa" w:w="2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JWT_SECRET</w:t>
            </w:r>
          </w:p>
        </w:tc>
        <w:tc>
          <w:tcPr>
            <w:tcW w:type="dxa" w:w="3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Clé de signature des jetons</w:t>
            </w:r>
          </w:p>
        </w:tc>
        <w:tc>
          <w:tcPr>
            <w:tcW w:type="dxa" w:w="2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Aucune authentification possible</w:t>
            </w:r>
          </w:p>
        </w:tc>
      </w:tr>
      <w:tr>
        <w:tc>
          <w:tcPr>
            <w:tcW w:type="dxa" w:w="2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FRONTEND_URL</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Adresse du site, utilisée dans les emails</w:t>
            </w:r>
          </w:p>
        </w:tc>
        <w:tc>
          <w:tcPr>
            <w:tcW w:type="dxa" w:w="2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Liens de vérification inopérants</w:t>
            </w:r>
          </w:p>
        </w:tc>
      </w:tr>
      <w:tr>
        <w:tc>
          <w:tcPr>
            <w:tcW w:type="dxa" w:w="2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BACKEND_URL</w:t>
            </w:r>
          </w:p>
        </w:tc>
        <w:tc>
          <w:tcPr>
            <w:tcW w:type="dxa" w:w="3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Adresse de l'API, utilisée pour les fichiers</w:t>
            </w:r>
          </w:p>
        </w:tc>
        <w:tc>
          <w:tcPr>
            <w:tcW w:type="dxa" w:w="2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Fichiers locaux inaccessibles</w:t>
            </w:r>
          </w:p>
        </w:tc>
      </w:tr>
      <w:tr>
        <w:tc>
          <w:tcPr>
            <w:tcW w:type="dxa" w:w="2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NODE_ENV</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Doit valoir « production »</w:t>
            </w:r>
          </w:p>
        </w:tc>
        <w:tc>
          <w:tcPr>
            <w:tcW w:type="dxa" w:w="2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Messages d'erreur internes exposés</w:t>
            </w:r>
          </w:p>
        </w:tc>
      </w:tr>
    </w:tbl>
    <w:p>
      <w:pPr>
        <w:spacing w:after="200"/>
      </w:pPr>
    </w:p>
    <w:p>
      <w:pPr>
        <w:pStyle w:val="Heading3"/>
      </w:pPr>
      <w:r>
        <w:t xml:space="preserve">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926"/>
      </w:tblGrid>
      <w:tr>
        <w:trPr>
          <w:tblHeader/>
        </w:trPr>
        <w:tc>
          <w:tcPr>
            <w:tcW w:type="dxa" w:w="27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Variable</w:t>
            </w:r>
          </w:p>
        </w:tc>
        <w:tc>
          <w:tcPr>
            <w:tcW w:type="dxa" w:w="34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Rôle</w:t>
            </w:r>
          </w:p>
        </w:tc>
        <w:tc>
          <w:tcPr>
            <w:tcW w:type="dxa" w:w="29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Si absente</w:t>
            </w:r>
          </w:p>
        </w:tc>
      </w:tr>
      <w:tr>
        <w:tc>
          <w:tcPr>
            <w:tcW w:type="dxa" w:w="2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RESEND_API_KEY</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Envoi des emails</w:t>
            </w:r>
          </w:p>
        </w:tc>
        <w:tc>
          <w:tcPr>
            <w:tcW w:type="dxa" w:w="2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Aucun email envoyé, le reste fonctionne</w:t>
            </w:r>
          </w:p>
        </w:tc>
      </w:tr>
      <w:tr>
        <w:tc>
          <w:tcPr>
            <w:tcW w:type="dxa" w:w="2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RESEND_FROM</w:t>
            </w:r>
          </w:p>
        </w:tc>
        <w:tc>
          <w:tcPr>
            <w:tcW w:type="dxa" w:w="3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Expéditeur affiché</w:t>
            </w:r>
          </w:p>
        </w:tc>
        <w:tc>
          <w:tcPr>
            <w:tcW w:type="dxa" w:w="2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Expéditeur par défaut</w:t>
            </w:r>
          </w:p>
        </w:tc>
      </w:tr>
      <w:tr>
        <w:tc>
          <w:tcPr>
            <w:tcW w:type="dxa" w:w="2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ADMIN_EMAIL</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Destinataire des alertes d'administration</w:t>
            </w:r>
          </w:p>
        </w:tc>
        <w:tc>
          <w:tcPr>
            <w:tcW w:type="dxa" w:w="2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Alertes non envoyées</w:t>
            </w:r>
          </w:p>
        </w:tc>
      </w:tr>
      <w:tr>
        <w:tc>
          <w:tcPr>
            <w:tcW w:type="dxa" w:w="2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CLOUDINARY_* (3 clés)</w:t>
            </w:r>
          </w:p>
        </w:tc>
        <w:tc>
          <w:tcPr>
            <w:tcW w:type="dxa" w:w="3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Stockage des fichiers</w:t>
            </w:r>
          </w:p>
        </w:tc>
        <w:tc>
          <w:tcPr>
            <w:tcW w:type="dxa" w:w="2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Repli sur un disque non durable</w:t>
            </w:r>
          </w:p>
        </w:tc>
      </w:tr>
      <w:tr>
        <w:tc>
          <w:tcPr>
            <w:tcW w:type="dxa" w:w="2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GEMINI_API_KEY</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Assistance par intelligence artificielle</w:t>
            </w:r>
          </w:p>
        </w:tc>
        <w:tc>
          <w:tcPr>
            <w:tcW w:type="dxa" w:w="2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Fonctions masquées</w:t>
            </w:r>
          </w:p>
        </w:tc>
      </w:tr>
      <w:tr>
        <w:tc>
          <w:tcPr>
            <w:tcW w:type="dxa" w:w="2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SUBMISSION_FEE_XAF</w:t>
            </w:r>
          </w:p>
        </w:tc>
        <w:tc>
          <w:tcPr>
            <w:tcW w:type="dxa" w:w="3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Montant des frais de publication</w:t>
            </w:r>
          </w:p>
        </w:tc>
        <w:tc>
          <w:tcPr>
            <w:tcW w:type="dxa" w:w="29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Valeur par défaut : 100 000</w:t>
            </w:r>
          </w:p>
        </w:tc>
      </w:tr>
      <w:tr>
        <w:tc>
          <w:tcPr>
            <w:tcW w:type="dxa" w:w="2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CINETPAY_* (3 clés)</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Paiement en ligne</w:t>
            </w:r>
          </w:p>
        </w:tc>
        <w:tc>
          <w:tcPr>
            <w:tcW w:type="dxa" w:w="29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Mode hors ligne</w:t>
            </w:r>
          </w:p>
        </w:tc>
      </w:tr>
    </w:tbl>
    <w:p>
      <w:pPr>
        <w:spacing w:after="200"/>
      </w:pPr>
    </w:p>
    <w:p>
      <w:pPr>
        <w:pBdr>
          <w:left w:val="single" w:color="2E9E68" w:sz="12" w:space="8"/>
        </w:pBdr>
        <w:spacing w:after="180" w:before="100"/>
        <w:ind w:left="260"/>
      </w:pPr>
      <w:r>
        <w:rPr>
          <w:rFonts w:ascii="Arial" w:cs="Arial" w:eastAsia="Arial" w:hAnsi="Arial"/>
          <w:b/>
          <w:bCs/>
          <w:color w:val="1B4427"/>
          <w:sz w:val="19"/>
          <w:szCs w:val="19"/>
        </w:rPr>
        <w:t xml:space="preserve">Note — </w:t>
      </w:r>
      <w:r>
        <w:rPr>
          <w:rFonts w:ascii="Arial" w:cs="Arial" w:eastAsia="Arial" w:hAnsi="Arial"/>
          <w:color w:val="4B5563"/>
          <w:sz w:val="19"/>
          <w:szCs w:val="19"/>
        </w:rPr>
        <w:t xml:space="preserve">La variable de configuration du site public est lue au moment de la compilation : après modification, il faut relancer un déploiement du site pour qu'elle soit prise en compte.</w:t>
      </w:r>
    </w:p>
    <w:p>
      <w:pPr>
        <w:pStyle w:val="Heading2"/>
      </w:pPr>
      <w:r>
        <w:t xml:space="preserve">8.3 Procédure de déploiement</w:t>
      </w:r>
    </w:p>
    <w:p>
      <w:pPr>
        <w:spacing w:after="130"/>
        <w:jc w:val="both"/>
      </w:pPr>
      <w:r>
        <w:rPr>
          <w:rFonts w:ascii="Arial" w:cs="Arial" w:eastAsia="Arial" w:hAnsi="Arial"/>
          <w:sz w:val="21"/>
          <w:szCs w:val="21"/>
        </w:rPr>
        <w:t xml:space="preserve">Le déploiement se déclenche par l'envoi du code sur le dépôt :</w:t>
      </w:r>
    </w:p>
    <w:p>
      <w:pPr>
        <w:spacing w:after="40"/>
      </w:pPr>
    </w:p>
    <w:p>
      <w:pPr>
        <w:shd w:fill="F3F6F4" w:val="clear"/>
        <w:spacing w:after="0" w:line="240"/>
        <w:ind w:left="340"/>
      </w:pPr>
      <w:r>
        <w:rPr>
          <w:rFonts w:ascii="Consolas" w:cs="Consolas" w:eastAsia="Consolas" w:hAnsi="Consolas"/>
          <w:color w:val="14361F"/>
          <w:sz w:val="17"/>
          <w:szCs w:val="17"/>
        </w:rPr>
        <w:t xml:space="preserve">git push jaei main</w:t>
      </w:r>
    </w:p>
    <w:p>
      <w:pPr>
        <w:spacing w:after="130"/>
      </w:pPr>
    </w:p>
    <w:p>
      <w:pPr>
        <w:pBdr>
          <w:left w:val="single" w:color="D97706" w:sz="12" w:space="8"/>
        </w:pBdr>
        <w:spacing w:after="180" w:before="100"/>
        <w:ind w:left="260"/>
      </w:pPr>
      <w:r>
        <w:rPr>
          <w:rFonts w:ascii="Arial" w:cs="Arial" w:eastAsia="Arial" w:hAnsi="Arial"/>
          <w:b/>
          <w:bCs/>
          <w:color w:val="B45309"/>
          <w:sz w:val="19"/>
          <w:szCs w:val="19"/>
        </w:rPr>
        <w:t xml:space="preserve">Attention — </w:t>
      </w:r>
      <w:r>
        <w:rPr>
          <w:rFonts w:ascii="Arial" w:cs="Arial" w:eastAsia="Arial" w:hAnsi="Arial"/>
          <w:color w:val="4B5563"/>
          <w:sz w:val="19"/>
          <w:szCs w:val="19"/>
        </w:rPr>
        <w:t xml:space="preserve">Le déclenchement automatique s'est révélé peu fiable. Vérifiez systématiquement le tableau de bord et, si rien ne démarre au bout de deux minutes, lancez un déploiement manuel de la dernière version. Un journal affichant seulement le démarrage du serveur, sans étape de compilation, n'est pas un déploiement mais un simple réveil de l'instance.</w:t>
      </w:r>
    </w:p>
    <w:p>
      <w:pPr>
        <w:spacing w:after="130"/>
        <w:jc w:val="both"/>
      </w:pPr>
      <w:r>
        <w:rPr>
          <w:rFonts w:ascii="Arial" w:cs="Arial" w:eastAsia="Arial" w:hAnsi="Arial"/>
          <w:sz w:val="21"/>
          <w:szCs w:val="21"/>
        </w:rPr>
        <w:t xml:space="preserve">Pour vérifier qu'une nouvelle version est bien en ligne, contrôlez le point de santé de l'API, puis le nom du fichier compilé du site : celui-ci change à chaque compilation. S'il n'a pas changé, la nouvelle version n'est pas déployée.</w:t>
      </w:r>
    </w:p>
    <w:p>
      <w:pPr>
        <w:spacing w:after="130"/>
        <w:jc w:val="both"/>
      </w:pPr>
      <w:r>
        <w:rPr>
          <w:rFonts w:ascii="Arial" w:cs="Arial" w:eastAsia="Arial" w:hAnsi="Arial"/>
          <w:sz w:val="21"/>
          <w:szCs w:val="21"/>
        </w:rPr>
        <w:t xml:space="preserve">En cas de problème, un retour à une version antérieure se fait depuis l'historique des déploiements, sans toucher au code source.</w:t>
      </w:r>
    </w:p>
    <w:p>
      <w:pPr>
        <w:pStyle w:val="Heading2"/>
      </w:pPr>
      <w:r>
        <w:t xml:space="preserve">8.4 Règle de réécriture du site public</w:t>
      </w:r>
    </w:p>
    <w:p>
      <w:pPr>
        <w:spacing w:after="130"/>
        <w:jc w:val="both"/>
      </w:pPr>
      <w:r>
        <w:rPr>
          <w:rFonts w:ascii="Arial" w:cs="Arial" w:eastAsia="Arial" w:hAnsi="Arial"/>
          <w:sz w:val="21"/>
          <w:szCs w:val="21"/>
        </w:rPr>
        <w:t xml:space="preserve">L'hébergeur ignore le fichier de redirections livré avec le code. Une règle doit être déclarée manuellement dans le tableau de bord du site statique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Source</w:t>
            </w:r>
          </w:p>
        </w:tc>
        <w:tc>
          <w:tcPr>
            <w:tcW w:type="dxa" w:w="30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Destination</w:t>
            </w:r>
          </w:p>
        </w:tc>
        <w:tc>
          <w:tcPr>
            <w:tcW w:type="dxa" w:w="30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Type</w:t>
            </w:r>
          </w:p>
        </w:tc>
      </w:tr>
      <w:tr>
        <w:tc>
          <w:tcPr>
            <w:tcW w:type="dxa" w:w="30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w:t>
            </w:r>
          </w:p>
        </w:tc>
        <w:tc>
          <w:tcPr>
            <w:tcW w:type="dxa" w:w="30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/index.html</w:t>
            </w:r>
          </w:p>
        </w:tc>
        <w:tc>
          <w:tcPr>
            <w:tcW w:type="dxa" w:w="30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Rewrite (réécriture)</w:t>
            </w:r>
          </w:p>
        </w:tc>
      </w:tr>
    </w:tbl>
    <w:p>
      <w:pPr>
        <w:spacing w:after="200"/>
      </w:pPr>
    </w:p>
    <w:p>
      <w:pPr>
        <w:pBdr>
          <w:left w:val="single" w:color="D97706" w:sz="12" w:space="8"/>
        </w:pBdr>
        <w:spacing w:after="180" w:before="100"/>
        <w:ind w:left="260"/>
      </w:pPr>
      <w:r>
        <w:rPr>
          <w:rFonts w:ascii="Arial" w:cs="Arial" w:eastAsia="Arial" w:hAnsi="Arial"/>
          <w:b/>
          <w:bCs/>
          <w:color w:val="B45309"/>
          <w:sz w:val="19"/>
          <w:szCs w:val="19"/>
        </w:rPr>
        <w:t xml:space="preserve">Attention — </w:t>
      </w:r>
      <w:r>
        <w:rPr>
          <w:rFonts w:ascii="Arial" w:cs="Arial" w:eastAsia="Arial" w:hAnsi="Arial"/>
          <w:color w:val="4B5563"/>
          <w:sz w:val="19"/>
          <w:szCs w:val="19"/>
        </w:rPr>
        <w:t xml:space="preserve">Sans cette règle, toute adresse autre que la page d'accueil renvoie une erreur 404 : connexion, vérification d'adresse, et tout rafraîchissement de page.</w:t>
      </w:r>
    </w:p>
    <w:p>
      <w:pPr>
        <w:pStyle w:val="Heading2"/>
      </w:pPr>
      <w:r>
        <w:t xml:space="preserve">8.5 Activer le paiement en ligne</w:t>
      </w:r>
    </w:p>
    <w:p>
      <w:pPr>
        <w:spacing w:after="130"/>
        <w:jc w:val="both"/>
      </w:pPr>
      <w:r>
        <w:rPr>
          <w:rFonts w:ascii="Arial" w:cs="Arial" w:eastAsia="Arial" w:hAnsi="Arial"/>
          <w:sz w:val="21"/>
          <w:szCs w:val="21"/>
        </w:rPr>
        <w:t xml:space="preserve">Le code est complet et en place : seules les clés du compte marchand manquent.</w:t>
      </w:r>
    </w:p>
    <w:p>
      <w:pPr>
        <w:pStyle w:val="ListParagraph"/>
        <w:numPr>
          <w:ilvl w:val="0"/>
          <w:numId w:val="3"/>
        </w:numPr>
        <w:spacing w:after="70"/>
      </w:pPr>
      <w:r>
        <w:rPr>
          <w:rFonts w:ascii="Arial" w:cs="Arial" w:eastAsia="Arial" w:hAnsi="Arial"/>
          <w:sz w:val="21"/>
          <w:szCs w:val="21"/>
        </w:rPr>
        <w:t xml:space="preserve">Ouvrir un compte marchand CinetPay et récupérer la clé d'API et l'identifiant de site.</w:t>
      </w:r>
    </w:p>
    <w:p>
      <w:pPr>
        <w:pStyle w:val="ListParagraph"/>
        <w:numPr>
          <w:ilvl w:val="0"/>
          <w:numId w:val="3"/>
        </w:numPr>
        <w:spacing w:after="70"/>
      </w:pPr>
      <w:r>
        <w:rPr>
          <w:rFonts w:ascii="Arial" w:cs="Arial" w:eastAsia="Arial" w:hAnsi="Arial"/>
          <w:sz w:val="21"/>
          <w:szCs w:val="21"/>
        </w:rPr>
        <w:t xml:space="preserve">Saisir les trois variables correspondantes dans le tableau de bord de l'hébergeur, dont l'adresse de notification de paiement.</w:t>
      </w:r>
    </w:p>
    <w:p>
      <w:pPr>
        <w:pStyle w:val="ListParagraph"/>
        <w:numPr>
          <w:ilvl w:val="0"/>
          <w:numId w:val="3"/>
        </w:numPr>
        <w:spacing w:after="70"/>
      </w:pPr>
      <w:r>
        <w:rPr>
          <w:rFonts w:ascii="Arial" w:cs="Arial" w:eastAsia="Arial" w:hAnsi="Arial"/>
          <w:sz w:val="21"/>
          <w:szCs w:val="21"/>
        </w:rPr>
        <w:t xml:space="preserve">Redéployer le service applicatif.</w:t>
      </w:r>
    </w:p>
    <w:p>
      <w:pPr>
        <w:pStyle w:val="ListParagraph"/>
        <w:numPr>
          <w:ilvl w:val="0"/>
          <w:numId w:val="3"/>
        </w:numPr>
        <w:spacing w:after="70"/>
      </w:pPr>
      <w:r>
        <w:rPr>
          <w:rFonts w:ascii="Arial" w:cs="Arial" w:eastAsia="Arial" w:hAnsi="Arial"/>
          <w:sz w:val="21"/>
          <w:szCs w:val="21"/>
        </w:rPr>
        <w:t xml:space="preserve">Vérifier que le point d'entrée de configuration des paiements indique que le service est désormais disponible.</w:t>
      </w:r>
    </w:p>
    <w:p>
      <w:pPr>
        <w:pStyle w:val="ListParagraph"/>
        <w:numPr>
          <w:ilvl w:val="0"/>
          <w:numId w:val="3"/>
        </w:numPr>
        <w:spacing w:after="70"/>
      </w:pPr>
      <w:r>
        <w:rPr>
          <w:rFonts w:ascii="Arial" w:cs="Arial" w:eastAsia="Arial" w:hAnsi="Arial"/>
          <w:sz w:val="21"/>
          <w:szCs w:val="21"/>
        </w:rPr>
        <w:t xml:space="preserve">Déclarer l'adresse de notification dans le tableau de bord du prestataire de paiement.</w:t>
      </w:r>
    </w:p>
    <w:p>
      <w:pPr>
        <w:pStyle w:val="ListParagraph"/>
        <w:numPr>
          <w:ilvl w:val="0"/>
          <w:numId w:val="3"/>
        </w:numPr>
        <w:spacing w:after="70"/>
      </w:pPr>
      <w:r>
        <w:rPr>
          <w:rFonts w:ascii="Arial" w:cs="Arial" w:eastAsia="Arial" w:hAnsi="Arial"/>
          <w:sz w:val="21"/>
          <w:szCs w:val="21"/>
        </w:rPr>
        <w:t xml:space="preserve">Effectuer un paiement de bout en bout avec un petit montant réel avant ouverture aux auteurs.</w:t>
      </w:r>
    </w:p>
    <w:p>
      <w:pPr>
        <w:pStyle w:val="Heading1"/>
        <w:pageBreakBefore/>
      </w:pPr>
      <w:r>
        <w:t xml:space="preserve">9. Sauvegardes et supervision</w:t>
      </w:r>
    </w:p>
    <w:p>
      <w:pPr>
        <w:pStyle w:val="Heading2"/>
      </w:pPr>
      <w:r>
        <w:t xml:space="preserve">9.1 État actuel des sauvegardes</w:t>
      </w:r>
    </w:p>
    <w:p>
      <w:pPr>
        <w:spacing w:after="130"/>
        <w:jc w:val="both"/>
      </w:pPr>
      <w:r>
        <w:rPr>
          <w:rFonts w:ascii="Arial" w:cs="Arial" w:eastAsia="Arial" w:hAnsi="Arial"/>
          <w:sz w:val="21"/>
          <w:szCs w:val="21"/>
        </w:rPr>
        <w:t xml:space="preserve">La base est hébergée chez Neon, qui conserve un historique permettant une restauration à un instant donné sur une fenêtre courte. Aucune sauvegarde quotidienne externalisée avec rétention de trente jours n'est en place à ce jour : c'est le premier chantier à traiter après la reprise.</w:t>
      </w:r>
    </w:p>
    <w:p>
      <w:pPr>
        <w:pStyle w:val="Heading3"/>
      </w:pPr>
      <w:r>
        <w:t xml:space="preserve">Sauvegarde manuelle, à exécuter avant toute opération sensible</w:t>
      </w:r>
    </w:p>
    <w:p>
      <w:pPr>
        <w:spacing w:after="40"/>
      </w:pPr>
    </w:p>
    <w:p>
      <w:pPr>
        <w:shd w:fill="F3F6F4" w:val="clear"/>
        <w:spacing w:after="0" w:line="240"/>
        <w:ind w:left="340"/>
      </w:pPr>
      <w:r>
        <w:rPr>
          <w:rFonts w:ascii="Consolas" w:cs="Consolas" w:eastAsia="Consolas" w:hAnsi="Consolas"/>
          <w:color w:val="14361F"/>
          <w:sz w:val="17"/>
          <w:szCs w:val="17"/>
        </w:rPr>
        <w:t xml:space="preserve">pg_dump "&lt;chaîne de connexion&gt;" --no-owner \</w:t>
      </w:r>
    </w:p>
    <w:p>
      <w:pPr>
        <w:shd w:fill="F3F6F4" w:val="clear"/>
        <w:spacing w:after="0" w:line="240"/>
        <w:ind w:left="340"/>
      </w:pPr>
      <w:r>
        <w:rPr>
          <w:rFonts w:ascii="Consolas" w:cs="Consolas" w:eastAsia="Consolas" w:hAnsi="Consolas"/>
          <w:color w:val="14361F"/>
          <w:sz w:val="17"/>
          <w:szCs w:val="17"/>
        </w:rPr>
        <w:t xml:space="preserve">        --format=custom --file=jaei_20260917.dump</w:t>
      </w:r>
    </w:p>
    <w:p>
      <w:pPr>
        <w:spacing w:after="130"/>
      </w:pPr>
    </w:p>
    <w:p>
      <w:pPr>
        <w:pStyle w:val="Heading3"/>
      </w:pPr>
      <w:r>
        <w:t xml:space="preserve">Restauration</w:t>
      </w:r>
    </w:p>
    <w:p>
      <w:pPr>
        <w:spacing w:after="40"/>
      </w:pPr>
    </w:p>
    <w:p>
      <w:pPr>
        <w:shd w:fill="F3F6F4" w:val="clear"/>
        <w:spacing w:after="0" w:line="240"/>
        <w:ind w:left="340"/>
      </w:pPr>
      <w:r>
        <w:rPr>
          <w:rFonts w:ascii="Consolas" w:cs="Consolas" w:eastAsia="Consolas" w:hAnsi="Consolas"/>
          <w:color w:val="14361F"/>
          <w:sz w:val="17"/>
          <w:szCs w:val="17"/>
        </w:rPr>
        <w:t xml:space="preserve">pg_restore --clean --no-owner \</w:t>
      </w:r>
    </w:p>
    <w:p>
      <w:pPr>
        <w:shd w:fill="F3F6F4" w:val="clear"/>
        <w:spacing w:after="0" w:line="240"/>
        <w:ind w:left="340"/>
      </w:pPr>
      <w:r>
        <w:rPr>
          <w:rFonts w:ascii="Consolas" w:cs="Consolas" w:eastAsia="Consolas" w:hAnsi="Consolas"/>
          <w:color w:val="14361F"/>
          <w:sz w:val="17"/>
          <w:szCs w:val="17"/>
        </w:rPr>
        <w:t xml:space="preserve">           --dbname="&lt;chaîne de connexion cible&gt;" jaei_20260917.dump</w:t>
      </w:r>
    </w:p>
    <w:p>
      <w:pPr>
        <w:spacing w:after="130"/>
      </w:pPr>
    </w:p>
    <w:p>
      <w:pPr>
        <w:pStyle w:val="Heading3"/>
      </w:pPr>
      <w:r>
        <w:t xml:space="preserve">Mise en place recommandée</w:t>
      </w:r>
    </w:p>
    <w:p>
      <w:pPr>
        <w:spacing w:after="130"/>
        <w:jc w:val="both"/>
      </w:pPr>
      <w:r>
        <w:rPr>
          <w:rFonts w:ascii="Arial" w:cs="Arial" w:eastAsia="Arial" w:hAnsi="Arial"/>
          <w:sz w:val="21"/>
          <w:szCs w:val="21"/>
        </w:rPr>
        <w:t xml:space="preserve">Automatiser l'export ci-dessus une fois par jour — tâche planifiée, intégration continue programmée, ou offre de sauvegarde du fournisseur — avec dépôt du fichier chiffré sur un stockage distinct et purge automatique au-delà de trente jours.</w:t>
      </w:r>
    </w:p>
    <w:p>
      <w:pPr>
        <w:pBdr>
          <w:left w:val="single" w:color="2E9E68" w:sz="12" w:space="8"/>
        </w:pBdr>
        <w:spacing w:after="180" w:before="100"/>
        <w:ind w:left="260"/>
      </w:pPr>
      <w:r>
        <w:rPr>
          <w:rFonts w:ascii="Arial" w:cs="Arial" w:eastAsia="Arial" w:hAnsi="Arial"/>
          <w:b/>
          <w:bCs/>
          <w:color w:val="1B4427"/>
          <w:sz w:val="19"/>
          <w:szCs w:val="19"/>
        </w:rPr>
        <w:t xml:space="preserve">Note — </w:t>
      </w:r>
      <w:r>
        <w:rPr>
          <w:rFonts w:ascii="Arial" w:cs="Arial" w:eastAsia="Arial" w:hAnsi="Arial"/>
          <w:color w:val="4B5563"/>
          <w:sz w:val="19"/>
          <w:szCs w:val="19"/>
        </w:rPr>
        <w:t xml:space="preserve">Les manuscrits sont hébergés chez le fournisseur de stockage, qui assure leur redondance. Une sauvegarde de la base ne contient pas les fichiers eux-mêmes, seulement leurs adresses.</w:t>
      </w:r>
    </w:p>
    <w:p>
      <w:pPr>
        <w:pStyle w:val="Heading2"/>
      </w:pPr>
      <w:r>
        <w:t xml:space="preserve">9.2 Supervision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Quoi</w:t>
            </w:r>
          </w:p>
        </w:tc>
        <w:tc>
          <w:tcPr>
            <w:tcW w:type="dxa" w:w="34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Où</w:t>
            </w:r>
          </w:p>
        </w:tc>
        <w:tc>
          <w:tcPr>
            <w:tcW w:type="dxa" w:w="30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Fréquence conseillée</w:t>
            </w:r>
          </w:p>
        </w:tc>
      </w:tr>
      <w:tr>
        <w:tc>
          <w:tcPr>
            <w:tcW w:type="dxa" w:w="2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Disponibilité de l'API</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Point de santé /api/health</w:t>
            </w:r>
          </w:p>
        </w:tc>
        <w:tc>
          <w:tcPr>
            <w:tcW w:type="dxa" w:w="30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Surveillance externe, toutes les 5 minutes</w:t>
            </w:r>
          </w:p>
        </w:tc>
      </w:tr>
      <w:tr>
        <w:tc>
          <w:tcPr>
            <w:tcW w:type="dxa" w:w="26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Journaux applicatifs</w:t>
            </w:r>
          </w:p>
        </w:tc>
        <w:tc>
          <w:tcPr>
            <w:tcW w:type="dxa" w:w="3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Tableau de bord de l'hébergeur</w:t>
            </w:r>
          </w:p>
        </w:tc>
        <w:tc>
          <w:tcPr>
            <w:tcW w:type="dxa" w:w="30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En cas d'incident</w:t>
            </w:r>
          </w:p>
        </w:tc>
      </w:tr>
      <w:tr>
        <w:tc>
          <w:tcPr>
            <w:tcW w:type="dxa" w:w="2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Occupation de la base</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Tableau de bord Neon</w:t>
            </w:r>
          </w:p>
        </w:tc>
        <w:tc>
          <w:tcPr>
            <w:tcW w:type="dxa" w:w="30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Mensuelle</w:t>
            </w:r>
          </w:p>
        </w:tc>
      </w:tr>
      <w:tr>
        <w:tc>
          <w:tcPr>
            <w:tcW w:type="dxa" w:w="26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Quota d'emails</w:t>
            </w:r>
          </w:p>
        </w:tc>
        <w:tc>
          <w:tcPr>
            <w:tcW w:type="dxa" w:w="3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Tableau de bord Resend</w:t>
            </w:r>
          </w:p>
        </w:tc>
        <w:tc>
          <w:tcPr>
            <w:tcW w:type="dxa" w:w="30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Mensuelle</w:t>
            </w:r>
          </w:p>
        </w:tc>
      </w:tr>
      <w:tr>
        <w:tc>
          <w:tcPr>
            <w:tcW w:type="dxa" w:w="2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Quota de stockage</w:t>
            </w:r>
          </w:p>
        </w:tc>
        <w:tc>
          <w:tcPr>
            <w:tcW w:type="dxa" w:w="34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Tableau de bord Cloudinary</w:t>
            </w:r>
          </w:p>
        </w:tc>
        <w:tc>
          <w:tcPr>
            <w:tcW w:type="dxa" w:w="30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Mensuelle</w:t>
            </w:r>
          </w:p>
        </w:tc>
      </w:tr>
      <w:tr>
        <w:tc>
          <w:tcPr>
            <w:tcW w:type="dxa" w:w="26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Cohérence du schéma</w:t>
            </w:r>
          </w:p>
        </w:tc>
        <w:tc>
          <w:tcPr>
            <w:tcW w:type="dxa" w:w="34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Point d'entrée de diagnostic</w:t>
            </w:r>
          </w:p>
        </w:tc>
        <w:tc>
          <w:tcPr>
            <w:tcW w:type="dxa" w:w="30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Après chaque déploiement touchant la base</w:t>
            </w:r>
          </w:p>
        </w:tc>
      </w:tr>
    </w:tbl>
    <w:p>
      <w:pPr>
        <w:spacing w:after="200"/>
      </w:pPr>
    </w:p>
    <w:p>
      <w:pPr>
        <w:pBdr>
          <w:left w:val="single" w:color="2E9E68" w:sz="12" w:space="8"/>
        </w:pBdr>
        <w:spacing w:after="180" w:before="100"/>
        <w:ind w:left="260"/>
      </w:pPr>
      <w:r>
        <w:rPr>
          <w:rFonts w:ascii="Arial" w:cs="Arial" w:eastAsia="Arial" w:hAnsi="Arial"/>
          <w:b/>
          <w:bCs/>
          <w:color w:val="1B4427"/>
          <w:sz w:val="19"/>
          <w:szCs w:val="19"/>
        </w:rPr>
        <w:t xml:space="preserve">Note — </w:t>
      </w:r>
      <w:r>
        <w:rPr>
          <w:rFonts w:ascii="Arial" w:cs="Arial" w:eastAsia="Arial" w:hAnsi="Arial"/>
          <w:color w:val="4B5563"/>
          <w:sz w:val="19"/>
          <w:szCs w:val="19"/>
        </w:rPr>
        <w:t xml:space="preserve">Une surveillance externe toutes les cinq minutes maintient de fait le serveur éveillé, mais consomme les heures d'instance incluses dans le plan gratuit. Un dispositif interne équivalent avait été mis en place puis retiré pour cette raison.</w:t>
      </w:r>
    </w:p>
    <w:p>
      <w:pPr>
        <w:pStyle w:val="Heading1"/>
        <w:pageBreakBefore/>
      </w:pPr>
      <w:r>
        <w:t xml:space="preserve">10. Maintenance courante</w:t>
      </w:r>
    </w:p>
    <w:p>
      <w:pPr>
        <w:pStyle w:val="Heading2"/>
      </w:pPr>
      <w:r>
        <w:t xml:space="preserve">10.1 Créer ou promouvoir un administrateur</w:t>
      </w:r>
    </w:p>
    <w:p>
      <w:pPr>
        <w:spacing w:after="130"/>
        <w:jc w:val="both"/>
      </w:pPr>
      <w:r>
        <w:rPr>
          <w:rFonts w:ascii="Arial" w:cs="Arial" w:eastAsia="Arial" w:hAnsi="Arial"/>
          <w:sz w:val="21"/>
          <w:szCs w:val="21"/>
        </w:rPr>
        <w:t xml:space="preserve">L'inscription publique ne permet pas de créer un administrateur. Deux méthodes existent : depuis l'interface, un administrateur en place modifie le rôle du compte dans la gestion des utilisateurs ; en l'absence de tout accès administrateur, directement en base :</w:t>
      </w:r>
    </w:p>
    <w:p>
      <w:pPr>
        <w:spacing w:after="40"/>
      </w:pPr>
    </w:p>
    <w:p>
      <w:pPr>
        <w:shd w:fill="F3F6F4" w:val="clear"/>
        <w:spacing w:after="0" w:line="240"/>
        <w:ind w:left="340"/>
      </w:pPr>
      <w:r>
        <w:rPr>
          <w:rFonts w:ascii="Consolas" w:cs="Consolas" w:eastAsia="Consolas" w:hAnsi="Consolas"/>
          <w:color w:val="14361F"/>
          <w:sz w:val="17"/>
          <w:szCs w:val="17"/>
        </w:rPr>
        <w:t xml:space="preserve">UPDATE users</w:t>
      </w:r>
    </w:p>
    <w:p>
      <w:pPr>
        <w:shd w:fill="F3F6F4" w:val="clear"/>
        <w:spacing w:after="0" w:line="240"/>
        <w:ind w:left="340"/>
      </w:pPr>
      <w:r>
        <w:rPr>
          <w:rFonts w:ascii="Consolas" w:cs="Consolas" w:eastAsia="Consolas" w:hAnsi="Consolas"/>
          <w:color w:val="14361F"/>
          <w:sz w:val="17"/>
          <w:szCs w:val="17"/>
        </w:rPr>
        <w:t xml:space="preserve">   SET role = 'admin', email_verified = TRUE</w:t>
      </w:r>
    </w:p>
    <w:p>
      <w:pPr>
        <w:shd w:fill="F3F6F4" w:val="clear"/>
        <w:spacing w:after="0" w:line="240"/>
        <w:ind w:left="340"/>
      </w:pPr>
      <w:r>
        <w:rPr>
          <w:rFonts w:ascii="Consolas" w:cs="Consolas" w:eastAsia="Consolas" w:hAnsi="Consolas"/>
          <w:color w:val="14361F"/>
          <w:sz w:val="17"/>
          <w:szCs w:val="17"/>
        </w:rPr>
        <w:t xml:space="preserve"> WHERE email = 'nouvel.admin@jaei-journal.org';</w:t>
      </w:r>
    </w:p>
    <w:p>
      <w:pPr>
        <w:spacing w:after="130"/>
      </w:pPr>
    </w:p>
    <w:p>
      <w:pPr>
        <w:pStyle w:val="Heading2"/>
      </w:pPr>
      <w:r>
        <w:t xml:space="preserve">10.2 Débloquer un compte qui ne peut pas se connecter</w:t>
      </w:r>
    </w:p>
    <w:p>
      <w:pPr>
        <w:spacing w:after="130"/>
        <w:jc w:val="both"/>
      </w:pPr>
      <w:r>
        <w:rPr>
          <w:rFonts w:ascii="Arial" w:cs="Arial" w:eastAsia="Arial" w:hAnsi="Arial"/>
          <w:sz w:val="21"/>
          <w:szCs w:val="21"/>
        </w:rPr>
        <w:t xml:space="preserve">La cause la plus fréquente est une adresse email jamais confirmée :</w:t>
      </w:r>
    </w:p>
    <w:p>
      <w:pPr>
        <w:spacing w:after="40"/>
      </w:pPr>
    </w:p>
    <w:p>
      <w:pPr>
        <w:shd w:fill="F3F6F4" w:val="clear"/>
        <w:spacing w:after="0" w:line="240"/>
        <w:ind w:left="340"/>
      </w:pPr>
      <w:r>
        <w:rPr>
          <w:rFonts w:ascii="Consolas" w:cs="Consolas" w:eastAsia="Consolas" w:hAnsi="Consolas"/>
          <w:color w:val="14361F"/>
          <w:sz w:val="17"/>
          <w:szCs w:val="17"/>
        </w:rPr>
        <w:t xml:space="preserve">UPDATE users SET email_verified = TRUE</w:t>
      </w:r>
    </w:p>
    <w:p>
      <w:pPr>
        <w:shd w:fill="F3F6F4" w:val="clear"/>
        <w:spacing w:after="0" w:line="240"/>
        <w:ind w:left="340"/>
      </w:pPr>
      <w:r>
        <w:rPr>
          <w:rFonts w:ascii="Consolas" w:cs="Consolas" w:eastAsia="Consolas" w:hAnsi="Consolas"/>
          <w:color w:val="14361F"/>
          <w:sz w:val="17"/>
          <w:szCs w:val="17"/>
        </w:rPr>
        <w:t xml:space="preserve"> WHERE email = 'utilisateur@exemple.org';</w:t>
      </w:r>
    </w:p>
    <w:p>
      <w:pPr>
        <w:spacing w:after="130"/>
      </w:pPr>
    </w:p>
    <w:p>
      <w:pPr>
        <w:pStyle w:val="Heading2"/>
      </w:pPr>
      <w:r>
        <w:t xml:space="preserve">10.3 Réinitialiser un mot de passe</w:t>
      </w:r>
    </w:p>
    <w:p>
      <w:pPr>
        <w:spacing w:after="130"/>
        <w:jc w:val="both"/>
      </w:pPr>
      <w:r>
        <w:rPr>
          <w:rFonts w:ascii="Arial" w:cs="Arial" w:eastAsia="Arial" w:hAnsi="Arial"/>
          <w:sz w:val="21"/>
          <w:szCs w:val="21"/>
        </w:rPr>
        <w:t xml:space="preserve">Les mots de passe sont irrécupérables. Il faut utiliser la fonction « mot de passe oublié » du site, ou écrire un nouveau condensé calculé hors ligne, puis le placer en base.</w:t>
      </w:r>
    </w:p>
    <w:p>
      <w:pPr>
        <w:pStyle w:val="Heading2"/>
      </w:pPr>
      <w:r>
        <w:t xml:space="preserve">10.4 Réinitialiser le comité éditorial</w:t>
      </w:r>
    </w:p>
    <w:p>
      <w:pPr>
        <w:spacing w:after="130"/>
        <w:jc w:val="both"/>
      </w:pPr>
      <w:r>
        <w:rPr>
          <w:rFonts w:ascii="Arial" w:cs="Arial" w:eastAsia="Arial" w:hAnsi="Arial"/>
          <w:sz w:val="21"/>
          <w:szCs w:val="21"/>
        </w:rPr>
        <w:t xml:space="preserve">Un script idempotent est fourni avec le code : il peut être relancé sans créer de doublons.</w:t>
      </w:r>
    </w:p>
    <w:p>
      <w:pPr>
        <w:spacing w:after="40"/>
      </w:pPr>
    </w:p>
    <w:p>
      <w:pPr>
        <w:shd w:fill="F3F6F4" w:val="clear"/>
        <w:spacing w:after="0" w:line="240"/>
        <w:ind w:left="340"/>
      </w:pPr>
      <w:r>
        <w:rPr>
          <w:rFonts w:ascii="Consolas" w:cs="Consolas" w:eastAsia="Consolas" w:hAnsi="Consolas"/>
          <w:color w:val="14361F"/>
          <w:sz w:val="17"/>
          <w:szCs w:val="17"/>
        </w:rPr>
        <w:t xml:space="preserve">cd backend</w:t>
      </w:r>
    </w:p>
    <w:p>
      <w:pPr>
        <w:shd w:fill="F3F6F4" w:val="clear"/>
        <w:spacing w:after="0" w:line="240"/>
        <w:ind w:left="340"/>
      </w:pPr>
      <w:r>
        <w:rPr>
          <w:rFonts w:ascii="Consolas" w:cs="Consolas" w:eastAsia="Consolas" w:hAnsi="Consolas"/>
          <w:color w:val="14361F"/>
          <w:sz w:val="17"/>
          <w:szCs w:val="17"/>
        </w:rPr>
        <w:t xml:space="preserve">node db/seed-editorial-board.js</w:t>
      </w:r>
    </w:p>
    <w:p>
      <w:pPr>
        <w:spacing w:after="130"/>
      </w:pPr>
    </w:p>
    <w:p>
      <w:pPr>
        <w:pStyle w:val="Heading2"/>
      </w:pPr>
      <w:r>
        <w:t xml:space="preserve">10.5 Ajouter un domaine scientifique</w:t>
      </w:r>
    </w:p>
    <w:p>
      <w:pPr>
        <w:spacing w:after="130"/>
        <w:jc w:val="both"/>
      </w:pPr>
      <w:r>
        <w:rPr>
          <w:rFonts w:ascii="Arial" w:cs="Arial" w:eastAsia="Arial" w:hAnsi="Arial"/>
          <w:sz w:val="21"/>
          <w:szCs w:val="21"/>
        </w:rPr>
        <w:t xml:space="preserve">Ajouter la ligne correspondante dans le bloc d'insertion des domaines du module d'initialisation de la base, puis déployer. Le domaine apparaît alors automatiquement dans les listes déroulantes du formulaire de soumission.</w:t>
      </w:r>
    </w:p>
    <w:p>
      <w:pPr>
        <w:pStyle w:val="Heading2"/>
      </w:pPr>
      <w:r>
        <w:t xml:space="preserve">10.6 Faire évoluer le schéma de la base</w:t>
      </w:r>
    </w:p>
    <w:p>
      <w:pPr>
        <w:spacing w:after="130"/>
        <w:jc w:val="both"/>
      </w:pPr>
      <w:r>
        <w:rPr>
          <w:rFonts w:ascii="Arial" w:cs="Arial" w:eastAsia="Arial" w:hAnsi="Arial"/>
          <w:sz w:val="21"/>
          <w:szCs w:val="21"/>
        </w:rPr>
        <w:t xml:space="preserve">Ajouter un bloc idempotent dans le module d'initialisation, puis déployer : la migration s'applique au démarrage. Ne pas exécuter de modification de structure manuellement en production.</w:t>
      </w:r>
    </w:p>
    <w:p>
      <w:pPr>
        <w:spacing w:after="130"/>
        <w:jc w:val="both"/>
      </w:pPr>
      <w:r>
        <w:rPr>
          <w:rFonts w:ascii="Arial" w:cs="Arial" w:eastAsia="Arial" w:hAnsi="Arial"/>
          <w:sz w:val="21"/>
          <w:szCs w:val="21"/>
        </w:rPr>
        <w:t xml:space="preserve">Tout nouveau statut de manuscrit doit aussi être rangé dans l'une des six étapes de l'espace auteur (fichier de regroupement des statuts du frontend), faute de quoi l'article n'apparaîtrait dans aucun onglet.</w:t>
      </w:r>
    </w:p>
    <w:p>
      <w:pPr>
        <w:pStyle w:val="Heading2"/>
      </w:pPr>
      <w:r>
        <w:t xml:space="preserve">10.7 Supprimer un compte éditeur</w:t>
      </w:r>
    </w:p>
    <w:p>
      <w:pPr>
        <w:spacing w:after="130"/>
        <w:jc w:val="both"/>
      </w:pPr>
      <w:r>
        <w:rPr>
          <w:rFonts w:ascii="Arial" w:cs="Arial" w:eastAsia="Arial" w:hAnsi="Arial"/>
          <w:sz w:val="21"/>
          <w:szCs w:val="21"/>
        </w:rPr>
        <w:t xml:space="preserve">Le lien entre une soumission et son éditeur en charge ne porte pas de règle de suppression : la suppression d'un administrateur désigné éditeur d'un manuscrit échoue. Réassigner d'abord ses manuscrits à un autre éditeur, ou ajouter une règle de mise à vide dans le module d'initialisation de la base.</w:t>
      </w:r>
    </w:p>
    <w:p>
      <w:pPr>
        <w:pStyle w:val="Heading1"/>
        <w:pageBreakBefore/>
      </w:pPr>
      <w:r>
        <w:t xml:space="preserve">11. Incidents fréquents et résolution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Symptôme</w:t>
            </w:r>
          </w:p>
        </w:tc>
        <w:tc>
          <w:tcPr>
            <w:tcW w:type="dxa" w:w="28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Cause probable</w:t>
            </w:r>
          </w:p>
        </w:tc>
        <w:tc>
          <w:tcPr>
            <w:tcW w:type="dxa" w:w="32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Résolution</w:t>
            </w:r>
          </w:p>
        </w:tc>
      </w:tr>
      <w:tr>
        <w:tc>
          <w:tcPr>
            <w:tcW w:type="dxa" w:w="30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Première requête très lente, environ 50 secondes</w:t>
            </w:r>
          </w:p>
        </w:tc>
        <w:tc>
          <w:tcPr>
            <w:tcW w:type="dxa" w:w="28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Instance mise en veille</w:t>
            </w:r>
          </w:p>
        </w:tc>
        <w:tc>
          <w:tcPr>
            <w:tcW w:type="dxa" w:w="32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Comportement normal du plan gratuit. Passer à un plan payant pour le supprimer</w:t>
            </w:r>
          </w:p>
        </w:tc>
      </w:tr>
      <w:tr>
        <w:tc>
          <w:tcPr>
            <w:tcW w:type="dxa" w:w="30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Erreur 404 sur la connexion, la vérification d'adresse, ou après un rafraîchissement</w:t>
            </w:r>
          </w:p>
        </w:tc>
        <w:tc>
          <w:tcPr>
            <w:tcW w:type="dxa" w:w="28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Règle de réécriture absente</w:t>
            </w:r>
          </w:p>
        </w:tc>
        <w:tc>
          <w:tcPr>
            <w:tcW w:type="dxa" w:w="32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Recréer la règle de réécriture (chapitre 8.4)</w:t>
            </w:r>
          </w:p>
        </w:tc>
      </w:tr>
      <w:tr>
        <w:tc>
          <w:tcPr>
            <w:tcW w:type="dxa" w:w="30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Les emails ne partent plus</w:t>
            </w:r>
          </w:p>
        </w:tc>
        <w:tc>
          <w:tcPr>
            <w:tcW w:type="dxa" w:w="28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Clé expirée, quota atteint, ou DNS modifié</w:t>
            </w:r>
          </w:p>
        </w:tc>
        <w:tc>
          <w:tcPr>
            <w:tcW w:type="dxa" w:w="32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Vérifier le service d'envoi et les enregistrements DNS chez le registrar</w:t>
            </w:r>
          </w:p>
        </w:tc>
      </w:tr>
      <w:tr>
        <w:tc>
          <w:tcPr>
            <w:tcW w:type="dxa" w:w="30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Erreur réseau lors d'un envoi d'email</w:t>
            </w:r>
          </w:p>
        </w:tc>
        <w:tc>
          <w:tcPr>
            <w:tcW w:type="dxa" w:w="28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Tentative d'envoi par SMTP depuis l'hébergeur</w:t>
            </w:r>
          </w:p>
        </w:tc>
        <w:tc>
          <w:tcPr>
            <w:tcW w:type="dxa" w:w="32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Renseigner la clé du service d'envoi par interface HTTPS</w:t>
            </w:r>
          </w:p>
        </w:tc>
      </w:tr>
      <w:tr>
        <w:tc>
          <w:tcPr>
            <w:tcW w:type="dxa" w:w="30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Erreur de résolution du serveur de base de données</w:t>
            </w:r>
          </w:p>
        </w:tc>
        <w:tc>
          <w:tcPr>
            <w:tcW w:type="dxa" w:w="28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La configuration pointe encore vers l'ancienne base expirée</w:t>
            </w:r>
          </w:p>
        </w:tc>
        <w:tc>
          <w:tcPr>
            <w:tcW w:type="dxa" w:w="32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Rétablir la chaîne de connexion Neon</w:t>
            </w:r>
          </w:p>
        </w:tc>
      </w:tr>
      <w:tr>
        <w:tc>
          <w:tcPr>
            <w:tcW w:type="dxa" w:w="30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Tous les utilisateurs bloqués par les quotas</w:t>
            </w:r>
          </w:p>
        </w:tc>
        <w:tc>
          <w:tcPr>
            <w:tcW w:type="dxa" w:w="28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Réglage de confiance au proxy supprimé</w:t>
            </w:r>
          </w:p>
        </w:tc>
        <w:tc>
          <w:tcPr>
            <w:tcW w:type="dxa" w:w="32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Restaurer le réglage et redéployer</w:t>
            </w:r>
          </w:p>
        </w:tc>
      </w:tr>
      <w:tr>
        <w:tc>
          <w:tcPr>
            <w:tcW w:type="dxa" w:w="30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Les fichiers téléversés disparaissent</w:t>
            </w:r>
          </w:p>
        </w:tc>
        <w:tc>
          <w:tcPr>
            <w:tcW w:type="dxa" w:w="28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Stockage externe non configuré, repli sur un disque éphémère</w:t>
            </w:r>
          </w:p>
        </w:tc>
        <w:tc>
          <w:tcPr>
            <w:tcW w:type="dxa" w:w="32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Renseigner les trois clés du service de stockage</w:t>
            </w:r>
          </w:p>
        </w:tc>
      </w:tr>
      <w:tr>
        <w:tc>
          <w:tcPr>
            <w:tcW w:type="dxa" w:w="30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Impossible de publier un article</w:t>
            </w:r>
          </w:p>
        </w:tc>
        <w:tc>
          <w:tcPr>
            <w:tcW w:type="dxa" w:w="28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Frais de publication non constatés, ou PDF de publication non déposé</w:t>
            </w:r>
          </w:p>
        </w:tc>
        <w:tc>
          <w:tcPr>
            <w:tcW w:type="dxa" w:w="32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Marquer les frais comme réglés et déposer le PDF mis en page depuis la fiche de la soumission</w:t>
            </w:r>
          </w:p>
        </w:tc>
      </w:tr>
      <w:tr>
        <w:tc>
          <w:tcPr>
            <w:tcW w:type="dxa" w:w="30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 Upstream error » à l'ouverture d'un PDF</w:t>
            </w:r>
          </w:p>
        </w:tc>
        <w:tc>
          <w:tcPr>
            <w:tcW w:type="dxa" w:w="28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 service de stockage bloque la diffusion des PDF et le relais authentifié échoue</w:t>
            </w:r>
          </w:p>
        </w:tc>
        <w:tc>
          <w:tcPr>
            <w:tcW w:type="dxa" w:w="32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Vérifier les clés du service de stockage, ou y autoriser la diffusion des PDF dans les réglages de sécurité</w:t>
            </w:r>
          </w:p>
        </w:tc>
      </w:tr>
      <w:tr>
        <w:tc>
          <w:tcPr>
            <w:tcW w:type="dxa" w:w="30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Erreur en base sur un statut nouvellement ajouté</w:t>
            </w:r>
          </w:p>
        </w:tc>
        <w:tc>
          <w:tcPr>
            <w:tcW w:type="dxa" w:w="28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Contrainte de validation héritée non mise à jour</w:t>
            </w:r>
          </w:p>
        </w:tc>
        <w:tc>
          <w:tcPr>
            <w:tcW w:type="dxa" w:w="32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Élargir la contrainte dans le module d'initialisation</w:t>
            </w:r>
          </w:p>
        </w:tc>
      </w:tr>
      <w:tr>
        <w:tc>
          <w:tcPr>
            <w:tcW w:type="dxa" w:w="30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 code est envoyé mais le site n'a pas changé</w:t>
            </w:r>
          </w:p>
        </w:tc>
        <w:tc>
          <w:tcPr>
            <w:tcW w:type="dxa" w:w="28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Déploiement automatique non déclenché</w:t>
            </w:r>
          </w:p>
        </w:tc>
        <w:tc>
          <w:tcPr>
            <w:tcW w:type="dxa" w:w="32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Lancer un déploiement manuel de la dernière version</w:t>
            </w:r>
          </w:p>
        </w:tc>
      </w:tr>
    </w:tbl>
    <w:p>
      <w:pPr>
        <w:pStyle w:val="Heading1"/>
        <w:pageBreakBefore/>
      </w:pPr>
      <w:r>
        <w:t xml:space="preserve">12. Reprise du projet — check-list</w:t>
      </w:r>
    </w:p>
    <w:p>
      <w:pPr>
        <w:spacing w:after="130"/>
        <w:jc w:val="both"/>
      </w:pPr>
      <w:r>
        <w:rPr>
          <w:rFonts w:ascii="Arial" w:cs="Arial" w:eastAsia="Arial" w:hAnsi="Arial"/>
          <w:sz w:val="21"/>
          <w:szCs w:val="21"/>
        </w:rPr>
        <w:t xml:space="preserve">À l'attention de la personne ou de l'équipe qui reprendra la maintenance de la plateforme.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
            </w:r>
          </w:p>
        </w:tc>
        <w:tc>
          <w:tcPr>
            <w:tcW w:type="dxa" w:w="83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Action</w:t>
            </w:r>
          </w:p>
        </w:tc>
      </w:tr>
      <w:tr>
        <w:tc>
          <w:tcPr>
            <w:tcW w:type="dxa" w:w="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w:t>
            </w:r>
          </w:p>
        </w:tc>
        <w:tc>
          <w:tcPr>
            <w:tcW w:type="dxa" w:w="8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Obtenir les accès : dépôt de code, hébergeur, base de données, service d'emails, stockage, registrar du domaine</w:t>
            </w:r>
          </w:p>
        </w:tc>
      </w:tr>
      <w:tr>
        <w:tc>
          <w:tcPr>
            <w:tcW w:type="dxa" w:w="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2</w:t>
            </w:r>
          </w:p>
        </w:tc>
        <w:tc>
          <w:tcPr>
            <w:tcW w:type="dxa" w:w="8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Cloner le dépôt et démarrer le projet en local en suivant le fichier README</w:t>
            </w:r>
          </w:p>
        </w:tc>
      </w:tr>
      <w:tr>
        <w:tc>
          <w:tcPr>
            <w:tcW w:type="dxa" w:w="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3</w:t>
            </w:r>
          </w:p>
        </w:tc>
        <w:tc>
          <w:tcPr>
            <w:tcW w:type="dxa" w:w="8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Lire le chapitre 4.2 du présent document sur la gestion des migrations, ainsi que les points de vigilance</w:t>
            </w:r>
          </w:p>
        </w:tc>
      </w:tr>
      <w:tr>
        <w:tc>
          <w:tcPr>
            <w:tcW w:type="dxa" w:w="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4</w:t>
            </w:r>
          </w:p>
        </w:tc>
        <w:tc>
          <w:tcPr>
            <w:tcW w:type="dxa" w:w="8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Exporter une sauvegarde de la base et vérifier qu'elle se restaure correctement</w:t>
            </w:r>
          </w:p>
        </w:tc>
      </w:tr>
      <w:tr>
        <w:tc>
          <w:tcPr>
            <w:tcW w:type="dxa" w:w="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5</w:t>
            </w:r>
          </w:p>
        </w:tc>
        <w:tc>
          <w:tcPr>
            <w:tcW w:type="dxa" w:w="8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Mettre en place la sauvegarde quotidienne automatisée avec rétention de trente jours</w:t>
            </w:r>
          </w:p>
        </w:tc>
      </w:tr>
      <w:tr>
        <w:tc>
          <w:tcPr>
            <w:tcW w:type="dxa" w:w="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6</w:t>
            </w:r>
          </w:p>
        </w:tc>
        <w:tc>
          <w:tcPr>
            <w:tcW w:type="dxa" w:w="8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Mettre en place une surveillance externe du point de santé de l'API</w:t>
            </w:r>
          </w:p>
        </w:tc>
      </w:tr>
      <w:tr>
        <w:tc>
          <w:tcPr>
            <w:tcW w:type="dxa" w:w="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7</w:t>
            </w:r>
          </w:p>
        </w:tc>
        <w:tc>
          <w:tcPr>
            <w:tcW w:type="dxa" w:w="8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Renouveler la clé de signature des jetons et les clés d'API auxquelles le prestataire précédent a eu accès</w:t>
            </w:r>
          </w:p>
        </w:tc>
      </w:tr>
      <w:tr>
        <w:tc>
          <w:tcPr>
            <w:tcW w:type="dxa" w:w="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8</w:t>
            </w:r>
          </w:p>
        </w:tc>
        <w:tc>
          <w:tcPr>
            <w:tcW w:type="dxa" w:w="8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Vérifier les dates d'expiration du nom de domaine et des comptes de service</w:t>
            </w:r>
          </w:p>
        </w:tc>
      </w:tr>
      <w:tr>
        <w:tc>
          <w:tcPr>
            <w:tcW w:type="dxa" w:w="7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9</w:t>
            </w:r>
          </w:p>
        </w:tc>
        <w:tc>
          <w:tcPr>
            <w:tcW w:type="dxa" w:w="83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Décider du passage à un plan d'hébergement payant, qui supprime la mise en veille</w:t>
            </w:r>
          </w:p>
        </w:tc>
      </w:tr>
      <w:tr>
        <w:tc>
          <w:tcPr>
            <w:tcW w:type="dxa" w:w="7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10</w:t>
            </w:r>
          </w:p>
        </w:tc>
        <w:tc>
          <w:tcPr>
            <w:tcW w:type="dxa" w:w="83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Activer le paiement en ligne dès l'ouverture du compte marchand</w:t>
            </w:r>
          </w:p>
        </w:tc>
      </w:tr>
    </w:tbl>
    <w:p>
      <w:pPr>
        <w:pStyle w:val="Heading1"/>
        <w:pageBreakBefore/>
      </w:pPr>
      <w:r>
        <w:t xml:space="preserve">Annexe A — Comportement en mode dégradé</w:t>
      </w:r>
    </w:p>
    <w:p>
      <w:pPr>
        <w:spacing w:after="130"/>
        <w:jc w:val="both"/>
      </w:pPr>
      <w:r>
        <w:rPr>
          <w:rFonts w:ascii="Arial" w:cs="Arial" w:eastAsia="Arial" w:hAnsi="Arial"/>
          <w:sz w:val="21"/>
          <w:szCs w:val="21"/>
        </w:rPr>
        <w:t xml:space="preserve">La plateforme est conçue pour rester fonctionnelle lorsqu'un service externe est indisponible ou non configuré. C'est ce qui lui permet de fonctionner aujourd'hui sans compte marchand.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Service indisponible</w:t>
            </w:r>
          </w:p>
        </w:tc>
        <w:tc>
          <w:tcPr>
            <w:tcW w:type="dxa" w:w="61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Conséquence</w:t>
            </w:r>
          </w:p>
        </w:tc>
      </w:tr>
      <w:tr>
        <w:tc>
          <w:tcPr>
            <w:tcW w:type="dxa" w:w="29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Base de données</w:t>
            </w:r>
          </w:p>
        </w:tc>
        <w:tc>
          <w:tcPr>
            <w:tcW w:type="dxa" w:w="61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 serveur démarre et répond au contrôle de santé ; les routes de données renvoient une erreur jusqu'au rétablissement, sans redémarrage en boucle</w:t>
            </w:r>
          </w:p>
        </w:tc>
      </w:tr>
      <w:tr>
        <w:tc>
          <w:tcPr>
            <w:tcW w:type="dxa" w:w="29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Service d'envoi d'emails</w:t>
            </w:r>
          </w:p>
        </w:tc>
        <w:tc>
          <w:tcPr>
            <w:tcW w:type="dxa" w:w="61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Les envois sont ignorés et journalisés ; les inscriptions et les soumissions continuent de fonctionner</w:t>
            </w:r>
          </w:p>
        </w:tc>
      </w:tr>
      <w:tr>
        <w:tc>
          <w:tcPr>
            <w:tcW w:type="dxa" w:w="29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Intelligence artificielle</w:t>
            </w:r>
          </w:p>
        </w:tc>
        <w:tc>
          <w:tcPr>
            <w:tcW w:type="dxa" w:w="61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Les fonctions d'assistance sont masquées dans l'interface</w:t>
            </w:r>
          </w:p>
        </w:tc>
      </w:tr>
      <w:tr>
        <w:tc>
          <w:tcPr>
            <w:tcW w:type="dxa" w:w="29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Stockage externe des fichiers</w:t>
            </w:r>
          </w:p>
        </w:tc>
        <w:tc>
          <w:tcPr>
            <w:tcW w:type="dxa" w:w="61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Bascule automatique sur le disque local du serveur</w:t>
            </w:r>
          </w:p>
        </w:tc>
      </w:tr>
      <w:tr>
        <w:tc>
          <w:tcPr>
            <w:tcW w:type="dxa" w:w="29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Passerelle de paiement</w:t>
            </w:r>
          </w:p>
        </w:tc>
        <w:tc>
          <w:tcPr>
            <w:tcW w:type="dxa" w:w="61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Mode hors ligne : instructions de règlement affichées, validation manuelle par l'administration</w:t>
            </w:r>
          </w:p>
        </w:tc>
      </w:tr>
    </w:tbl>
    <w:p>
      <w:pPr>
        <w:spacing w:after="200"/>
      </w:pPr>
    </w:p>
    <w:p>
      <w:pPr>
        <w:pBdr>
          <w:left w:val="single" w:color="D97706" w:sz="12" w:space="8"/>
        </w:pBdr>
        <w:spacing w:after="180" w:before="100"/>
        <w:ind w:left="260"/>
      </w:pPr>
      <w:r>
        <w:rPr>
          <w:rFonts w:ascii="Arial" w:cs="Arial" w:eastAsia="Arial" w:hAnsi="Arial"/>
          <w:b/>
          <w:bCs/>
          <w:color w:val="B45309"/>
          <w:sz w:val="19"/>
          <w:szCs w:val="19"/>
        </w:rPr>
        <w:t xml:space="preserve">Attention — </w:t>
      </w:r>
      <w:r>
        <w:rPr>
          <w:rFonts w:ascii="Arial" w:cs="Arial" w:eastAsia="Arial" w:hAnsi="Arial"/>
          <w:color w:val="4B5563"/>
          <w:sz w:val="19"/>
          <w:szCs w:val="19"/>
        </w:rPr>
        <w:t xml:space="preserve">Le repli sur le disque local n'est pas viable durablement en production : le système de fichiers de l'hébergeur est éphémère et tout fichier écrit est perdu au redéploiement. Le service de stockage externe doit rester configuré.</w:t>
      </w:r>
    </w:p>
    <w:p>
      <w:pPr>
        <w:pStyle w:val="Heading1"/>
        <w:pageBreakBefore/>
      </w:pPr>
      <w:r>
        <w:t xml:space="preserve">Annexe B — Documents techniques livrés</w:t>
      </w:r>
    </w:p>
    <w:p>
      <w:pPr>
        <w:spacing w:after="130"/>
        <w:jc w:val="both"/>
      </w:pPr>
      <w:r>
        <w:rPr>
          <w:rFonts w:ascii="Arial" w:cs="Arial" w:eastAsia="Arial" w:hAnsi="Arial"/>
          <w:sz w:val="21"/>
          <w:szCs w:val="21"/>
        </w:rPr>
        <w:t xml:space="preserve">La documentation technique est livrée avec le code source, dans le dépôt, afin qu'elle évolue avec lui et reste disponible pour tout mainteneur futur.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Fichier</w:t>
            </w:r>
          </w:p>
        </w:tc>
        <w:tc>
          <w:tcPr>
            <w:tcW w:type="dxa" w:w="6426"/>
            <w:tcBorders>
              <w:top w:val="single" w:color="D8DEDA" w:sz="2"/>
              <w:left w:val="single" w:color="D8DEDA" w:sz="2"/>
              <w:bottom w:val="single" w:color="D8DEDA" w:sz="2"/>
              <w:right w:val="single" w:color="D8DEDA" w:sz="2"/>
            </w:tcBorders>
            <w:shd w:fill="1B4427" w:val="clear"/>
            <w:tcMar>
              <w:top w:type="dxa" w:w="70"/>
              <w:left w:type="dxa" w:w="110"/>
              <w:bottom w:type="dxa" w:w="70"/>
              <w:right w:type="dxa" w:w="110"/>
            </w:tcMar>
            <w:vAlign w:val="center"/>
          </w:tcPr>
          <w:p>
            <w:pPr>
              <w:spacing w:after="0"/>
            </w:pPr>
            <w:r>
              <w:rPr>
                <w:rFonts w:ascii="Arial" w:cs="Arial" w:eastAsia="Arial" w:hAnsi="Arial"/>
                <w:b/>
                <w:bCs/>
                <w:color w:val="FFFFFF"/>
                <w:sz w:val="18"/>
                <w:szCs w:val="18"/>
              </w:rPr>
              <w:t xml:space="preserve">Contenu</w:t>
            </w:r>
          </w:p>
        </w:tc>
      </w:tr>
      <w:tr>
        <w:tc>
          <w:tcPr>
            <w:tcW w:type="dxa" w:w="2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README.md</w:t>
            </w:r>
          </w:p>
        </w:tc>
        <w:tc>
          <w:tcPr>
            <w:tcW w:type="dxa" w:w="6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Présentation du projet, environnement technique, installation en local, structure des dossiers, rôles utilisateurs</w:t>
            </w:r>
          </w:p>
        </w:tc>
      </w:tr>
      <w:tr>
        <w:tc>
          <w:tcPr>
            <w:tcW w:type="dxa" w:w="26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docs/ARCHITECTURE.md</w:t>
            </w:r>
          </w:p>
        </w:tc>
        <w:tc>
          <w:tcPr>
            <w:tcW w:type="dxa" w:w="6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Architecture détaillée, modèle de données complet, workflows, sécurité, points de vigilance pour le mainteneur</w:t>
            </w:r>
          </w:p>
        </w:tc>
      </w:tr>
      <w:tr>
        <w:tc>
          <w:tcPr>
            <w:tcW w:type="dxa" w:w="2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docs/API.md</w:t>
            </w:r>
          </w:p>
        </w:tc>
        <w:tc>
          <w:tcPr>
            <w:tcW w:type="dxa" w:w="6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Référence exhaustive des 64 points d'entrée : paramètres, corps de requête, réponses, codes d'erreur, emails déclenchés</w:t>
            </w:r>
          </w:p>
        </w:tc>
      </w:tr>
      <w:tr>
        <w:tc>
          <w:tcPr>
            <w:tcW w:type="dxa" w:w="2600"/>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docs/EXPLOITATION.md</w:t>
            </w:r>
          </w:p>
        </w:tc>
        <w:tc>
          <w:tcPr>
            <w:tcW w:type="dxa" w:w="6426"/>
            <w:tcBorders>
              <w:top w:val="single" w:color="D8DEDA" w:sz="2"/>
              <w:left w:val="single" w:color="D8DEDA" w:sz="2"/>
              <w:bottom w:val="single" w:color="D8DEDA" w:sz="2"/>
              <w:right w:val="single" w:color="D8DEDA" w:sz="2"/>
            </w:tcBorders>
            <w:shd w:fill="F3F6F4"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Déploiement, variables d'environnement, sauvegardes, supervision, maintenance courante, incidents, check-list de reprise</w:t>
            </w:r>
          </w:p>
        </w:tc>
      </w:tr>
      <w:tr>
        <w:tc>
          <w:tcPr>
            <w:tcW w:type="dxa" w:w="2600"/>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Documentation Technique JAEI.docx</w:t>
            </w:r>
          </w:p>
        </w:tc>
        <w:tc>
          <w:tcPr>
            <w:tcW w:type="dxa" w:w="6426"/>
            <w:tcBorders>
              <w:top w:val="single" w:color="D8DEDA" w:sz="2"/>
              <w:left w:val="single" w:color="D8DEDA" w:sz="2"/>
              <w:bottom w:val="single" w:color="D8DEDA" w:sz="2"/>
              <w:right w:val="single" w:color="D8DEDA" w:sz="2"/>
            </w:tcBorders>
            <w:shd w:fill="FFFFFF" w:val="clear"/>
            <w:tcMar>
              <w:top w:type="dxa" w:w="70"/>
              <w:left w:type="dxa" w:w="110"/>
              <w:bottom w:type="dxa" w:w="70"/>
              <w:right w:type="dxa" w:w="110"/>
            </w:tcMar>
            <w:vAlign w:val="center"/>
          </w:tcPr>
          <w:p>
            <w:pPr>
              <w:spacing w:after="0"/>
            </w:pPr>
            <w:r>
              <w:rPr>
                <w:rFonts w:ascii="Arial" w:cs="Arial" w:eastAsia="Arial" w:hAnsi="Arial"/>
                <w:b w:val="false"/>
                <w:bCs w:val="false"/>
                <w:color w:val="1F2937"/>
                <w:sz w:val="18"/>
                <w:szCs w:val="18"/>
              </w:rPr>
              <w:t xml:space="preserve">Le présent document : synthèse destinée au client</w:t>
            </w:r>
          </w:p>
        </w:tc>
      </w:tr>
    </w:tbl>
    <w:p>
      <w:pPr>
        <w:spacing w:after="200"/>
      </w:pPr>
    </w:p>
    <w:p>
      <w:pPr>
        <w:pBdr>
          <w:left w:val="single" w:color="2E9E68" w:sz="12" w:space="8"/>
        </w:pBdr>
        <w:spacing w:after="180" w:before="100"/>
        <w:ind w:left="260"/>
      </w:pPr>
      <w:r>
        <w:rPr>
          <w:rFonts w:ascii="Arial" w:cs="Arial" w:eastAsia="Arial" w:hAnsi="Arial"/>
          <w:b/>
          <w:bCs/>
          <w:color w:val="1B4427"/>
          <w:sz w:val="19"/>
          <w:szCs w:val="19"/>
        </w:rPr>
        <w:t xml:space="preserve">Note — </w:t>
      </w:r>
      <w:r>
        <w:rPr>
          <w:rFonts w:ascii="Arial" w:cs="Arial" w:eastAsia="Arial" w:hAnsi="Arial"/>
          <w:color w:val="4B5563"/>
          <w:sz w:val="19"/>
          <w:szCs w:val="19"/>
        </w:rPr>
        <w:t xml:space="preserve">Le présent document est une synthèse. En cas d'écart avec les fichiers livrés dans le dépôt, ces derniers font référence : ils sont versionnés avec le code et mis à jour à chaque évolution.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AA5A0"/>
        <w:sz w:val="16"/>
        <w:szCs w:val="16"/>
      </w:rPr>
      <w:t xml:space="preserve">JAEI — Journal of Agricultural and Environmental Innovation</w:t>
    </w:r>
    <w:r>
      <w:rPr>
        <w:rFonts w:ascii="Arial" w:cs="Arial" w:eastAsia="Arial" w:hAnsi="Arial"/>
        <w:sz w:val="16"/>
        <w:szCs w:val="16"/>
      </w:rPr>
      <w:t xml:space="preserve">	</w:t>
    </w:r>
    <w:r>
      <w:rPr>
        <w:rFonts w:ascii="Arial" w:cs="Arial" w:eastAsia="Arial" w:hAnsi="Arial"/>
        <w:color w:val="9AA5A0"/>
        <w:sz w:val="16"/>
        <w:szCs w:val="16"/>
      </w:rPr>
      <w:t xml:space="preserve">Page </w:t>
    </w:r>
    <w:r>
      <w:rPr>
        <w:rFonts w:ascii="Arial" w:cs="Arial" w:eastAsia="Arial" w:hAnsi="Arial"/>
        <w:color w:val="9AA5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DE" w:sz="4" w:space="4"/>
      </w:pBdr>
      <w:tabs>
        <w:tab w:val="right" w:pos="9026"/>
      </w:tabs>
      <w:spacing w:after="60"/>
    </w:pPr>
    <w:r>
      <w:rPr>
        <w:rFonts w:ascii="Arial" w:cs="Arial" w:eastAsia="Arial" w:hAnsi="Arial"/>
        <w:color w:val="9AA5A0"/>
        <w:sz w:val="16"/>
        <w:szCs w:val="16"/>
      </w:rPr>
      <w:t xml:space="preserve">Documentation Technique — Plateforme JAEI</w:t>
    </w:r>
    <w:r>
      <w:rPr>
        <w:rFonts w:ascii="Arial" w:cs="Arial" w:eastAsia="Arial" w:hAnsi="Arial"/>
        <w:color w:val="9AA5A0"/>
        <w:sz w:val="16"/>
        <w:szCs w:val="16"/>
      </w:rPr>
      <w:t xml:space="preserve">	Version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pPr>
        <w:spacing w:after="1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9E68" w:sz="8" w:space="6"/>
      </w:pBdr>
      <w:spacing w:after="220" w:before="260"/>
      <w:outlineLvl w:val="0"/>
    </w:pPr>
    <w:rPr>
      <w:rFonts w:ascii="Arial" w:cs="Arial" w:eastAsia="Arial" w:hAnsi="Arial"/>
      <w:b/>
      <w:bCs/>
      <w:color w:val="1B4427"/>
      <w:sz w:val="30"/>
      <w:szCs w:val="30"/>
    </w:rPr>
  </w:style>
  <w:style w:type="paragraph" w:styleId="Heading2">
    <w:name w:val="Heading 2"/>
    <w:basedOn w:val="Normal"/>
    <w:next w:val="Normal"/>
    <w:qFormat/>
    <w:pPr>
      <w:spacing w:after="140" w:before="320"/>
      <w:outlineLvl w:val="1"/>
    </w:pPr>
    <w:rPr>
      <w:rFonts w:ascii="Arial" w:cs="Arial" w:eastAsia="Arial" w:hAnsi="Arial"/>
      <w:b/>
      <w:bCs/>
      <w:color w:val="2E9E68"/>
      <w:sz w:val="24"/>
      <w:szCs w:val="24"/>
    </w:rPr>
  </w:style>
  <w:style w:type="paragraph" w:styleId="Heading3">
    <w:name w:val="Heading 3"/>
    <w:basedOn w:val="Normal"/>
    <w:next w:val="Normal"/>
    <w:qFormat/>
    <w:pPr>
      <w:spacing w:after="110" w:before="240"/>
      <w:outlineLvl w:val="2"/>
    </w:pPr>
    <w:rPr>
      <w:rFonts w:ascii="Arial" w:cs="Arial" w:eastAsia="Arial" w:hAnsi="Arial"/>
      <w:b/>
      <w:bCs/>
      <w:color w:val="1B442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52257bd72d346e310b9aebaa63a22d2eb94c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Plateforme JAEI</dc:title>
  <dc:creator>Ing. ABENG NDO Theï</dc:creator>
  <dc:description>Documentation technique pour la maintenance future de la plateforme JAEI</dc:description>
  <cp:lastModifiedBy>Un-named</cp:lastModifiedBy>
  <cp:revision>1</cp:revision>
  <dcterms:created xsi:type="dcterms:W3CDTF">2026-09-29T14:32:06.028Z</dcterms:created>
  <dcterms:modified xsi:type="dcterms:W3CDTF">2026-09-29T14:32:06.029Z</dcterms:modified>
</cp:coreProperties>
</file>

<file path=docProps/custom.xml><?xml version="1.0" encoding="utf-8"?>
<Properties xmlns="http://schemas.openxmlformats.org/officeDocument/2006/custom-properties" xmlns:vt="http://schemas.openxmlformats.org/officeDocument/2006/docPropsVTypes"/>
</file>