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200"/>
        <w:jc w:val="center"/>
      </w:pPr>
      <w:r>
        <w:drawing>
          <wp:inline distT="0" distB="0" distL="0" distR="0">
            <wp:extent cx="1885950" cy="1333500"/>
            <wp:effectExtent t="0" r="0" b="0" l="0"/>
            <wp:docPr id="1" name="JAEI" descr="Journal of Agricultural and Environmental Innovation" title="Logo J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1333500"/>
                    </a:xfrm>
                    <a:prstGeom prst="rect">
                      <a:avLst/>
                    </a:prstGeom>
                  </pic:spPr>
                </pic:pic>
              </a:graphicData>
            </a:graphic>
          </wp:inline>
        </w:drawing>
      </w:r>
    </w:p>
    <w:p>
      <w:pPr>
        <w:spacing w:after="120"/>
        <w:jc w:val="center"/>
      </w:pPr>
      <w:r>
        <w:rPr>
          <w:rFonts w:ascii="Arial" w:cs="Arial" w:eastAsia="Arial" w:hAnsi="Arial"/>
          <w:b/>
          <w:bCs/>
          <w:color w:val="1B4427"/>
          <w:sz w:val="52"/>
          <w:szCs w:val="52"/>
        </w:rPr>
        <w:t xml:space="preserve">DOCUMENTATION TECHNIQUE</w:t>
      </w:r>
    </w:p>
    <w:p>
      <w:pPr>
        <w:pBdr>
          <w:bottom w:val="single" w:color="2E9E68" w:sz="8" w:space="14"/>
        </w:pBdr>
        <w:spacing w:after="80"/>
        <w:jc w:val="center"/>
      </w:pPr>
      <w:r>
        <w:rPr>
          <w:rFonts w:ascii="Arial" w:cs="Arial" w:eastAsia="Arial" w:hAnsi="Arial"/>
          <w:color w:val="2E9E68"/>
          <w:sz w:val="28"/>
          <w:szCs w:val="28"/>
        </w:rPr>
        <w:t xml:space="preserve">Plateforme de publication scientifique JAEI</w:t>
      </w:r>
    </w:p>
    <w:p>
      <w:pPr>
        <w:spacing w:after="900" w:before="200"/>
        <w:jc w:val="center"/>
      </w:pPr>
      <w:r>
        <w:rPr>
          <w:rFonts w:ascii="Arial" w:cs="Arial" w:eastAsia="Arial" w:hAnsi="Arial"/>
          <w:i/>
          <w:iCs/>
          <w:color w:val="4B5563"/>
          <w:sz w:val="21"/>
          <w:szCs w:val="21"/>
        </w:rPr>
        <w:t xml:space="preserve">Journal of Agricultural and Environmental Innovation</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Livrable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Documentation technique pour la maintenance future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Référence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Cahier des charges JAEI — §6 Livrables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document</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1.0</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logiciel</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main — a36ecb9</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Date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17 septembre 2026</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Destinataire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Journal of Agricultural and Environmental Innovation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Prestataire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Ing. ABENG NDO Theï</w:t>
            </w:r>
          </w:p>
        </w:tc>
      </w:tr>
    </w:tbl>
    <w:p>
      <w:pPr>
        <w:sectPr>
          <w:pgSz w:w="11906" w:h="16838" w:orient="portrait"/>
          <w:pgMar w:top="1440" w:right="1440" w:bottom="1440" w:left="1440" w:header="708" w:footer="708" w:gutter="0"/>
          <w:pgNumType/>
          <w:docGrid w:linePitch="360"/>
        </w:sectPr>
      </w:pPr>
    </w:p>
    <w:p>
      <w:pPr>
        <w:pStyle w:val="Heading1"/>
      </w:pPr>
      <w:r>
        <w:t xml:space="preserve">Sommaire</w:t>
      </w:r>
    </w:p>
    <w:p>
      <w:pPr>
        <w:spacing w:after="120"/>
      </w:pPr>
    </w:p>
    <w:p>
      <w:pPr>
        <w:spacing w:after="90"/>
        <w:ind w:left="0"/>
      </w:pPr>
      <w:r>
        <w:rPr>
          <w:rFonts w:ascii="Arial" w:cs="Arial" w:eastAsia="Arial" w:hAnsi="Arial"/>
          <w:b/>
          <w:bCs/>
          <w:color w:val="1B4427"/>
          <w:sz w:val="21"/>
          <w:szCs w:val="21"/>
        </w:rPr>
        <w:t xml:space="preserve">1.   </w:t>
      </w:r>
      <w:r>
        <w:rPr>
          <w:rFonts w:ascii="Arial" w:cs="Arial" w:eastAsia="Arial" w:hAnsi="Arial"/>
          <w:b/>
          <w:bCs/>
          <w:color w:val="1F2937"/>
          <w:sz w:val="21"/>
          <w:szCs w:val="21"/>
        </w:rPr>
        <w:t xml:space="preserve">Objet du document</w:t>
      </w:r>
    </w:p>
    <w:p>
      <w:pPr>
        <w:spacing w:after="90"/>
        <w:ind w:left="0"/>
      </w:pPr>
      <w:r>
        <w:rPr>
          <w:rFonts w:ascii="Arial" w:cs="Arial" w:eastAsia="Arial" w:hAnsi="Arial"/>
          <w:b/>
          <w:bCs/>
          <w:color w:val="1B4427"/>
          <w:sz w:val="21"/>
          <w:szCs w:val="21"/>
        </w:rPr>
        <w:t xml:space="preserve">2.   </w:t>
      </w:r>
      <w:r>
        <w:rPr>
          <w:rFonts w:ascii="Arial" w:cs="Arial" w:eastAsia="Arial" w:hAnsi="Arial"/>
          <w:b/>
          <w:bCs/>
          <w:color w:val="1F2937"/>
          <w:sz w:val="21"/>
          <w:szCs w:val="21"/>
        </w:rPr>
        <w:t xml:space="preserve">Architecture générale</w:t>
      </w:r>
    </w:p>
    <w:p>
      <w:pPr>
        <w:spacing w:after="90"/>
        <w:ind w:left="0"/>
      </w:pPr>
      <w:r>
        <w:rPr>
          <w:rFonts w:ascii="Arial" w:cs="Arial" w:eastAsia="Arial" w:hAnsi="Arial"/>
          <w:b/>
          <w:bCs/>
          <w:color w:val="1B4427"/>
          <w:sz w:val="21"/>
          <w:szCs w:val="21"/>
        </w:rPr>
        <w:t xml:space="preserve">3.   </w:t>
      </w:r>
      <w:r>
        <w:rPr>
          <w:rFonts w:ascii="Arial" w:cs="Arial" w:eastAsia="Arial" w:hAnsi="Arial"/>
          <w:b/>
          <w:bCs/>
          <w:color w:val="1F2937"/>
          <w:sz w:val="21"/>
          <w:szCs w:val="21"/>
        </w:rPr>
        <w:t xml:space="preserve">Composants applicatifs</w:t>
      </w:r>
    </w:p>
    <w:p>
      <w:pPr>
        <w:spacing w:after="90"/>
        <w:ind w:left="0"/>
      </w:pPr>
      <w:r>
        <w:rPr>
          <w:rFonts w:ascii="Arial" w:cs="Arial" w:eastAsia="Arial" w:hAnsi="Arial"/>
          <w:b/>
          <w:bCs/>
          <w:color w:val="1B4427"/>
          <w:sz w:val="21"/>
          <w:szCs w:val="21"/>
        </w:rPr>
        <w:t xml:space="preserve">4.   </w:t>
      </w:r>
      <w:r>
        <w:rPr>
          <w:rFonts w:ascii="Arial" w:cs="Arial" w:eastAsia="Arial" w:hAnsi="Arial"/>
          <w:b/>
          <w:bCs/>
          <w:color w:val="1F2937"/>
          <w:sz w:val="21"/>
          <w:szCs w:val="21"/>
        </w:rPr>
        <w:t xml:space="preserve">Modèle de données</w:t>
      </w:r>
    </w:p>
    <w:p>
      <w:pPr>
        <w:spacing w:after="90"/>
        <w:ind w:left="0"/>
      </w:pPr>
      <w:r>
        <w:rPr>
          <w:rFonts w:ascii="Arial" w:cs="Arial" w:eastAsia="Arial" w:hAnsi="Arial"/>
          <w:b/>
          <w:bCs/>
          <w:color w:val="1B4427"/>
          <w:sz w:val="21"/>
          <w:szCs w:val="21"/>
        </w:rPr>
        <w:t xml:space="preserve">5.   </w:t>
      </w:r>
      <w:r>
        <w:rPr>
          <w:rFonts w:ascii="Arial" w:cs="Arial" w:eastAsia="Arial" w:hAnsi="Arial"/>
          <w:b/>
          <w:bCs/>
          <w:color w:val="1F2937"/>
          <w:sz w:val="21"/>
          <w:szCs w:val="21"/>
        </w:rPr>
        <w:t xml:space="preserve">Workflows métier</w:t>
      </w:r>
    </w:p>
    <w:p>
      <w:pPr>
        <w:spacing w:after="90"/>
        <w:ind w:left="0"/>
      </w:pPr>
      <w:r>
        <w:rPr>
          <w:rFonts w:ascii="Arial" w:cs="Arial" w:eastAsia="Arial" w:hAnsi="Arial"/>
          <w:b/>
          <w:bCs/>
          <w:color w:val="1B4427"/>
          <w:sz w:val="21"/>
          <w:szCs w:val="21"/>
        </w:rPr>
        <w:t xml:space="preserve">6.   </w:t>
      </w:r>
      <w:r>
        <w:rPr>
          <w:rFonts w:ascii="Arial" w:cs="Arial" w:eastAsia="Arial" w:hAnsi="Arial"/>
          <w:b/>
          <w:bCs/>
          <w:color w:val="1F2937"/>
          <w:sz w:val="21"/>
          <w:szCs w:val="21"/>
        </w:rPr>
        <w:t xml:space="preserve">Sécurité</w:t>
      </w:r>
    </w:p>
    <w:p>
      <w:pPr>
        <w:spacing w:after="90"/>
        <w:ind w:left="0"/>
      </w:pPr>
      <w:r>
        <w:rPr>
          <w:rFonts w:ascii="Arial" w:cs="Arial" w:eastAsia="Arial" w:hAnsi="Arial"/>
          <w:b/>
          <w:bCs/>
          <w:color w:val="1B4427"/>
          <w:sz w:val="21"/>
          <w:szCs w:val="21"/>
        </w:rPr>
        <w:t xml:space="preserve">7.   </w:t>
      </w:r>
      <w:r>
        <w:rPr>
          <w:rFonts w:ascii="Arial" w:cs="Arial" w:eastAsia="Arial" w:hAnsi="Arial"/>
          <w:b/>
          <w:bCs/>
          <w:color w:val="1F2937"/>
          <w:sz w:val="21"/>
          <w:szCs w:val="21"/>
        </w:rPr>
        <w:t xml:space="preserve">Interface de programmation (API)</w:t>
      </w:r>
    </w:p>
    <w:p>
      <w:pPr>
        <w:spacing w:after="90"/>
        <w:ind w:left="0"/>
      </w:pPr>
      <w:r>
        <w:rPr>
          <w:rFonts w:ascii="Arial" w:cs="Arial" w:eastAsia="Arial" w:hAnsi="Arial"/>
          <w:b/>
          <w:bCs/>
          <w:color w:val="1B4427"/>
          <w:sz w:val="21"/>
          <w:szCs w:val="21"/>
        </w:rPr>
        <w:t xml:space="preserve">8.   </w:t>
      </w:r>
      <w:r>
        <w:rPr>
          <w:rFonts w:ascii="Arial" w:cs="Arial" w:eastAsia="Arial" w:hAnsi="Arial"/>
          <w:b/>
          <w:bCs/>
          <w:color w:val="1F2937"/>
          <w:sz w:val="21"/>
          <w:szCs w:val="21"/>
        </w:rPr>
        <w:t xml:space="preserve">Hébergement et déploiement</w:t>
      </w:r>
    </w:p>
    <w:p>
      <w:pPr>
        <w:spacing w:after="90"/>
        <w:ind w:left="0"/>
      </w:pPr>
      <w:r>
        <w:rPr>
          <w:rFonts w:ascii="Arial" w:cs="Arial" w:eastAsia="Arial" w:hAnsi="Arial"/>
          <w:b/>
          <w:bCs/>
          <w:color w:val="1B4427"/>
          <w:sz w:val="21"/>
          <w:szCs w:val="21"/>
        </w:rPr>
        <w:t xml:space="preserve">9.   </w:t>
      </w:r>
      <w:r>
        <w:rPr>
          <w:rFonts w:ascii="Arial" w:cs="Arial" w:eastAsia="Arial" w:hAnsi="Arial"/>
          <w:b/>
          <w:bCs/>
          <w:color w:val="1F2937"/>
          <w:sz w:val="21"/>
          <w:szCs w:val="21"/>
        </w:rPr>
        <w:t xml:space="preserve">Sauvegardes et supervision</w:t>
      </w:r>
    </w:p>
    <w:p>
      <w:pPr>
        <w:spacing w:after="90"/>
        <w:ind w:left="0"/>
      </w:pPr>
      <w:r>
        <w:rPr>
          <w:rFonts w:ascii="Arial" w:cs="Arial" w:eastAsia="Arial" w:hAnsi="Arial"/>
          <w:b/>
          <w:bCs/>
          <w:color w:val="1B4427"/>
          <w:sz w:val="21"/>
          <w:szCs w:val="21"/>
        </w:rPr>
        <w:t xml:space="preserve">10.   </w:t>
      </w:r>
      <w:r>
        <w:rPr>
          <w:rFonts w:ascii="Arial" w:cs="Arial" w:eastAsia="Arial" w:hAnsi="Arial"/>
          <w:b/>
          <w:bCs/>
          <w:color w:val="1F2937"/>
          <w:sz w:val="21"/>
          <w:szCs w:val="21"/>
        </w:rPr>
        <w:t xml:space="preserve">Maintenance courante</w:t>
      </w:r>
    </w:p>
    <w:p>
      <w:pPr>
        <w:spacing w:after="90"/>
        <w:ind w:left="0"/>
      </w:pPr>
      <w:r>
        <w:rPr>
          <w:rFonts w:ascii="Arial" w:cs="Arial" w:eastAsia="Arial" w:hAnsi="Arial"/>
          <w:b/>
          <w:bCs/>
          <w:color w:val="1B4427"/>
          <w:sz w:val="21"/>
          <w:szCs w:val="21"/>
        </w:rPr>
        <w:t xml:space="preserve">11.   </w:t>
      </w:r>
      <w:r>
        <w:rPr>
          <w:rFonts w:ascii="Arial" w:cs="Arial" w:eastAsia="Arial" w:hAnsi="Arial"/>
          <w:b/>
          <w:bCs/>
          <w:color w:val="1F2937"/>
          <w:sz w:val="21"/>
          <w:szCs w:val="21"/>
        </w:rPr>
        <w:t xml:space="preserve">Incidents fréquents et résolution</w:t>
      </w:r>
    </w:p>
    <w:p>
      <w:pPr>
        <w:spacing w:after="90"/>
        <w:ind w:left="0"/>
      </w:pPr>
      <w:r>
        <w:rPr>
          <w:rFonts w:ascii="Arial" w:cs="Arial" w:eastAsia="Arial" w:hAnsi="Arial"/>
          <w:b/>
          <w:bCs/>
          <w:color w:val="1B4427"/>
          <w:sz w:val="21"/>
          <w:szCs w:val="21"/>
        </w:rPr>
        <w:t xml:space="preserve">12.   </w:t>
      </w:r>
      <w:r>
        <w:rPr>
          <w:rFonts w:ascii="Arial" w:cs="Arial" w:eastAsia="Arial" w:hAnsi="Arial"/>
          <w:b/>
          <w:bCs/>
          <w:color w:val="1F2937"/>
          <w:sz w:val="21"/>
          <w:szCs w:val="21"/>
        </w:rPr>
        <w:t xml:space="preserve">Reprise du projet — check-list</w:t>
      </w:r>
    </w:p>
    <w:p>
      <w:pPr>
        <w:spacing w:after="90"/>
        <w:ind w:left="0"/>
      </w:pPr>
      <w:r>
        <w:rPr>
          <w:rFonts w:ascii="Arial" w:cs="Arial" w:eastAsia="Arial" w:hAnsi="Arial"/>
          <w:b/>
          <w:bCs/>
          <w:color w:val="1B4427"/>
          <w:sz w:val="21"/>
          <w:szCs w:val="21"/>
        </w:rPr>
        <w:t xml:space="preserve">A.   </w:t>
      </w:r>
      <w:r>
        <w:rPr>
          <w:rFonts w:ascii="Arial" w:cs="Arial" w:eastAsia="Arial" w:hAnsi="Arial"/>
          <w:b/>
          <w:bCs/>
          <w:color w:val="1F2937"/>
          <w:sz w:val="21"/>
          <w:szCs w:val="21"/>
        </w:rPr>
        <w:t xml:space="preserve">Annexe A — Comportement en mode dégradé</w:t>
      </w:r>
    </w:p>
    <w:p>
      <w:pPr>
        <w:spacing w:after="90"/>
        <w:ind w:left="0"/>
      </w:pPr>
      <w:r>
        <w:rPr>
          <w:rFonts w:ascii="Arial" w:cs="Arial" w:eastAsia="Arial" w:hAnsi="Arial"/>
          <w:b/>
          <w:bCs/>
          <w:color w:val="1B4427"/>
          <w:sz w:val="21"/>
          <w:szCs w:val="21"/>
        </w:rPr>
        <w:t xml:space="preserve">B.   </w:t>
      </w:r>
      <w:r>
        <w:rPr>
          <w:rFonts w:ascii="Arial" w:cs="Arial" w:eastAsia="Arial" w:hAnsi="Arial"/>
          <w:b/>
          <w:bCs/>
          <w:color w:val="1F2937"/>
          <w:sz w:val="21"/>
          <w:szCs w:val="21"/>
        </w:rPr>
        <w:t xml:space="preserve">Annexe B — Documents techniques livrés</w:t>
      </w:r>
    </w:p>
    <w:p>
      <w:pPr>
        <w:pStyle w:val="Heading1"/>
        <w:pageBreakBefore/>
      </w:pPr>
      <w:r>
        <w:t xml:space="preserve">1. Objet du document</w:t>
      </w:r>
    </w:p>
    <w:p>
      <w:pPr>
        <w:spacing w:after="130"/>
        <w:jc w:val="both"/>
      </w:pPr>
      <w:r>
        <w:rPr>
          <w:rFonts w:ascii="Arial" w:cs="Arial" w:eastAsia="Arial" w:hAnsi="Arial"/>
          <w:sz w:val="21"/>
          <w:szCs w:val="21"/>
        </w:rPr>
        <w:t xml:space="preserve">Ce document décrit l'architecture technique, le fonctionnement interne et les procédures d'exploitation de la plateforme JAEI. Il s'adresse à la personne ou à l'équipe qui assurera la maintenance et les évolutions futures du système.</w:t>
      </w:r>
    </w:p>
    <w:p>
      <w:pPr>
        <w:spacing w:after="130"/>
        <w:jc w:val="both"/>
      </w:pPr>
      <w:r>
        <w:rPr>
          <w:rFonts w:ascii="Arial" w:cs="Arial" w:eastAsia="Arial" w:hAnsi="Arial"/>
          <w:sz w:val="21"/>
          <w:szCs w:val="21"/>
        </w:rPr>
        <w:t xml:space="preserve">Il ne décrit pas l'usage de la plateforme du point de vue d'un auteur, d'un reviewer ou d'un administrateur : cet aspect relève des guides utilisateurs, livrés séparément.</w:t>
      </w:r>
    </w:p>
    <w:p>
      <w:pPr>
        <w:pStyle w:val="Heading2"/>
      </w:pPr>
      <w:r>
        <w:t xml:space="preserve">Périmètre couvert</w:t>
      </w:r>
    </w:p>
    <w:p>
      <w:pPr>
        <w:pStyle w:val="ListParagraph"/>
        <w:numPr>
          <w:ilvl w:val="0"/>
          <w:numId w:val="2"/>
        </w:numPr>
        <w:spacing w:after="70"/>
      </w:pPr>
      <w:r>
        <w:rPr>
          <w:rFonts w:ascii="Arial" w:cs="Arial" w:eastAsia="Arial" w:hAnsi="Arial"/>
          <w:sz w:val="21"/>
          <w:szCs w:val="21"/>
        </w:rPr>
        <w:t xml:space="preserve">Architecture applicative et choix techniques structurants</w:t>
      </w:r>
    </w:p>
    <w:p>
      <w:pPr>
        <w:pStyle w:val="ListParagraph"/>
        <w:numPr>
          <w:ilvl w:val="0"/>
          <w:numId w:val="2"/>
        </w:numPr>
        <w:spacing w:after="70"/>
      </w:pPr>
      <w:r>
        <w:rPr>
          <w:rFonts w:ascii="Arial" w:cs="Arial" w:eastAsia="Arial" w:hAnsi="Arial"/>
          <w:sz w:val="21"/>
          <w:szCs w:val="21"/>
        </w:rPr>
        <w:t xml:space="preserve">Modèle de données complet et mécanisme de migration</w:t>
      </w:r>
    </w:p>
    <w:p>
      <w:pPr>
        <w:pStyle w:val="ListParagraph"/>
        <w:numPr>
          <w:ilvl w:val="0"/>
          <w:numId w:val="2"/>
        </w:numPr>
        <w:spacing w:after="70"/>
      </w:pPr>
      <w:r>
        <w:rPr>
          <w:rFonts w:ascii="Arial" w:cs="Arial" w:eastAsia="Arial" w:hAnsi="Arial"/>
          <w:sz w:val="21"/>
          <w:szCs w:val="21"/>
        </w:rPr>
        <w:t xml:space="preserve">Workflows métier : soumission, évaluation, décision, publication, paiement</w:t>
      </w:r>
    </w:p>
    <w:p>
      <w:pPr>
        <w:pStyle w:val="ListParagraph"/>
        <w:numPr>
          <w:ilvl w:val="0"/>
          <w:numId w:val="2"/>
        </w:numPr>
        <w:spacing w:after="70"/>
      </w:pPr>
      <w:r>
        <w:rPr>
          <w:rFonts w:ascii="Arial" w:cs="Arial" w:eastAsia="Arial" w:hAnsi="Arial"/>
          <w:sz w:val="21"/>
          <w:szCs w:val="21"/>
        </w:rPr>
        <w:t xml:space="preserve">Dispositifs de sécurité mis en œuvre</w:t>
      </w:r>
    </w:p>
    <w:p>
      <w:pPr>
        <w:pStyle w:val="ListParagraph"/>
        <w:numPr>
          <w:ilvl w:val="0"/>
          <w:numId w:val="2"/>
        </w:numPr>
        <w:spacing w:after="70"/>
      </w:pPr>
      <w:r>
        <w:rPr>
          <w:rFonts w:ascii="Arial" w:cs="Arial" w:eastAsia="Arial" w:hAnsi="Arial"/>
          <w:sz w:val="21"/>
          <w:szCs w:val="21"/>
        </w:rPr>
        <w:t xml:space="preserve">Interface de programmation (API REST)</w:t>
      </w:r>
    </w:p>
    <w:p>
      <w:pPr>
        <w:pStyle w:val="ListParagraph"/>
        <w:numPr>
          <w:ilvl w:val="0"/>
          <w:numId w:val="2"/>
        </w:numPr>
        <w:spacing w:after="70"/>
      </w:pPr>
      <w:r>
        <w:rPr>
          <w:rFonts w:ascii="Arial" w:cs="Arial" w:eastAsia="Arial" w:hAnsi="Arial"/>
          <w:sz w:val="21"/>
          <w:szCs w:val="21"/>
        </w:rPr>
        <w:t xml:space="preserve">Hébergement, déploiement et configuration</w:t>
      </w:r>
    </w:p>
    <w:p>
      <w:pPr>
        <w:pStyle w:val="ListParagraph"/>
        <w:numPr>
          <w:ilvl w:val="0"/>
          <w:numId w:val="2"/>
        </w:numPr>
        <w:spacing w:after="70"/>
      </w:pPr>
      <w:r>
        <w:rPr>
          <w:rFonts w:ascii="Arial" w:cs="Arial" w:eastAsia="Arial" w:hAnsi="Arial"/>
          <w:sz w:val="21"/>
          <w:szCs w:val="21"/>
        </w:rPr>
        <w:t xml:space="preserve">Sauvegardes, supervision, maintenance courante et résolution d'incidents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 document ne contient aucun mot de passe ni clé d'API. Les secrets sont transmis séparément et stockés dans le tableau de bord de l'hébergeur.</w:t>
      </w:r>
    </w:p>
    <w:p>
      <w:pPr>
        <w:pStyle w:val="Heading1"/>
        <w:pageBreakBefore/>
      </w:pPr>
      <w:r>
        <w:t xml:space="preserve">2. Architecture générale</w:t>
      </w:r>
    </w:p>
    <w:p>
      <w:pPr>
        <w:pStyle w:val="Heading2"/>
      </w:pPr>
      <w:r>
        <w:t xml:space="preserve">2.1 Vue d'ensemble</w:t>
      </w:r>
    </w:p>
    <w:p>
      <w:pPr>
        <w:spacing w:after="130"/>
        <w:jc w:val="both"/>
      </w:pPr>
      <w:r>
        <w:rPr>
          <w:rFonts w:ascii="Arial" w:cs="Arial" w:eastAsia="Arial" w:hAnsi="Arial"/>
          <w:sz w:val="21"/>
          <w:szCs w:val="21"/>
        </w:rPr>
        <w:t xml:space="preserve">La plateforme repose sur une architecture trois tiers à couplage faible. Le site public est un ensemble de fichiers statiques, qui consomme une interface de programmation REST, elle-même adossée à une base de données PostgreSQL managée. Les trois composants sont déployés et redémarrés indépendamment les uns des autres.</w:t>
      </w:r>
    </w:p>
    <w:p>
      <w:pPr>
        <w:spacing w:after="40"/>
      </w:pPr>
    </w:p>
    <w:p>
      <w:pPr>
        <w:shd w:fill="F3F6F4" w:val="clear"/>
        <w:spacing w:after="0" w:line="240"/>
        <w:ind w:left="340"/>
      </w:pPr>
      <w:r>
        <w:rPr>
          <w:rFonts w:ascii="Consolas" w:cs="Consolas" w:eastAsia="Consolas" w:hAnsi="Consolas"/>
          <w:color w:val="14361F"/>
          <w:sz w:val="17"/>
          <w:szCs w:val="17"/>
        </w:rPr>
        <w:t xml:space="preserve">            Navigateur du visiteur</w:t>
      </w:r>
    </w:p>
    <w:p>
      <w:pPr>
        <w:shd w:fill="F3F6F4" w:val="clear"/>
        <w:spacing w:after="0" w:line="240"/>
        <w:ind w:left="340"/>
      </w:pPr>
      <w:r>
        <w:rPr>
          <w:rFonts w:ascii="Consolas" w:cs="Consolas" w:eastAsia="Consolas" w:hAnsi="Consolas"/>
          <w:color w:val="14361F"/>
          <w:sz w:val="17"/>
          <w:szCs w:val="17"/>
        </w:rPr>
        <w:t xml:space="preserve">                     |  HTTPS</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FRONTEND statique   |  HTTPS |  BACKEND Node / Express   |</w:t>
      </w:r>
    </w:p>
    <w:p>
      <w:pPr>
        <w:shd w:fill="F3F6F4" w:val="clear"/>
        <w:spacing w:after="0" w:line="240"/>
        <w:ind w:left="340"/>
      </w:pPr>
      <w:r>
        <w:rPr>
          <w:rFonts w:ascii="Consolas" w:cs="Consolas" w:eastAsia="Consolas" w:hAnsi="Consolas"/>
          <w:color w:val="14361F"/>
          <w:sz w:val="17"/>
          <w:szCs w:val="17"/>
        </w:rPr>
        <w:t xml:space="preserve">  |  React 19 + Vite     | -----&gt; |  jaei-backend            |</w:t>
      </w:r>
    </w:p>
    <w:p>
      <w:pPr>
        <w:shd w:fill="F3F6F4" w:val="clear"/>
        <w:spacing w:after="0" w:line="240"/>
        <w:ind w:left="340"/>
      </w:pPr>
      <w:r>
        <w:rPr>
          <w:rFonts w:ascii="Consolas" w:cs="Consolas" w:eastAsia="Consolas" w:hAnsi="Consolas"/>
          <w:color w:val="14361F"/>
          <w:sz w:val="17"/>
          <w:szCs w:val="17"/>
        </w:rPr>
        <w:t xml:space="preserve">  |  jaei-journal.org    |  /api  |  .onrender.com           |</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Neon           |  | Cloudinary   |   | Services tiers      |</w:t>
      </w:r>
    </w:p>
    <w:p>
      <w:pPr>
        <w:shd w:fill="F3F6F4" w:val="clear"/>
        <w:spacing w:after="0" w:line="240"/>
        <w:ind w:left="340"/>
      </w:pPr>
      <w:r>
        <w:rPr>
          <w:rFonts w:ascii="Consolas" w:cs="Consolas" w:eastAsia="Consolas" w:hAnsi="Consolas"/>
          <w:color w:val="14361F"/>
          <w:sz w:val="17"/>
          <w:szCs w:val="17"/>
        </w:rPr>
        <w:t xml:space="preserve">        | PostgreSQL     |  | (fichiers)   |   | Resend   (emails)   |</w:t>
      </w:r>
    </w:p>
    <w:p>
      <w:pPr>
        <w:shd w:fill="F3F6F4" w:val="clear"/>
        <w:spacing w:after="0" w:line="240"/>
        <w:ind w:left="340"/>
      </w:pPr>
      <w:r>
        <w:rPr>
          <w:rFonts w:ascii="Consolas" w:cs="Consolas" w:eastAsia="Consolas" w:hAnsi="Consolas"/>
          <w:color w:val="14361F"/>
          <w:sz w:val="17"/>
          <w:szCs w:val="17"/>
        </w:rPr>
        <w:t xml:space="preserve">        | Frankfurt      |  |              |   | Gemini   (IA)       |</w:t>
      </w:r>
    </w:p>
    <w:p>
      <w:pPr>
        <w:shd w:fill="F3F6F4" w:val="clear"/>
        <w:spacing w:after="0" w:line="240"/>
        <w:ind w:left="340"/>
      </w:pPr>
      <w:r>
        <w:rPr>
          <w:rFonts w:ascii="Consolas" w:cs="Consolas" w:eastAsia="Consolas" w:hAnsi="Consolas"/>
          <w:color w:val="14361F"/>
          <w:sz w:val="17"/>
          <w:szCs w:val="17"/>
        </w:rPr>
        <w:t xml:space="preserve">        +----------------+  +--------------+   | CinetPay (paiement) |</w:t>
      </w:r>
    </w:p>
    <w:p>
      <w:pPr>
        <w:shd w:fill="F3F6F4" w:val="clear"/>
        <w:spacing w:after="0" w:line="240"/>
        <w:ind w:left="340"/>
      </w:pPr>
      <w:r>
        <w:rPr>
          <w:rFonts w:ascii="Consolas" w:cs="Consolas" w:eastAsia="Consolas" w:hAnsi="Consolas"/>
          <w:color w:val="14361F"/>
          <w:sz w:val="17"/>
          <w:szCs w:val="17"/>
        </w:rPr>
        <w:t xml:space="preserve">                                               +---------------------+</w:t>
      </w:r>
    </w:p>
    <w:p>
      <w:pPr>
        <w:spacing w:after="130"/>
      </w:pPr>
    </w:p>
    <w:p>
      <w:pPr>
        <w:pStyle w:val="Heading2"/>
      </w:pPr>
      <w:r>
        <w:t xml:space="preserve">2.2 Principes structurants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Choix technique</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Motif</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 d'ORM — client PostgreSQL direct</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Requêtes SQL explicites, lisibles et auditables ; aucune couche d'abstraction supplémentaire à maintenir</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Migrations exécutées au démarrage</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schéma se répare seul à chaque déploiement, sans commande manuelle ni outil externe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 entièrement statique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serveur de rendu à maintenir, coût d'hébergement nul, diffusion par réseau de contenu</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Jetons JWT sans session serveur</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backend reste sans état : il peut redémarrer sans déconnecter les utilisateurs</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Dégradation contrôlée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L'absence d'un service externe désactive proprement la fonctionnalité concernée au lieu de faire tomber l'application</w:t>
            </w:r>
          </w:p>
        </w:tc>
      </w:tr>
    </w:tbl>
    <w:p>
      <w:pPr>
        <w:spacing w:after="200"/>
      </w:pPr>
    </w:p>
    <w:p>
      <w:pPr>
        <w:pStyle w:val="Heading2"/>
      </w:pPr>
      <w:r>
        <w:t xml:space="preserve">2.3 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Couche</w:t>
            </w:r>
          </w:p>
        </w:tc>
        <w:tc>
          <w:tcPr>
            <w:tcW w:type="dxa" w:w="4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Technologie</w:t>
            </w:r>
          </w:p>
        </w:tc>
        <w:tc>
          <w:tcPr>
            <w:tcW w:type="dxa" w:w="2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Version</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Interface utilisateur</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React Router, Tailwind CSS, build Vite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19 / Vite 5</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Node.js + Express</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Express 5</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client pg sans ORM</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pg 8</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 + Bcrypt (coût 12)</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jsonwebtoken 9</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repli disque local</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2</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 (API HTTPS), SMTP en local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nodemailer 8</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(Mobile Money et carte)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Hébergement</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 — service web + site statique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plan gratuit</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hébergée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 PostgreSQL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région Frankfurt</w:t>
            </w:r>
          </w:p>
        </w:tc>
      </w:tr>
    </w:tbl>
    <w:p>
      <w:pPr>
        <w:pStyle w:val="Heading1"/>
        <w:pageBreakBefore/>
      </w:pPr>
      <w:r>
        <w:t xml:space="preserve">3. Composants applicatifs</w:t>
      </w:r>
    </w:p>
    <w:p>
      <w:pPr>
        <w:pStyle w:val="Heading2"/>
      </w:pPr>
      <w:r>
        <w:t xml:space="preserve">3.1 Backend</w:t>
      </w:r>
    </w:p>
    <w:p>
      <w:pPr>
        <w:spacing w:after="130"/>
        <w:jc w:val="both"/>
      </w:pPr>
      <w:r>
        <w:rPr>
          <w:rFonts w:ascii="Arial" w:cs="Arial" w:eastAsia="Arial" w:hAnsi="Arial"/>
          <w:sz w:val="21"/>
          <w:szCs w:val="21"/>
        </w:rPr>
        <w:t xml:space="preserve">Le serveur Express applique, dans l'ordre, la chaîne de traitement suivante à chaque requête entrante :</w:t>
      </w:r>
    </w:p>
    <w:p>
      <w:pPr>
        <w:pStyle w:val="ListParagraph"/>
        <w:numPr>
          <w:ilvl w:val="0"/>
          <w:numId w:val="3"/>
        </w:numPr>
        <w:spacing w:after="70"/>
      </w:pPr>
      <w:r>
        <w:rPr>
          <w:rFonts w:ascii="Arial" w:cs="Arial" w:eastAsia="Arial" w:hAnsi="Arial"/>
          <w:sz w:val="21"/>
          <w:szCs w:val="21"/>
        </w:rPr>
        <w:t xml:space="preserve">Résolution DNS forcée en IPv4 : l'hébergeur ne route pas l'IPv6 sortant, ce qui faisait échouer les appels aux services tiers.</w:t>
      </w:r>
    </w:p>
    <w:p>
      <w:pPr>
        <w:pStyle w:val="ListParagraph"/>
        <w:numPr>
          <w:ilvl w:val="0"/>
          <w:numId w:val="3"/>
        </w:numPr>
        <w:spacing w:after="70"/>
      </w:pPr>
      <w:r>
        <w:rPr>
          <w:rFonts w:ascii="Arial" w:cs="Arial" w:eastAsia="Arial" w:hAnsi="Arial"/>
          <w:sz w:val="21"/>
          <w:szCs w:val="21"/>
        </w:rPr>
        <w:t xml:space="preserve">Confiance au proxy inverse. Sans ce réglage, toutes les requêtes semblent provenir de la même adresse et les limiteurs de débit bloquent l'ensemble des utilisateurs simultanément.</w:t>
      </w:r>
    </w:p>
    <w:p>
      <w:pPr>
        <w:pStyle w:val="ListParagraph"/>
        <w:numPr>
          <w:ilvl w:val="0"/>
          <w:numId w:val="3"/>
        </w:numPr>
        <w:spacing w:after="70"/>
      </w:pPr>
      <w:r>
        <w:rPr>
          <w:rFonts w:ascii="Arial" w:cs="Arial" w:eastAsia="Arial" w:hAnsi="Arial"/>
          <w:sz w:val="21"/>
          <w:szCs w:val="21"/>
        </w:rPr>
        <w:t xml:space="preserve">En-têtes de sécurité HTTP (protection contre le détournement de cadre et l'interprétation abusive des types de contenu).</w:t>
      </w:r>
    </w:p>
    <w:p>
      <w:pPr>
        <w:pStyle w:val="ListParagraph"/>
        <w:numPr>
          <w:ilvl w:val="0"/>
          <w:numId w:val="3"/>
        </w:numPr>
        <w:spacing w:after="70"/>
      </w:pPr>
      <w:r>
        <w:rPr>
          <w:rFonts w:ascii="Arial" w:cs="Arial" w:eastAsia="Arial" w:hAnsi="Arial"/>
          <w:sz w:val="21"/>
          <w:szCs w:val="21"/>
        </w:rPr>
        <w:t xml:space="preserve">Filtrage des origines autorisées (CORS) sur liste blanche stricte.</w:t>
      </w:r>
    </w:p>
    <w:p>
      <w:pPr>
        <w:pStyle w:val="ListParagraph"/>
        <w:numPr>
          <w:ilvl w:val="0"/>
          <w:numId w:val="3"/>
        </w:numPr>
        <w:spacing w:after="70"/>
      </w:pPr>
      <w:r>
        <w:rPr>
          <w:rFonts w:ascii="Arial" w:cs="Arial" w:eastAsia="Arial" w:hAnsi="Arial"/>
          <w:sz w:val="21"/>
          <w:szCs w:val="21"/>
        </w:rPr>
        <w:t xml:space="preserve">Service des fichiers : avatars en accès public, manuscrits sous contrôle d'accès.</w:t>
      </w:r>
    </w:p>
    <w:p>
      <w:pPr>
        <w:pStyle w:val="ListParagraph"/>
        <w:numPr>
          <w:ilvl w:val="0"/>
          <w:numId w:val="3"/>
        </w:numPr>
        <w:spacing w:after="70"/>
      </w:pPr>
      <w:r>
        <w:rPr>
          <w:rFonts w:ascii="Arial" w:cs="Arial" w:eastAsia="Arial" w:hAnsi="Arial"/>
          <w:sz w:val="21"/>
          <w:szCs w:val="21"/>
        </w:rPr>
        <w:t xml:space="preserve">Analyse du corps de requête JSON, puis routage vers les modules fonctionnels.</w:t>
      </w:r>
    </w:p>
    <w:p>
      <w:pPr>
        <w:pStyle w:val="ListParagraph"/>
        <w:numPr>
          <w:ilvl w:val="0"/>
          <w:numId w:val="3"/>
        </w:numPr>
        <w:spacing w:after="70"/>
      </w:pPr>
      <w:r>
        <w:rPr>
          <w:rFonts w:ascii="Arial" w:cs="Arial" w:eastAsia="Arial" w:hAnsi="Arial"/>
          <w:sz w:val="21"/>
          <w:szCs w:val="21"/>
        </w:rPr>
        <w:t xml:space="preserve">Gestionnaire d'erreurs global : en production, aucun détail technique interne n'est renvoyé au client.</w:t>
      </w:r>
    </w:p>
    <w:p>
      <w:pPr>
        <w:spacing w:after="140"/>
      </w:pPr>
    </w:p>
    <w:p>
      <w:pPr>
        <w:spacing w:after="130"/>
        <w:jc w:val="both"/>
      </w:pPr>
      <w:r>
        <w:rPr>
          <w:rFonts w:ascii="Arial" w:cs="Arial" w:eastAsia="Arial" w:hAnsi="Arial"/>
          <w:sz w:val="21"/>
          <w:szCs w:val="21"/>
        </w:rPr>
        <w:t xml:space="preserve">Le code serveur est organisé en dix modules de routage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Préfixe</w:t>
            </w:r>
          </w:p>
        </w:tc>
        <w:tc>
          <w:tcPr>
            <w:tcW w:type="dxa" w:w="68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Responsabilité</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/api/auth</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 vérification de l'adresse email, connexion, mot de passe oublié, profil, avatar</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/api/submissions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soumissions, fichiers joints, statuts, frais de publication, retrait</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/api/reviews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 des éditeurs et des reviewers, invitations externes, dépôt des évaluations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/api/articles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 détail d'un article, compteurs, notation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/api/users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/api/editorial-board</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lecture publique, écriture réservée à l'administration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/api/payments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 initiation, notification serveur à serveur, vérification, historique</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/api/ai</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Gemini : mots-clés, résumé, pertinence, extraction de métadonnées</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/api/notifications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Cloche de notifications au sein de l'application</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/api/admin</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du schéma, migration et audit des domaines scientifiques</w:t>
            </w:r>
          </w:p>
        </w:tc>
      </w:tr>
    </w:tbl>
    <w:p>
      <w:pPr>
        <w:spacing w:after="200"/>
      </w:pPr>
    </w:p>
    <w:p>
      <w:pPr>
        <w:spacing w:after="130"/>
        <w:jc w:val="both"/>
      </w:pPr>
      <w:r>
        <w:rPr>
          <w:rFonts w:ascii="Arial" w:cs="Arial" w:eastAsia="Arial" w:hAnsi="Arial"/>
          <w:sz w:val="21"/>
          <w:szCs w:val="21"/>
        </w:rPr>
        <w:t xml:space="preserve">Quatre services transverses complètent ces modules : l'envoi des emails (seize modèles), l'assistance par intelligence artificielle, le stockage des fichiers et la génération des notifications.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envois d'emails passent par une interface HTTPS et non par SMTP : l'hébergeur bloque les ports SMTP sortants sur son plan gratuit. Le chemin SMTP est conservé dans le code pour le développement local.</w:t>
      </w:r>
    </w:p>
    <w:p>
      <w:pPr>
        <w:pStyle w:val="Heading2"/>
      </w:pPr>
      <w:r>
        <w:t xml:space="preserve">3.2 Frontend</w:t>
      </w:r>
    </w:p>
    <w:p>
      <w:pPr>
        <w:spacing w:after="130"/>
        <w:jc w:val="both"/>
      </w:pPr>
      <w:r>
        <w:rPr>
          <w:rFonts w:ascii="Arial" w:cs="Arial" w:eastAsia="Arial" w:hAnsi="Arial"/>
          <w:sz w:val="21"/>
          <w:szCs w:val="21"/>
        </w:rPr>
        <w:t xml:space="preserve">Application React à page unique, compilée par Vite. Elle compte trente-deux pages réparties en six espaces : public, authentification, auteur, reviewer, administration, et pages partagées.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Espace</w:t>
            </w:r>
          </w:p>
        </w:tc>
        <w:tc>
          <w:tcPr>
            <w:tcW w:type="dxa" w:w="66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 (12 pages)</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Accueil, catalogue, détail d'article, à propos, guides de soumission, mentions légales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 (6)</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 inscription, vérification d'adresse, mot de passe oublié et réinitialisation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Auteur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portail de soumission, formulaire, paiement et retour de paiement</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Reviewer (3)</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liste des assignations, formulaire d'évaluation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soumissions, utilisateurs, comité éditorial, statistiques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Partagé (1)</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Détail d'une soumission, accessible à l'auteur et à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contrôle d'accès effectué côté navigateur est un confort d'affichage, jamais une sécurité. Toute donnée sensible est re-vérifiée par le serveur.</w:t>
      </w:r>
    </w:p>
    <w:p>
      <w:pPr>
        <w:spacing w:after="130"/>
        <w:jc w:val="both"/>
      </w:pPr>
      <w:r>
        <w:rPr>
          <w:rFonts w:ascii="Arial" w:cs="Arial" w:eastAsia="Arial" w:hAnsi="Arial"/>
          <w:sz w:val="21"/>
          <w:szCs w:val="21"/>
        </w:rPr>
        <w:t xml:space="preserve">Le délai d'attente des appels réseau est fixé à soixante secondes : il couvre le réveil de l'instance d'hébergement après une période d'inactivité.</w:t>
      </w:r>
    </w:p>
    <w:p>
      <w:pPr>
        <w:pStyle w:val="Heading2"/>
      </w:pPr>
      <w:r>
        <w:t xml:space="preserve">3.3 Services externes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w:t>
            </w:r>
          </w:p>
        </w:tc>
        <w:tc>
          <w:tcPr>
            <w:tcW w:type="dxa" w:w="3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Usage</w:t>
            </w:r>
          </w:p>
        </w:tc>
        <w:tc>
          <w:tcPr>
            <w:tcW w:type="dxa" w:w="3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indisponible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 PostgreSQL</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reste en ligne, les données sont inaccessibles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manuscrits et avatars</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le disque local (non durable)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 tous les emails</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Envois ignorés et journalisés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à la rédaction et extraction</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 dans l'interface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des frais de publication</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validation manuelle</w:t>
            </w:r>
          </w:p>
        </w:tc>
      </w:tr>
    </w:tbl>
    <w:p>
      <w:pPr>
        <w:pStyle w:val="Heading1"/>
        <w:pageBreakBefore/>
      </w:pPr>
      <w:r>
        <w:t xml:space="preserve">4. Modèle de données</w:t>
      </w:r>
    </w:p>
    <w:p>
      <w:pPr>
        <w:spacing w:after="130"/>
        <w:jc w:val="both"/>
      </w:pPr>
      <w:r>
        <w:rPr>
          <w:rFonts w:ascii="Arial" w:cs="Arial" w:eastAsia="Arial" w:hAnsi="Arial"/>
          <w:sz w:val="21"/>
          <w:szCs w:val="21"/>
        </w:rPr>
        <w:t xml:space="preserve">La base compte neuf tables. Toutes les clés étrangères portent une règle de suppression explicite, afin qu'aucune donnée orpheline ne subsiste.</w:t>
      </w:r>
    </w:p>
    <w:p>
      <w:pPr>
        <w:pStyle w:val="Heading2"/>
      </w:pPr>
      <w:r>
        <w:t xml:space="preserve">4.1 Tables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Table</w:t>
            </w:r>
          </w:p>
        </w:tc>
        <w:tc>
          <w:tcPr>
            <w:tcW w:type="dxa" w:w="6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Comptes de la plateforme : identité, rôle, établissement, mot de passe haché, état de vérification de l'adresse email, jetons de réinitialisation</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Manuscrits soumis. Table centrale : métadonnées, fichier manuscrit, PDF de publication, statut, numéro de manuscrit, liste structurée des auteurs, éditeur en charge, état des frais de publication, compteurs publics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submission_files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rattachés à une soumission : manuscrit, lettre d'accompagnement, figures, tableaux, avec libellé, description et ordre d'affichage</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Une ligne par couple soumission / reviewer : commentaires destinés à l'auteur, commentaires confidentiels réservés à l'éditeur, recommandation, fichier annoté, jeton d'invitation, dates d'acceptation ou de refus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Transactions : montant, devise, moyen de paiement, identifiant de transaction unique, statut et date de règlement</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research_areas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huit domaines scientifiques officiels du journal</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published_articles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Identifiant DOI et compteur de consultations des articles publiés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editorial_members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fonction, nom, affiliation, ordre d'affichage. Alimente la page « About » du site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 : destinataire, type, titre, corps, lien, date de lecture</w:t>
            </w:r>
          </w:p>
        </w:tc>
      </w:tr>
    </w:tbl>
    <w:p>
      <w:pPr>
        <w:spacing w:after="200"/>
      </w:pPr>
    </w:p>
    <w:p>
      <w:pPr>
        <w:pStyle w:val="Heading3"/>
      </w:pPr>
      <w:r>
        <w:t xml:space="preserve">Points de vigilance sur les données</w:t>
      </w:r>
    </w:p>
    <w:p>
      <w:pPr>
        <w:pStyle w:val="ListParagraph"/>
        <w:numPr>
          <w:ilvl w:val="0"/>
          <w:numId w:val="2"/>
        </w:numPr>
        <w:spacing w:after="70"/>
      </w:pPr>
      <w:r>
        <w:rPr>
          <w:rFonts w:ascii="Arial" w:cs="Arial" w:eastAsia="Arial" w:hAnsi="Arial"/>
          <w:b/>
          <w:bCs/>
          <w:sz w:val="21"/>
          <w:szCs w:val="21"/>
        </w:rPr>
        <w:t xml:space="preserve">Deux fichiers par article publié. </w:t>
      </w:r>
      <w:r>
        <w:rPr>
          <w:rFonts w:ascii="Arial" w:cs="Arial" w:eastAsia="Arial" w:hAnsi="Arial"/>
          <w:sz w:val="21"/>
          <w:szCs w:val="21"/>
        </w:rPr>
        <w:t xml:space="preserve">Le manuscrit d'origine au format Word et le PDF mis en page par la maison d'édition sont distincts. C'est ce dernier qui est servi au public.</w:t>
      </w:r>
    </w:p>
    <w:p>
      <w:pPr>
        <w:pStyle w:val="ListParagraph"/>
        <w:numPr>
          <w:ilvl w:val="0"/>
          <w:numId w:val="2"/>
        </w:numPr>
        <w:spacing w:after="70"/>
      </w:pPr>
      <w:r>
        <w:rPr>
          <w:rFonts w:ascii="Arial" w:cs="Arial" w:eastAsia="Arial" w:hAnsi="Arial"/>
          <w:b/>
          <w:bCs/>
          <w:sz w:val="21"/>
          <w:szCs w:val="21"/>
        </w:rPr>
        <w:t xml:space="preserve">Unicité des paiements. </w:t>
      </w:r>
      <w:r>
        <w:rPr>
          <w:rFonts w:ascii="Arial" w:cs="Arial" w:eastAsia="Arial" w:hAnsi="Arial"/>
          <w:sz w:val="21"/>
          <w:szCs w:val="21"/>
        </w:rPr>
        <w:t xml:space="preserve">Une contrainte d'unicité sur le couple soumission / moyen de paiement neutralise les notifications rejouées par la passerelle.</w:t>
      </w:r>
    </w:p>
    <w:p>
      <w:pPr>
        <w:pStyle w:val="ListParagraph"/>
        <w:numPr>
          <w:ilvl w:val="0"/>
          <w:numId w:val="2"/>
        </w:numPr>
        <w:spacing w:after="70"/>
      </w:pPr>
      <w:r>
        <w:rPr>
          <w:rFonts w:ascii="Arial" w:cs="Arial" w:eastAsia="Arial" w:hAnsi="Arial"/>
          <w:b/>
          <w:bCs/>
          <w:sz w:val="21"/>
          <w:szCs w:val="21"/>
        </w:rPr>
        <w:t xml:space="preserve">Mots de passe irréversibles. </w:t>
      </w:r>
      <w:r>
        <w:rPr>
          <w:rFonts w:ascii="Arial" w:cs="Arial" w:eastAsia="Arial" w:hAnsi="Arial"/>
          <w:sz w:val="21"/>
          <w:szCs w:val="21"/>
        </w:rPr>
        <w:t xml:space="preserve">Les mots de passe sont hachés avec Bcrypt. Un mot de passe perdu ne peut être que réinitialisé, jamais retrouvé — y compris par le prestataire.</w:t>
      </w:r>
    </w:p>
    <w:p>
      <w:pPr>
        <w:pStyle w:val="Heading2"/>
      </w:pPr>
      <w:r>
        <w:t xml:space="preserve">4.2 Gestion des migrations</w:t>
      </w:r>
    </w:p>
    <w:p>
      <w:pPr>
        <w:spacing w:after="130"/>
        <w:jc w:val="both"/>
      </w:pPr>
      <w:r>
        <w:rPr>
          <w:rFonts w:ascii="Arial" w:cs="Arial" w:eastAsia="Arial" w:hAnsi="Arial"/>
          <w:sz w:val="21"/>
          <w:szCs w:val="21"/>
        </w:rPr>
        <w:t xml:space="preserve">Le module d'initialisation de la base s'exécute à chaque démarrage du serveur et est idempotent : il peut être relancé indéfiniment sans effet de bord.</w:t>
      </w:r>
    </w:p>
    <w:p>
      <w:pPr>
        <w:pStyle w:val="ListParagraph"/>
        <w:numPr>
          <w:ilvl w:val="0"/>
          <w:numId w:val="2"/>
        </w:numPr>
        <w:spacing w:after="70"/>
      </w:pPr>
      <w:r>
        <w:rPr>
          <w:rFonts w:ascii="Arial" w:cs="Arial" w:eastAsia="Arial" w:hAnsi="Arial"/>
          <w:sz w:val="21"/>
          <w:szCs w:val="21"/>
        </w:rPr>
        <w:t xml:space="preserve">Création des tables manquantes, sans toucher aux tables existantes</w:t>
      </w:r>
    </w:p>
    <w:p>
      <w:pPr>
        <w:pStyle w:val="ListParagraph"/>
        <w:numPr>
          <w:ilvl w:val="0"/>
          <w:numId w:val="2"/>
        </w:numPr>
        <w:spacing w:after="70"/>
      </w:pPr>
      <w:r>
        <w:rPr>
          <w:rFonts w:ascii="Arial" w:cs="Arial" w:eastAsia="Arial" w:hAnsi="Arial"/>
          <w:sz w:val="21"/>
          <w:szCs w:val="21"/>
        </w:rPr>
        <w:t xml:space="preserve">Ajout des colonnes introduites depuis la version précédente</w:t>
      </w:r>
    </w:p>
    <w:p>
      <w:pPr>
        <w:pStyle w:val="ListParagraph"/>
        <w:numPr>
          <w:ilvl w:val="0"/>
          <w:numId w:val="2"/>
        </w:numPr>
        <w:spacing w:after="70"/>
      </w:pPr>
      <w:r>
        <w:rPr>
          <w:rFonts w:ascii="Arial" w:cs="Arial" w:eastAsia="Arial" w:hAnsi="Arial"/>
          <w:sz w:val="21"/>
          <w:szCs w:val="21"/>
        </w:rPr>
        <w:t xml:space="preserve">Reconstruction des contraintes de validation héritées, dont les listes de valeurs figées rejetaient les statuts ajoutés depuis</w:t>
      </w:r>
    </w:p>
    <w:p>
      <w:pPr>
        <w:pStyle w:val="ListParagraph"/>
        <w:numPr>
          <w:ilvl w:val="0"/>
          <w:numId w:val="2"/>
        </w:numPr>
        <w:spacing w:after="70"/>
      </w:pPr>
      <w:r>
        <w:rPr>
          <w:rFonts w:ascii="Arial" w:cs="Arial" w:eastAsia="Arial" w:hAnsi="Arial"/>
          <w:sz w:val="21"/>
          <w:szCs w:val="21"/>
        </w:rPr>
        <w:t xml:space="preserve">Correctifs ponctuels de données : renommage de domaines, normalisation</w:t>
      </w:r>
    </w:p>
    <w:p>
      <w:pPr>
        <w:pStyle w:val="ListParagraph"/>
        <w:numPr>
          <w:ilvl w:val="0"/>
          <w:numId w:val="2"/>
        </w:numPr>
        <w:spacing w:after="70"/>
      </w:pPr>
      <w:r>
        <w:rPr>
          <w:rFonts w:ascii="Arial" w:cs="Arial" w:eastAsia="Arial" w:hAnsi="Arial"/>
          <w:sz w:val="21"/>
          <w:szCs w:val="21"/>
        </w:rPr>
        <w:t xml:space="preserve">Chaque migration est isolée : une migration en échec est journalisée puis ignorée, elle n'interrompt pas le démarrage</w:t>
      </w:r>
    </w:p>
    <w:p>
      <w:pPr>
        <w:spacing w:after="140"/>
      </w:pPr>
    </w:p>
    <w:p>
      <w:pPr>
        <w:spacing w:after="130"/>
        <w:jc w:val="both"/>
      </w:pPr>
      <w:r>
        <w:rPr>
          <w:rFonts w:ascii="Arial" w:cs="Arial" w:eastAsia="Arial" w:hAnsi="Arial"/>
          <w:sz w:val="21"/>
          <w:szCs w:val="21"/>
        </w:rPr>
        <w:t xml:space="preserve">L'initialisation ne bloque pas l'écoute réseau : si la base est momentanément injoignable, le serveur reste en ligne et répond au contrôle de santé, au lieu de redémarrer en boucle.</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Toute évolution du schéma doit passer par un bloc idempotent dans ce module, puis par un déploiement. Une modification appliquée manuellement en production serait invisible pour les autres environnements et perdue lors d'une reconstruction.</w:t>
      </w:r>
    </w:p>
    <w:p>
      <w:pPr>
        <w:pStyle w:val="Heading1"/>
        <w:pageBreakBefore/>
      </w:pPr>
      <w:r>
        <w:t xml:space="preserve">5. Workflows métier</w:t>
      </w:r>
    </w:p>
    <w:p>
      <w:pPr>
        <w:pStyle w:val="Heading2"/>
      </w:pPr>
      <w:r>
        <w:t xml:space="preserve">5.1 Cycle de vie d'un manuscrit</w:t>
      </w:r>
    </w:p>
    <w:p>
      <w:pPr>
        <w:spacing w:after="40"/>
      </w:pPr>
    </w:p>
    <w:p>
      <w:pPr>
        <w:shd w:fill="F3F6F4" w:val="clear"/>
        <w:spacing w:after="0" w:line="240"/>
        <w:ind w:left="340"/>
      </w:pPr>
      <w:r>
        <w:rPr>
          <w:rFonts w:ascii="Consolas" w:cs="Consolas" w:eastAsia="Consolas" w:hAnsi="Consolas"/>
          <w:color w:val="14361F"/>
          <w:sz w:val="17"/>
          <w:szCs w:val="17"/>
        </w:rPr>
        <w:t xml:space="preserve">   Auteur ----&gt; [ pending ]   soumission déposée</w:t>
      </w:r>
    </w:p>
    <w:p>
      <w:pPr>
        <w:shd w:fill="F3F6F4" w:val="clear"/>
        <w:spacing w:after="0" w:line="240"/>
        <w:ind w:left="340"/>
      </w:pPr>
      <w:r>
        <w:rPr>
          <w:rFonts w:ascii="Consolas" w:cs="Consolas" w:eastAsia="Consolas" w:hAnsi="Consolas"/>
          <w:color w:val="14361F"/>
          <w:sz w:val="17"/>
          <w:szCs w:val="17"/>
        </w:rPr>
        <w:t xml:space="preserve">                    |  examen initial par l'administration</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w:t>
      </w:r>
    </w:p>
    <w:p>
      <w:pPr>
        <w:shd w:fill="F3F6F4" w:val="clear"/>
        <w:spacing w:after="0" w:line="240"/>
        <w:ind w:left="340"/>
      </w:pPr>
      <w:r>
        <w:rPr>
          <w:rFonts w:ascii="Consolas" w:cs="Consolas" w:eastAsia="Consolas" w:hAnsi="Consolas"/>
          <w:color w:val="14361F"/>
          <w:sz w:val="17"/>
          <w:szCs w:val="17"/>
        </w:rPr>
        <w:t xml:space="preserve"> [ sent_back ] [ under_review ] [ rejected ]</w:t>
      </w:r>
    </w:p>
    <w:p>
      <w:pPr>
        <w:shd w:fill="F3F6F4" w:val="clear"/>
        <w:spacing w:after="0" w:line="240"/>
        <w:ind w:left="340"/>
      </w:pPr>
      <w:r>
        <w:rPr>
          <w:rFonts w:ascii="Consolas" w:cs="Consolas" w:eastAsia="Consolas" w:hAnsi="Consolas"/>
          <w:color w:val="14361F"/>
          <w:sz w:val="17"/>
          <w:szCs w:val="17"/>
        </w:rPr>
        <w:t xml:space="preserve">  format non    reviewers</w:t>
      </w:r>
    </w:p>
    <w:p>
      <w:pPr>
        <w:shd w:fill="F3F6F4" w:val="clear"/>
        <w:spacing w:after="0" w:line="240"/>
        <w:ind w:left="340"/>
      </w:pPr>
      <w:r>
        <w:rPr>
          <w:rFonts w:ascii="Consolas" w:cs="Consolas" w:eastAsia="Consolas" w:hAnsi="Consolas"/>
          <w:color w:val="14361F"/>
          <w:sz w:val="17"/>
          <w:szCs w:val="17"/>
        </w:rPr>
        <w:t xml:space="preserve">  conforme      assignés</w:t>
      </w:r>
    </w:p>
    <w:p>
      <w:pPr>
        <w:shd w:fill="F3F6F4" w:val="clear"/>
        <w:spacing w:after="0" w:line="240"/>
        <w:ind w:left="340"/>
      </w:pPr>
      <w:r>
        <w:rPr>
          <w:rFonts w:ascii="Consolas" w:cs="Consolas" w:eastAsia="Consolas" w:hAnsi="Consolas"/>
          <w:color w:val="14361F"/>
          <w:sz w:val="17"/>
          <w:szCs w:val="17"/>
        </w:rPr>
        <w:t xml:space="preserve">                    |  évaluations reçues, décision</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         v</w:t>
      </w:r>
    </w:p>
    <w:p>
      <w:pPr>
        <w:shd w:fill="F3F6F4" w:val="clear"/>
        <w:spacing w:after="0" w:line="240"/>
        <w:ind w:left="340"/>
      </w:pPr>
      <w:r>
        <w:rPr>
          <w:rFonts w:ascii="Consolas" w:cs="Consolas" w:eastAsia="Consolas" w:hAnsi="Consolas"/>
          <w:color w:val="14361F"/>
          <w:sz w:val="17"/>
          <w:szCs w:val="17"/>
        </w:rPr>
        <w:t xml:space="preserve"> [ minor_ ] [ major_ ] [ accepted ] [ rejected ]</w:t>
      </w:r>
    </w:p>
    <w:p>
      <w:pPr>
        <w:shd w:fill="F3F6F4" w:val="clear"/>
        <w:spacing w:after="0" w:line="240"/>
        <w:ind w:left="340"/>
      </w:pPr>
      <w:r>
        <w:rPr>
          <w:rFonts w:ascii="Consolas" w:cs="Consolas" w:eastAsia="Consolas" w:hAnsi="Consolas"/>
          <w:color w:val="14361F"/>
          <w:sz w:val="17"/>
          <w:szCs w:val="17"/>
        </w:rPr>
        <w:t xml:space="preserve"> [revision] [revision]      |</w:t>
      </w:r>
    </w:p>
    <w:p>
      <w:pPr>
        <w:shd w:fill="F3F6F4" w:val="clear"/>
        <w:spacing w:after="0" w:line="240"/>
        <w:ind w:left="340"/>
      </w:pPr>
      <w:r>
        <w:rPr>
          <w:rFonts w:ascii="Consolas" w:cs="Consolas" w:eastAsia="Consolas" w:hAnsi="Consolas"/>
          <w:color w:val="14361F"/>
          <w:sz w:val="17"/>
          <w:szCs w:val="17"/>
        </w:rPr>
        <w:t xml:space="preserve">      +----+----+           |  frais de publication réglés</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 revised ] ---&gt; [ published ]</w:t>
      </w:r>
    </w:p>
    <w:p>
      <w:pPr>
        <w:shd w:fill="F3F6F4" w:val="clear"/>
        <w:spacing w:after="0" w:line="240"/>
        <w:ind w:left="340"/>
      </w:pPr>
      <w:r>
        <w:rPr>
          <w:rFonts w:ascii="Consolas" w:cs="Consolas" w:eastAsia="Consolas" w:hAnsi="Consolas"/>
          <w:color w:val="14361F"/>
          <w:sz w:val="17"/>
          <w:szCs w:val="17"/>
        </w:rPr>
        <w:t xml:space="preserve"/>
      </w:r>
    </w:p>
    <w:p>
      <w:pPr>
        <w:shd w:fill="F3F6F4" w:val="clear"/>
        <w:spacing w:after="0" w:line="240"/>
        <w:ind w:left="340"/>
      </w:pPr>
      <w:r>
        <w:rPr>
          <w:rFonts w:ascii="Consolas" w:cs="Consolas" w:eastAsia="Consolas" w:hAnsi="Consolas"/>
          <w:color w:val="14361F"/>
          <w:sz w:val="17"/>
          <w:szCs w:val="17"/>
        </w:rPr>
        <w:t xml:space="preserve">  withdrawn : retrait par l'auteur, possible avant décision finale</w:t>
      </w:r>
    </w:p>
    <w:p>
      <w:pPr>
        <w:spacing w:after="130"/>
      </w:pPr>
    </w:p>
    <w:p>
      <w:pPr>
        <w:spacing w:after="130"/>
        <w:jc w:val="both"/>
      </w:pPr>
      <w:r>
        <w:rPr>
          <w:rFonts w:ascii="Arial" w:cs="Arial" w:eastAsia="Arial" w:hAnsi="Arial"/>
          <w:sz w:val="21"/>
          <w:szCs w:val="21"/>
        </w:rPr>
        <w:t xml:space="preserve">Chaque changement de statut déclenche un email à l'auteur et une notification interne. Les libellés transmis à l'auteur sont ceux retenus par le comité : Accept, Reject, Major revision, Minor revision, Revision requested, Sent back to the authors.</w:t>
      </w:r>
    </w:p>
    <w:p>
      <w:pPr>
        <w:pStyle w:val="Heading2"/>
      </w:pPr>
      <w:r>
        <w:t xml:space="preserve">5.2 Règle de publication</w:t>
      </w:r>
    </w:p>
    <w:p>
      <w:pPr>
        <w:spacing w:after="130"/>
        <w:jc w:val="both"/>
      </w:pPr>
      <w:r>
        <w:rPr>
          <w:rFonts w:ascii="Arial" w:cs="Arial" w:eastAsia="Arial" w:hAnsi="Arial"/>
          <w:sz w:val="21"/>
          <w:szCs w:val="21"/>
        </w:rPr>
        <w:t xml:space="preserve">Un article ne peut pas être publié tant que les frais de publication ne sont pas constatés : la demande est refusée par le serveur. Ce verrou est absolu et ne peut être contourné depuis l'interface.</w:t>
      </w:r>
    </w:p>
    <w:p>
      <w:pPr>
        <w:pStyle w:val="Heading2"/>
      </w:pPr>
      <w:r>
        <w:t xml:space="preserve">5.3 Parcours d'évaluation</w:t>
      </w:r>
    </w:p>
    <w:p>
      <w:pPr>
        <w:pStyle w:val="ListParagraph"/>
        <w:numPr>
          <w:ilvl w:val="0"/>
          <w:numId w:val="3"/>
        </w:numPr>
        <w:spacing w:after="70"/>
      </w:pPr>
      <w:r>
        <w:rPr>
          <w:rFonts w:ascii="Arial" w:cs="Arial" w:eastAsia="Arial" w:hAnsi="Arial"/>
          <w:sz w:val="21"/>
          <w:szCs w:val="21"/>
        </w:rPr>
        <w:t xml:space="preserve">L'administration assigne un éditeur à la soumission.</w:t>
      </w:r>
    </w:p>
    <w:p>
      <w:pPr>
        <w:pStyle w:val="ListParagraph"/>
        <w:numPr>
          <w:ilvl w:val="0"/>
          <w:numId w:val="3"/>
        </w:numPr>
        <w:spacing w:after="70"/>
      </w:pPr>
      <w:r>
        <w:rPr>
          <w:rFonts w:ascii="Arial" w:cs="Arial" w:eastAsia="Arial" w:hAnsi="Arial"/>
          <w:sz w:val="21"/>
          <w:szCs w:val="21"/>
        </w:rPr>
        <w:t xml:space="preserve">Elle assigne des reviewers internes, ou invite un expert externe par email.</w:t>
      </w:r>
    </w:p>
    <w:p>
      <w:pPr>
        <w:pStyle w:val="ListParagraph"/>
        <w:numPr>
          <w:ilvl w:val="0"/>
          <w:numId w:val="3"/>
        </w:numPr>
        <w:spacing w:after="70"/>
      </w:pPr>
      <w:r>
        <w:rPr>
          <w:rFonts w:ascii="Arial" w:cs="Arial" w:eastAsia="Arial" w:hAnsi="Arial"/>
          <w:sz w:val="21"/>
          <w:szCs w:val="21"/>
        </w:rPr>
        <w:t xml:space="preserve">L'invitation contient deux liens signés par un jeton à usage unique : l'expert accepte ou décline sans avoir à créer de compte ni à se connecter.</w:t>
      </w:r>
    </w:p>
    <w:p>
      <w:pPr>
        <w:pStyle w:val="ListParagraph"/>
        <w:numPr>
          <w:ilvl w:val="0"/>
          <w:numId w:val="3"/>
        </w:numPr>
        <w:spacing w:after="70"/>
      </w:pPr>
      <w:r>
        <w:rPr>
          <w:rFonts w:ascii="Arial" w:cs="Arial" w:eastAsia="Arial" w:hAnsi="Arial"/>
          <w:sz w:val="21"/>
          <w:szCs w:val="21"/>
        </w:rPr>
        <w:t xml:space="preserve">Le reviewer dépose son évaluation : commentaires destinés à l'auteur, commentaires confidentiels réservés à l'éditeur, recommandation et, si besoin, un fichier annoté.</w:t>
      </w:r>
    </w:p>
    <w:p>
      <w:pPr>
        <w:pStyle w:val="ListParagraph"/>
        <w:numPr>
          <w:ilvl w:val="0"/>
          <w:numId w:val="3"/>
        </w:numPr>
        <w:spacing w:after="70"/>
      </w:pPr>
      <w:r>
        <w:rPr>
          <w:rFonts w:ascii="Arial" w:cs="Arial" w:eastAsia="Arial" w:hAnsi="Arial"/>
          <w:sz w:val="21"/>
          <w:szCs w:val="21"/>
        </w:rPr>
        <w:t xml:space="preserve">L'éditeur et l'administration sont alertés. La décision finale est notifiée à l'auteur et, pour information, aux reviewers.</w:t>
      </w:r>
    </w:p>
    <w:p>
      <w:pPr>
        <w:pStyle w:val="Heading2"/>
      </w:pPr>
      <w:r>
        <w:t xml:space="preserve">5.4 Paiement des frais de publication</w:t>
      </w:r>
    </w:p>
    <w:p>
      <w:pPr>
        <w:spacing w:after="130"/>
        <w:jc w:val="both"/>
      </w:pPr>
      <w:r>
        <w:rPr>
          <w:rFonts w:ascii="Arial" w:cs="Arial" w:eastAsia="Arial" w:hAnsi="Arial"/>
          <w:sz w:val="21"/>
          <w:szCs w:val="21"/>
        </w:rPr>
        <w:t xml:space="preserve">Le montant est de 100 000 FCFA, soit environ 155 euros, 180 dollars américains ou 1 300 yuans.</w:t>
      </w:r>
    </w:p>
    <w:p>
      <w:pPr>
        <w:spacing w:after="40"/>
      </w:pPr>
    </w:p>
    <w:p>
      <w:pPr>
        <w:shd w:fill="F3F6F4" w:val="clear"/>
        <w:spacing w:after="0" w:line="240"/>
        <w:ind w:left="340"/>
      </w:pPr>
      <w:r>
        <w:rPr>
          <w:rFonts w:ascii="Consolas" w:cs="Consolas" w:eastAsia="Consolas" w:hAnsi="Consolas"/>
          <w:color w:val="14361F"/>
          <w:sz w:val="17"/>
          <w:szCs w:val="17"/>
        </w:rPr>
        <w:t xml:space="preserve">  Auteur --&gt; initiation --&gt; CinetPay --&gt; page de paiement</w:t>
      </w:r>
    </w:p>
    <w:p>
      <w:pPr>
        <w:shd w:fill="F3F6F4" w:val="clear"/>
        <w:spacing w:after="0" w:line="240"/>
        <w:ind w:left="340"/>
      </w:pPr>
      <w:r>
        <w:rPr>
          <w:rFonts w:ascii="Consolas" w:cs="Consolas" w:eastAsia="Consolas" w:hAnsi="Consolas"/>
          <w:color w:val="14361F"/>
          <w:sz w:val="17"/>
          <w:szCs w:val="17"/>
        </w:rPr>
        <w:t xml:space="preserve">                                |          (Mobile Money / carte)</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notification serveur à serveur          retour navigateur</w:t>
      </w:r>
    </w:p>
    <w:p>
      <w:pPr>
        <w:shd w:fill="F3F6F4" w:val="clear"/>
        <w:spacing w:after="0" w:line="240"/>
        <w:ind w:left="340"/>
      </w:pPr>
      <w:r>
        <w:rPr>
          <w:rFonts w:ascii="Consolas" w:cs="Consolas" w:eastAsia="Consolas" w:hAnsi="Consolas"/>
          <w:color w:val="14361F"/>
          <w:sz w:val="17"/>
          <w:szCs w:val="17"/>
        </w:rPr>
        <w:t xml:space="preserve">   -&gt; vérification du statut réel          -&gt; affichage du résultat</w:t>
      </w:r>
    </w:p>
    <w:p>
      <w:pPr>
        <w:shd w:fill="F3F6F4" w:val="clear"/>
        <w:spacing w:after="0" w:line="240"/>
        <w:ind w:left="340"/>
      </w:pPr>
      <w:r>
        <w:rPr>
          <w:rFonts w:ascii="Consolas" w:cs="Consolas" w:eastAsia="Consolas" w:hAnsi="Consolas"/>
          <w:color w:val="14361F"/>
          <w:sz w:val="17"/>
          <w:szCs w:val="17"/>
        </w:rPr>
        <w:t xml:space="preserve">   -&gt; paiement marqué « réglé »</w:t>
      </w:r>
    </w:p>
    <w:p>
      <w:pPr>
        <w:shd w:fill="F3F6F4" w:val="clear"/>
        <w:spacing w:after="0" w:line="240"/>
        <w:ind w:left="340"/>
      </w:pPr>
      <w:r>
        <w:rPr>
          <w:rFonts w:ascii="Consolas" w:cs="Consolas" w:eastAsia="Consolas" w:hAnsi="Consolas"/>
          <w:color w:val="14361F"/>
          <w:sz w:val="17"/>
          <w:szCs w:val="17"/>
        </w:rPr>
        <w:t xml:space="preserve">   -&gt; frais de publication validés</w:t>
      </w:r>
    </w:p>
    <w:p>
      <w:pPr>
        <w:shd w:fill="F3F6F4" w:val="clear"/>
        <w:spacing w:after="0" w:line="240"/>
        <w:ind w:left="340"/>
      </w:pPr>
      <w:r>
        <w:rPr>
          <w:rFonts w:ascii="Consolas" w:cs="Consolas" w:eastAsia="Consolas" w:hAnsi="Consolas"/>
          <w:color w:val="14361F"/>
          <w:sz w:val="17"/>
          <w:szCs w:val="17"/>
        </w:rPr>
        <w:t xml:space="preserve">   -&gt; emails auteur et administration</w:t>
      </w:r>
    </w:p>
    <w:p>
      <w:pPr>
        <w:spacing w:after="130"/>
      </w:pPr>
    </w:p>
    <w:p>
      <w:pPr>
        <w:spacing w:after="130"/>
        <w:jc w:val="both"/>
      </w:pPr>
      <w:r>
        <w:rPr>
          <w:rFonts w:ascii="Arial" w:cs="Arial" w:eastAsia="Arial" w:hAnsi="Arial"/>
          <w:sz w:val="21"/>
          <w:szCs w:val="21"/>
        </w:rPr>
        <w:t xml:space="preserve">La notification serveur à serveur fait foi. Le retour navigateur ne sert qu'à l'affichage : le statut réel est toujours revérifié auprès de la passerelle, jamais déduit des paramètres d'URL.</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paiement en ligne n'est pas actif à ce jour : les identifiants du compte marchand n'ont pas été fournis. La plateforme fonctionne en mode hors ligne, où l'auteur reçoit les instructions de règlement et l'administration constate le paiement manuellement. La procédure d'activation figure au chapitre 8.</w:t>
      </w:r>
    </w:p>
    <w:p>
      <w:pPr>
        <w:pStyle w:val="Heading1"/>
        <w:pageBreakBefore/>
      </w:pPr>
      <w:r>
        <w:t xml:space="preserve">6. Sécurité</w:t>
      </w:r>
    </w:p>
    <w:p>
      <w:pPr>
        <w:pStyle w:val="Heading2"/>
      </w:pPr>
      <w:r>
        <w:t xml:space="preserve">6.1 Authentification</w:t>
      </w:r>
    </w:p>
    <w:p>
      <w:pPr>
        <w:pStyle w:val="ListParagraph"/>
        <w:numPr>
          <w:ilvl w:val="0"/>
          <w:numId w:val="2"/>
        </w:numPr>
        <w:spacing w:after="70"/>
      </w:pPr>
      <w:r>
        <w:rPr>
          <w:rFonts w:ascii="Arial" w:cs="Arial" w:eastAsia="Arial" w:hAnsi="Arial"/>
          <w:sz w:val="21"/>
          <w:szCs w:val="21"/>
        </w:rPr>
        <w:t xml:space="preserve">Mots de passe hachés avec Bcrypt, facteur de coût 12. Le hachage est à sens unique.</w:t>
      </w:r>
    </w:p>
    <w:p>
      <w:pPr>
        <w:pStyle w:val="ListParagraph"/>
        <w:numPr>
          <w:ilvl w:val="0"/>
          <w:numId w:val="2"/>
        </w:numPr>
        <w:spacing w:after="70"/>
      </w:pPr>
      <w:r>
        <w:rPr>
          <w:rFonts w:ascii="Arial" w:cs="Arial" w:eastAsia="Arial" w:hAnsi="Arial"/>
          <w:sz w:val="21"/>
          <w:szCs w:val="21"/>
        </w:rPr>
        <w:t xml:space="preserve">Jetons JWT signés, transmis à chaque requête dans l'en-tête d'autorisation.</w:t>
      </w:r>
    </w:p>
    <w:p>
      <w:pPr>
        <w:pStyle w:val="ListParagraph"/>
        <w:numPr>
          <w:ilvl w:val="0"/>
          <w:numId w:val="2"/>
        </w:numPr>
        <w:spacing w:after="70"/>
      </w:pPr>
      <w:r>
        <w:rPr>
          <w:rFonts w:ascii="Arial" w:cs="Arial" w:eastAsia="Arial" w:hAnsi="Arial"/>
          <w:sz w:val="21"/>
          <w:szCs w:val="21"/>
        </w:rPr>
        <w:t xml:space="preserve">La connexion est refusée tant que l'adresse email n'a pas été confirmée.</w:t>
      </w:r>
    </w:p>
    <w:p>
      <w:pPr>
        <w:pStyle w:val="ListParagraph"/>
        <w:numPr>
          <w:ilvl w:val="0"/>
          <w:numId w:val="2"/>
        </w:numPr>
        <w:spacing w:after="70"/>
      </w:pPr>
      <w:r>
        <w:rPr>
          <w:rFonts w:ascii="Arial" w:cs="Arial" w:eastAsia="Arial" w:hAnsi="Arial"/>
          <w:sz w:val="21"/>
          <w:szCs w:val="21"/>
        </w:rPr>
        <w:t xml:space="preserve">Lien de confirmation valable 24 heures, lien de réinitialisation valable 1 heure, tous deux à usage unique.</w:t>
      </w:r>
    </w:p>
    <w:p>
      <w:pPr>
        <w:pStyle w:val="ListParagraph"/>
        <w:numPr>
          <w:ilvl w:val="0"/>
          <w:numId w:val="2"/>
        </w:numPr>
        <w:spacing w:after="70"/>
      </w:pPr>
      <w:r>
        <w:rPr>
          <w:rFonts w:ascii="Arial" w:cs="Arial" w:eastAsia="Arial" w:hAnsi="Arial"/>
          <w:sz w:val="21"/>
          <w:szCs w:val="21"/>
        </w:rPr>
        <w:t xml:space="preserve">La demande de réinitialisation renvoie toujours la même réponse, que le compte existe ou non : aucune énumération d'adresses n'est possible.</w:t>
      </w:r>
    </w:p>
    <w:p>
      <w:pPr>
        <w:pStyle w:val="Heading2"/>
      </w:pPr>
      <w:r>
        <w:t xml:space="preserve">6.2 Autorisation</w:t>
      </w:r>
    </w:p>
    <w:p>
      <w:pPr>
        <w:spacing w:after="130"/>
        <w:jc w:val="both"/>
      </w:pPr>
      <w:r>
        <w:rPr>
          <w:rFonts w:ascii="Arial" w:cs="Arial" w:eastAsia="Arial" w:hAnsi="Arial"/>
          <w:sz w:val="21"/>
          <w:szCs w:val="21"/>
        </w:rPr>
        <w:t xml:space="preserve">Trois niveaux successifs de contrôle sont appliqués côté serveur :</w:t>
      </w:r>
    </w:p>
    <w:p>
      <w:pPr>
        <w:pStyle w:val="ListParagraph"/>
        <w:numPr>
          <w:ilvl w:val="0"/>
          <w:numId w:val="3"/>
        </w:numPr>
        <w:spacing w:after="70"/>
      </w:pPr>
      <w:r>
        <w:rPr>
          <w:rFonts w:ascii="Arial" w:cs="Arial" w:eastAsia="Arial" w:hAnsi="Arial"/>
          <w:sz w:val="21"/>
          <w:szCs w:val="21"/>
        </w:rPr>
        <w:t xml:space="preserve">Validation de la signature et de la date d'expiration du jeton.</w:t>
      </w:r>
    </w:p>
    <w:p>
      <w:pPr>
        <w:pStyle w:val="ListParagraph"/>
        <w:numPr>
          <w:ilvl w:val="0"/>
          <w:numId w:val="3"/>
        </w:numPr>
        <w:spacing w:after="70"/>
      </w:pPr>
      <w:r>
        <w:rPr>
          <w:rFonts w:ascii="Arial" w:cs="Arial" w:eastAsia="Arial" w:hAnsi="Arial"/>
          <w:sz w:val="21"/>
          <w:szCs w:val="21"/>
        </w:rPr>
        <w:t xml:space="preserve">Contrôle du rôle requis par la route.</w:t>
      </w:r>
    </w:p>
    <w:p>
      <w:pPr>
        <w:pStyle w:val="ListParagraph"/>
        <w:numPr>
          <w:ilvl w:val="0"/>
          <w:numId w:val="3"/>
        </w:numPr>
        <w:spacing w:after="70"/>
      </w:pPr>
      <w:r>
        <w:rPr>
          <w:rFonts w:ascii="Arial" w:cs="Arial" w:eastAsia="Arial" w:hAnsi="Arial"/>
          <w:sz w:val="21"/>
          <w:szCs w:val="21"/>
        </w:rPr>
        <w:t xml:space="preserve">Contrôle de propriété dans la requête elle-même : un auteur ne lit que ses soumissions, un reviewer que ses assignations. Le rôle seul ne donne jamais accès aux données d'autrui.</w:t>
      </w:r>
    </w:p>
    <w:p>
      <w:pPr>
        <w:spacing w:after="140"/>
      </w:pPr>
    </w:p>
    <w:p>
      <w:pPr>
        <w:spacing w:after="130"/>
        <w:jc w:val="both"/>
      </w:pPr>
      <w:r>
        <w:rPr>
          <w:rFonts w:ascii="Arial" w:cs="Arial" w:eastAsia="Arial" w:hAnsi="Arial"/>
          <w:sz w:val="21"/>
          <w:szCs w:val="21"/>
        </w:rPr>
        <w:t xml:space="preserve">Les comptes administrateurs ne peuvent pas être créés par inscription publique : seuls les rôles auteur et reviewer sont acceptés à l'inscription. La promotion se fait en base ou par un administrateur déjà en place.</w:t>
      </w:r>
    </w:p>
    <w:p>
      <w:pPr>
        <w:pStyle w:val="Heading2"/>
      </w:pPr>
      <w:r>
        <w:t xml:space="preserve">6.3 Protection des fichiers</w:t>
      </w:r>
    </w:p>
    <w:p>
      <w:pPr>
        <w:spacing w:after="130"/>
        <w:jc w:val="both"/>
      </w:pPr>
      <w:r>
        <w:rPr>
          <w:rFonts w:ascii="Arial" w:cs="Arial" w:eastAsia="Arial" w:hAnsi="Arial"/>
          <w:sz w:val="21"/>
          <w:szCs w:val="21"/>
        </w:rPr>
        <w:t xml:space="preserve">Les manuscrits non publiés sont servis derrière un contrôle d'accès qui :</w:t>
      </w:r>
    </w:p>
    <w:p>
      <w:pPr>
        <w:pStyle w:val="ListParagraph"/>
        <w:numPr>
          <w:ilvl w:val="0"/>
          <w:numId w:val="2"/>
        </w:numPr>
        <w:spacing w:after="70"/>
      </w:pPr>
      <w:r>
        <w:rPr>
          <w:rFonts w:ascii="Arial" w:cs="Arial" w:eastAsia="Arial" w:hAnsi="Arial"/>
          <w:sz w:val="21"/>
          <w:szCs w:val="21"/>
        </w:rPr>
        <w:t xml:space="preserve">rejette tout nom de fichier hors d'un format strict, ce qui interdit la remontée dans l'arborescence du serveur ;</w:t>
      </w:r>
    </w:p>
    <w:p>
      <w:pPr>
        <w:pStyle w:val="ListParagraph"/>
        <w:numPr>
          <w:ilvl w:val="0"/>
          <w:numId w:val="2"/>
        </w:numPr>
        <w:spacing w:after="70"/>
      </w:pPr>
      <w:r>
        <w:rPr>
          <w:rFonts w:ascii="Arial" w:cs="Arial" w:eastAsia="Arial" w:hAnsi="Arial"/>
          <w:sz w:val="21"/>
          <w:szCs w:val="21"/>
        </w:rPr>
        <w:t xml:space="preserve">laisse passer librement les manuscrits des articles publiés ;</w:t>
      </w:r>
    </w:p>
    <w:p>
      <w:pPr>
        <w:pStyle w:val="ListParagraph"/>
        <w:numPr>
          <w:ilvl w:val="0"/>
          <w:numId w:val="2"/>
        </w:numPr>
        <w:spacing w:after="70"/>
      </w:pPr>
      <w:r>
        <w:rPr>
          <w:rFonts w:ascii="Arial" w:cs="Arial" w:eastAsia="Arial" w:hAnsi="Arial"/>
          <w:sz w:val="21"/>
          <w:szCs w:val="21"/>
        </w:rPr>
        <w:t xml:space="preserve">exige sinon un jeton valide et n'autorise que l'administration, l'auteur de la soumission, ou un reviewer effectivement assigné, vérifié en base ;</w:t>
      </w:r>
    </w:p>
    <w:p>
      <w:pPr>
        <w:pStyle w:val="ListParagraph"/>
        <w:numPr>
          <w:ilvl w:val="0"/>
          <w:numId w:val="2"/>
        </w:numPr>
        <w:spacing w:after="70"/>
      </w:pPr>
      <w:r>
        <w:rPr>
          <w:rFonts w:ascii="Arial" w:cs="Arial" w:eastAsia="Arial" w:hAnsi="Arial"/>
          <w:sz w:val="21"/>
          <w:szCs w:val="21"/>
        </w:rPr>
        <w:t xml:space="preserve">refuse l'accès dans tous les autres cas.</w:t>
      </w:r>
    </w:p>
    <w:p>
      <w:pPr>
        <w:pStyle w:val="Heading2"/>
      </w:pPr>
      <w:r>
        <w:t xml:space="preserve">6.4 Limitation de débit</w:t>
      </w:r>
    </w:p>
    <w:p>
      <w:pPr>
        <w:spacing w:after="130"/>
        <w:jc w:val="both"/>
      </w:pPr>
      <w:r>
        <w:rPr>
          <w:rFonts w:ascii="Arial" w:cs="Arial" w:eastAsia="Arial" w:hAnsi="Arial"/>
          <w:sz w:val="21"/>
          <w:szCs w:val="21"/>
        </w:rPr>
        <w:t xml:space="preserve">Sept limiteurs protègent les points d'entrée sensibles, par adresse 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 d'entrée</w:t>
            </w:r>
          </w:p>
        </w:tc>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Fenêtre</w:t>
            </w:r>
          </w:p>
        </w:tc>
        <w:tc>
          <w:tcPr>
            <w:tcW w:type="dxa" w:w="2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Quota</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 tentatives échouées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 comptes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Mot de passe oublié et renvoi de vérification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 demandes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Notation d'un article</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30 notations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Compteur de téléchargements</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60 incréments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 de paiement</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100 appels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et comité éditorial</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200 requêtes</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Ces compteurs sont tenus en mémoire : ils repartent de zéro à chaque redémarrage du serveur et ne seraient pas partagés entre plusieurs instances. C'est adapté à la configuration actuelle, qui n'en comporte qu'une.</w:t>
      </w:r>
    </w:p>
    <w:p>
      <w:pPr>
        <w:pStyle w:val="Heading2"/>
      </w:pPr>
      <w:r>
        <w:t xml:space="preserve">6.5 Autres protections</w:t>
      </w:r>
    </w:p>
    <w:p>
      <w:pPr>
        <w:pStyle w:val="ListParagraph"/>
        <w:numPr>
          <w:ilvl w:val="0"/>
          <w:numId w:val="2"/>
        </w:numPr>
        <w:spacing w:after="70"/>
      </w:pPr>
      <w:r>
        <w:rPr>
          <w:rFonts w:ascii="Arial" w:cs="Arial" w:eastAsia="Arial" w:hAnsi="Arial"/>
          <w:sz w:val="21"/>
          <w:szCs w:val="21"/>
        </w:rPr>
        <w:t xml:space="preserve">En-têtes de sécurité HTTP : anti-détournement de cadre, anti-interprétation abusive des types de contenu, masquage de la signature du serveur.</w:t>
      </w:r>
    </w:p>
    <w:p>
      <w:pPr>
        <w:pStyle w:val="ListParagraph"/>
        <w:numPr>
          <w:ilvl w:val="0"/>
          <w:numId w:val="2"/>
        </w:numPr>
        <w:spacing w:after="70"/>
      </w:pPr>
      <w:r>
        <w:rPr>
          <w:rFonts w:ascii="Arial" w:cs="Arial" w:eastAsia="Arial" w:hAnsi="Arial"/>
          <w:sz w:val="21"/>
          <w:szCs w:val="21"/>
        </w:rPr>
        <w:t xml:space="preserve">Filtrage des origines autorisées sur liste blanche stricte.</w:t>
      </w:r>
    </w:p>
    <w:p>
      <w:pPr>
        <w:pStyle w:val="ListParagraph"/>
        <w:numPr>
          <w:ilvl w:val="0"/>
          <w:numId w:val="2"/>
        </w:numPr>
        <w:spacing w:after="70"/>
      </w:pPr>
      <w:r>
        <w:rPr>
          <w:rFonts w:ascii="Arial" w:cs="Arial" w:eastAsia="Arial" w:hAnsi="Arial"/>
          <w:sz w:val="21"/>
          <w:szCs w:val="21"/>
        </w:rPr>
        <w:t xml:space="preserve">Requêtes de base de données exclusivement paramétrées : aucune injection SQL n'est possible.</w:t>
      </w:r>
    </w:p>
    <w:p>
      <w:pPr>
        <w:pStyle w:val="ListParagraph"/>
        <w:numPr>
          <w:ilvl w:val="0"/>
          <w:numId w:val="2"/>
        </w:numPr>
        <w:spacing w:after="70"/>
      </w:pPr>
      <w:r>
        <w:rPr>
          <w:rFonts w:ascii="Arial" w:cs="Arial" w:eastAsia="Arial" w:hAnsi="Arial"/>
          <w:sz w:val="21"/>
          <w:szCs w:val="21"/>
        </w:rPr>
        <w:t xml:space="preserve">Téléversements limités à 10 Mo par fichier et 12 fichiers par soumission, filtrés sur le type réel du fichier (format Word uniquement pour les manuscrits).</w:t>
      </w:r>
    </w:p>
    <w:p>
      <w:pPr>
        <w:pStyle w:val="ListParagraph"/>
        <w:numPr>
          <w:ilvl w:val="0"/>
          <w:numId w:val="2"/>
        </w:numPr>
        <w:spacing w:after="70"/>
      </w:pPr>
      <w:r>
        <w:rPr>
          <w:rFonts w:ascii="Arial" w:cs="Arial" w:eastAsia="Arial" w:hAnsi="Arial"/>
          <w:sz w:val="21"/>
          <w:szCs w:val="21"/>
        </w:rPr>
        <w:t xml:space="preserve">Aucun secret dans le dépôt de code : les fichiers de configuration, les téléversements locaux et les notes internes en sont exclus.</w:t>
      </w:r>
    </w:p>
    <w:p>
      <w:pPr>
        <w:pStyle w:val="ListParagraph"/>
        <w:numPr>
          <w:ilvl w:val="0"/>
          <w:numId w:val="2"/>
        </w:numPr>
        <w:spacing w:after="70"/>
      </w:pPr>
      <w:r>
        <w:rPr>
          <w:rFonts w:ascii="Arial" w:cs="Arial" w:eastAsia="Arial" w:hAnsi="Arial"/>
          <w:sz w:val="21"/>
          <w:szCs w:val="21"/>
        </w:rPr>
        <w:t xml:space="preserve">Chiffrement HTTPS et certificat TLS gérés par l'hébergeur, renouvellement automatique.</w:t>
      </w:r>
    </w:p>
    <w:p>
      <w:pPr>
        <w:pStyle w:val="Heading1"/>
        <w:pageBreakBefore/>
      </w:pPr>
      <w:r>
        <w:t xml:space="preserve">7. Interface de programmation (API)</w:t>
      </w:r>
    </w:p>
    <w:p>
      <w:pPr>
        <w:spacing w:after="130"/>
        <w:jc w:val="both"/>
      </w:pPr>
      <w:r>
        <w:rPr>
          <w:rFonts w:ascii="Arial" w:cs="Arial" w:eastAsia="Arial" w:hAnsi="Arial"/>
          <w:sz w:val="21"/>
          <w:szCs w:val="21"/>
        </w:rPr>
        <w:t xml:space="preserve">La plateforme expose une interface REST de 62 points d'entrée, répartis en onze groupes fonctionnels. Le détail complet — paramètres, corps de requête, réponses, codes d'erreur — figure dans le document API.md livré avec le code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Groupe</w:t>
            </w:r>
          </w:p>
        </w:tc>
        <w:tc>
          <w:tcPr>
            <w:tcW w:type="dxa" w:w="1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Points d'entrée</w:t>
            </w:r>
          </w:p>
        </w:tc>
        <w:tc>
          <w:tcPr>
            <w:tcW w:type="dxa" w:w="5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Objet</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/health</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Contrôle de disponibilité du service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comptes et des sessions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et suivi des manuscrits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Assignations et évaluations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/articles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/editorial-board</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/ai</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technique</w:t>
            </w:r>
          </w:p>
        </w:tc>
      </w:tr>
    </w:tbl>
    <w:p>
      <w:pPr>
        <w:spacing w:after="200"/>
      </w:pPr>
    </w:p>
    <w:p>
      <w:pPr>
        <w:pStyle w:val="Heading2"/>
      </w:pPr>
      <w:r>
        <w:t xml:space="preserve">Conventions</w:t>
      </w:r>
    </w:p>
    <w:p>
      <w:pPr>
        <w:pStyle w:val="ListParagraph"/>
        <w:numPr>
          <w:ilvl w:val="0"/>
          <w:numId w:val="2"/>
        </w:numPr>
        <w:spacing w:after="70"/>
      </w:pPr>
      <w:r>
        <w:rPr>
          <w:rFonts w:ascii="Arial" w:cs="Arial" w:eastAsia="Arial" w:hAnsi="Arial"/>
          <w:sz w:val="21"/>
          <w:szCs w:val="21"/>
        </w:rPr>
        <w:t xml:space="preserve">Toutes les requêtes et réponses sont au format JSON, à l'exception des envois de fichiers.</w:t>
      </w:r>
    </w:p>
    <w:p>
      <w:pPr>
        <w:pStyle w:val="ListParagraph"/>
        <w:numPr>
          <w:ilvl w:val="0"/>
          <w:numId w:val="2"/>
        </w:numPr>
        <w:spacing w:after="70"/>
      </w:pPr>
      <w:r>
        <w:rPr>
          <w:rFonts w:ascii="Arial" w:cs="Arial" w:eastAsia="Arial" w:hAnsi="Arial"/>
          <w:sz w:val="21"/>
          <w:szCs w:val="21"/>
        </w:rPr>
        <w:t xml:space="preserve">Les points d'entrée protégés attendent le jeton dans l'en-tête d'autorisation.</w:t>
      </w:r>
    </w:p>
    <w:p>
      <w:pPr>
        <w:pStyle w:val="ListParagraph"/>
        <w:numPr>
          <w:ilvl w:val="0"/>
          <w:numId w:val="2"/>
        </w:numPr>
        <w:spacing w:after="70"/>
      </w:pPr>
      <w:r>
        <w:rPr>
          <w:rFonts w:ascii="Arial" w:cs="Arial" w:eastAsia="Arial" w:hAnsi="Arial"/>
          <w:sz w:val="21"/>
          <w:szCs w:val="21"/>
        </w:rPr>
        <w:t xml:space="preserve">Les erreurs ont toutes la même forme et ne divulguent jamais d'information technique interne en production.</w:t>
      </w:r>
    </w:p>
    <w:p>
      <w:pPr>
        <w:pStyle w:val="ListParagraph"/>
        <w:numPr>
          <w:ilvl w:val="0"/>
          <w:numId w:val="2"/>
        </w:numPr>
        <w:spacing w:after="70"/>
      </w:pPr>
      <w:r>
        <w:rPr>
          <w:rFonts w:ascii="Arial" w:cs="Arial" w:eastAsia="Arial" w:hAnsi="Arial"/>
          <w:sz w:val="21"/>
          <w:szCs w:val="21"/>
        </w:rPr>
        <w:t xml:space="preserve">Les codes de retour suivent les conventions HTTP : 200 succès, 201 création, 400 requête invalide, 401 non authentifié, 403 non autorisé, 404 introuvable, 409 conflit métier, 429 quota dépassé, 500 erreur serveur.</w:t>
      </w:r>
    </w:p>
    <w:p>
      <w:pPr>
        <w:pStyle w:val="Heading1"/>
        <w:pageBreakBefore/>
      </w:pPr>
      <w:r>
        <w:t xml:space="preserve">8. Hébergement et déploiement</w:t>
      </w:r>
    </w:p>
    <w:p>
      <w:pPr>
        <w:pStyle w:val="Heading2"/>
      </w:pPr>
      <w:r>
        <w:t xml:space="preserve">8.1 Cartographie de l'infrastructure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Composant</w:t>
            </w:r>
          </w:p>
        </w:tc>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Fournisseur</w:t>
            </w:r>
          </w:p>
        </w:tc>
        <w:tc>
          <w:tcPr>
            <w:tcW w:type="dxa" w:w="4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Identification</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Site public</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jaei-frontend — jaei-journal.org</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jaei-backend — région Frankfurt</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région Frankfurt</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DNS et messagerie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Infomaniak</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jaei-journal.org</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vérifié (DKIM et SPF)</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Dossiers jaei/submissions et jaei/published</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Non activé à ce jour</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de code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GitHub</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Jaei-Contact/Plateforme-JAEI</w:t>
            </w:r>
          </w:p>
        </w:tc>
      </w:tr>
    </w:tbl>
    <w:p>
      <w:pPr>
        <w:spacing w:after="200"/>
      </w:pPr>
    </w:p>
    <w:p>
      <w:pPr>
        <w:pStyle w:val="Heading3"/>
      </w:pPr>
      <w:r>
        <w:t xml:space="preserve">Contraintes liées au plan d'hébergement gratuit</w:t>
      </w:r>
    </w:p>
    <w:p>
      <w:pPr>
        <w:pStyle w:val="ListParagraph"/>
        <w:numPr>
          <w:ilvl w:val="0"/>
          <w:numId w:val="2"/>
        </w:numPr>
        <w:spacing w:after="70"/>
      </w:pPr>
      <w:r>
        <w:rPr>
          <w:rFonts w:ascii="Arial" w:cs="Arial" w:eastAsia="Arial" w:hAnsi="Arial"/>
          <w:b/>
          <w:bCs/>
          <w:sz w:val="21"/>
          <w:szCs w:val="21"/>
        </w:rPr>
        <w:t xml:space="preserve">Mise en veille. </w:t>
      </w:r>
      <w:r>
        <w:rPr>
          <w:rFonts w:ascii="Arial" w:cs="Arial" w:eastAsia="Arial" w:hAnsi="Arial"/>
          <w:sz w:val="21"/>
          <w:szCs w:val="21"/>
        </w:rPr>
        <w:t xml:space="preserve">Après une quinzaine de minutes sans trafic, le serveur s'éteint ; le premier appel suivant prend une cinquantaine de secondes. Le site est réglé pour absorber ce délai. Un plan payant supprime ce comportement.</w:t>
      </w:r>
    </w:p>
    <w:p>
      <w:pPr>
        <w:pStyle w:val="ListParagraph"/>
        <w:numPr>
          <w:ilvl w:val="0"/>
          <w:numId w:val="2"/>
        </w:numPr>
        <w:spacing w:after="70"/>
      </w:pPr>
      <w:r>
        <w:rPr>
          <w:rFonts w:ascii="Arial" w:cs="Arial" w:eastAsia="Arial" w:hAnsi="Arial"/>
          <w:b/>
          <w:bCs/>
          <w:sz w:val="21"/>
          <w:szCs w:val="21"/>
        </w:rPr>
        <w:t xml:space="preserve">Disque non durable. </w:t>
      </w:r>
      <w:r>
        <w:rPr>
          <w:rFonts w:ascii="Arial" w:cs="Arial" w:eastAsia="Arial" w:hAnsi="Arial"/>
          <w:sz w:val="21"/>
          <w:szCs w:val="21"/>
        </w:rPr>
        <w:t xml:space="preserve">Tout fichier écrit sur le disque du serveur est perdu au redéploiement : le stockage externe doit rester configuré.</w:t>
      </w:r>
    </w:p>
    <w:p>
      <w:pPr>
        <w:pStyle w:val="ListParagraph"/>
        <w:numPr>
          <w:ilvl w:val="0"/>
          <w:numId w:val="2"/>
        </w:numPr>
        <w:spacing w:after="70"/>
      </w:pPr>
      <w:r>
        <w:rPr>
          <w:rFonts w:ascii="Arial" w:cs="Arial" w:eastAsia="Arial" w:hAnsi="Arial"/>
          <w:b/>
          <w:bCs/>
          <w:sz w:val="21"/>
          <w:szCs w:val="21"/>
        </w:rPr>
        <w:t xml:space="preserve">Base de données initiale abandonnée. </w:t>
      </w:r>
      <w:r>
        <w:rPr>
          <w:rFonts w:ascii="Arial" w:cs="Arial" w:eastAsia="Arial" w:hAnsi="Arial"/>
          <w:sz w:val="21"/>
          <w:szCs w:val="21"/>
        </w:rPr>
        <w:t xml:space="preserve">La base incluse dans le plan gratuit de l'hébergeur expire au bout de trente jours ; la production a donc été migrée vers Neon. Le fichier de configuration d'infrastructure conserve une déclaration héritée de cette époque, qui n'est plus utilisée.</w:t>
      </w:r>
    </w:p>
    <w:p>
      <w:pPr>
        <w:pStyle w:val="Heading2"/>
      </w:pPr>
      <w:r>
        <w:t xml:space="preserve">8.2 Variables d'environnement</w:t>
      </w:r>
    </w:p>
    <w:p>
      <w:pPr>
        <w:spacing w:after="130"/>
        <w:jc w:val="both"/>
      </w:pPr>
      <w:r>
        <w:rPr>
          <w:rFonts w:ascii="Arial" w:cs="Arial" w:eastAsia="Arial" w:hAnsi="Arial"/>
          <w:sz w:val="21"/>
          <w:szCs w:val="21"/>
        </w:rPr>
        <w:t xml:space="preserve">Elles sont saisies dans le tableau de bord de l'hébergeur, sur le service applicatif.</w:t>
      </w:r>
    </w:p>
    <w:p>
      <w:pPr>
        <w:pStyle w:val="Heading3"/>
      </w:pPr>
      <w:r>
        <w:t xml:space="preserve">Indispensables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DATABASE_URL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Chaîne de connexion à la base Neon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donnée accessible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JWT_SECRET</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de signature des jetons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authentification possible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du site, utilisée dans les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Liens de vérification inopérants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BACKEND_URL</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de l'API, utilisée pour les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locaux inaccessibles</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NODE_ENV</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Doit valoir « production »</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d'erreur internes exposés</w:t>
            </w:r>
          </w:p>
        </w:tc>
      </w:tr>
    </w:tbl>
    <w:p>
      <w:pPr>
        <w:spacing w:after="200"/>
      </w:pPr>
    </w:p>
    <w:p>
      <w:pPr>
        <w:pStyle w:val="Heading3"/>
      </w:pPr>
      <w:r>
        <w:t xml:space="preserve">Fonctionnelles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email envoyé, le reste fonctionne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RESEND_FROM</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affiché</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par défaut</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ADMIN_EMAIL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Destinataire des alertes d'administration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Alertes non envoyées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CLOUDINARY_* (3 clés)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un disque non durable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SUBMISSION_FEE_XAF</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Montant des frais de publication</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Valeur par défaut : 100 000</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CINETPAY_* (3 clés)</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La variable de configuration du site public est lue au moment de la compilation : après modification, il faut relancer un déploiement du site pour qu'elle soit prise en compte.</w:t>
      </w:r>
    </w:p>
    <w:p>
      <w:pPr>
        <w:pStyle w:val="Heading2"/>
      </w:pPr>
      <w:r>
        <w:t xml:space="preserve">8.3 Procédure de déploiement</w:t>
      </w:r>
    </w:p>
    <w:p>
      <w:pPr>
        <w:spacing w:after="130"/>
        <w:jc w:val="both"/>
      </w:pPr>
      <w:r>
        <w:rPr>
          <w:rFonts w:ascii="Arial" w:cs="Arial" w:eastAsia="Arial" w:hAnsi="Arial"/>
          <w:sz w:val="21"/>
          <w:szCs w:val="21"/>
        </w:rPr>
        <w:t xml:space="preserve">Le déploiement se déclenche par l'envoi du code sur le dépôt :</w:t>
      </w:r>
    </w:p>
    <w:p>
      <w:pPr>
        <w:spacing w:after="40"/>
      </w:pPr>
    </w:p>
    <w:p>
      <w:pPr>
        <w:shd w:fill="F3F6F4" w:val="clear"/>
        <w:spacing w:after="0" w:line="240"/>
        <w:ind w:left="340"/>
      </w:pPr>
      <w:r>
        <w:rPr>
          <w:rFonts w:ascii="Consolas" w:cs="Consolas" w:eastAsia="Consolas" w:hAnsi="Consolas"/>
          <w:color w:val="14361F"/>
          <w:sz w:val="17"/>
          <w:szCs w:val="17"/>
        </w:rPr>
        <w:t xml:space="preserve">git push jaei main</w:t>
      </w:r>
    </w:p>
    <w:p>
      <w:pPr>
        <w:spacing w:after="13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déclenchement automatique s'est révélé peu fiable. Vérifiez systématiquement le tableau de bord et, si rien ne démarre au bout de deux minutes, lancez un déploiement manuel de la dernière version. Un journal affichant seulement le démarrage du serveur, sans étape de compilation, n'est pas un déploiement mais un simple réveil de l'instance.</w:t>
      </w:r>
    </w:p>
    <w:p>
      <w:pPr>
        <w:spacing w:after="130"/>
        <w:jc w:val="both"/>
      </w:pPr>
      <w:r>
        <w:rPr>
          <w:rFonts w:ascii="Arial" w:cs="Arial" w:eastAsia="Arial" w:hAnsi="Arial"/>
          <w:sz w:val="21"/>
          <w:szCs w:val="21"/>
        </w:rPr>
        <w:t xml:space="preserve">Pour vérifier qu'une nouvelle version est bien en ligne, contrôlez le point de santé de l'API, puis le nom du fichier compilé du site : celui-ci change à chaque compilation. S'il n'a pas changé, la nouvelle version n'est pas déployée.</w:t>
      </w:r>
    </w:p>
    <w:p>
      <w:pPr>
        <w:spacing w:after="130"/>
        <w:jc w:val="both"/>
      </w:pPr>
      <w:r>
        <w:rPr>
          <w:rFonts w:ascii="Arial" w:cs="Arial" w:eastAsia="Arial" w:hAnsi="Arial"/>
          <w:sz w:val="21"/>
          <w:szCs w:val="21"/>
        </w:rPr>
        <w:t xml:space="preserve">En cas de problème, un retour à une version antérieure se fait depuis l'historique des déploiements, sans toucher au code source.</w:t>
      </w:r>
    </w:p>
    <w:p>
      <w:pPr>
        <w:pStyle w:val="Heading2"/>
      </w:pPr>
      <w:r>
        <w:t xml:space="preserve">8.4 Règle de réécriture du site public</w:t>
      </w:r>
    </w:p>
    <w:p>
      <w:pPr>
        <w:spacing w:after="130"/>
        <w:jc w:val="both"/>
      </w:pPr>
      <w:r>
        <w:rPr>
          <w:rFonts w:ascii="Arial" w:cs="Arial" w:eastAsia="Arial" w:hAnsi="Arial"/>
          <w:sz w:val="21"/>
          <w:szCs w:val="21"/>
        </w:rPr>
        <w:t xml:space="preserve">L'hébergeur ignore le fichier de redirections livré avec le code. Une règle doit être déclarée manuellement dans le tableau de bord du site statique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Source</w:t>
            </w:r>
          </w:p>
        </w:tc>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Destination</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Type</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/index.html</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Rewrite (réécriture)</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Sans cette règle, toute adresse autre que la page d'accueil renvoie une erreur 404 : connexion, vérification d'adresse, et tout rafraîchissement de page.</w:t>
      </w:r>
    </w:p>
    <w:p>
      <w:pPr>
        <w:pStyle w:val="Heading2"/>
      </w:pPr>
      <w:r>
        <w:t xml:space="preserve">8.5 Activer le paiement en ligne</w:t>
      </w:r>
    </w:p>
    <w:p>
      <w:pPr>
        <w:spacing w:after="130"/>
        <w:jc w:val="both"/>
      </w:pPr>
      <w:r>
        <w:rPr>
          <w:rFonts w:ascii="Arial" w:cs="Arial" w:eastAsia="Arial" w:hAnsi="Arial"/>
          <w:sz w:val="21"/>
          <w:szCs w:val="21"/>
        </w:rPr>
        <w:t xml:space="preserve">Le code est complet et en place : seules les clés du compte marchand manquent.</w:t>
      </w:r>
    </w:p>
    <w:p>
      <w:pPr>
        <w:pStyle w:val="ListParagraph"/>
        <w:numPr>
          <w:ilvl w:val="0"/>
          <w:numId w:val="3"/>
        </w:numPr>
        <w:spacing w:after="70"/>
      </w:pPr>
      <w:r>
        <w:rPr>
          <w:rFonts w:ascii="Arial" w:cs="Arial" w:eastAsia="Arial" w:hAnsi="Arial"/>
          <w:sz w:val="21"/>
          <w:szCs w:val="21"/>
        </w:rPr>
        <w:t xml:space="preserve">Ouvrir un compte marchand CinetPay et récupérer la clé d'API et l'identifiant de site.</w:t>
      </w:r>
    </w:p>
    <w:p>
      <w:pPr>
        <w:pStyle w:val="ListParagraph"/>
        <w:numPr>
          <w:ilvl w:val="0"/>
          <w:numId w:val="3"/>
        </w:numPr>
        <w:spacing w:after="70"/>
      </w:pPr>
      <w:r>
        <w:rPr>
          <w:rFonts w:ascii="Arial" w:cs="Arial" w:eastAsia="Arial" w:hAnsi="Arial"/>
          <w:sz w:val="21"/>
          <w:szCs w:val="21"/>
        </w:rPr>
        <w:t xml:space="preserve">Saisir les trois variables correspondantes dans le tableau de bord de l'hébergeur, dont l'adresse de notification de paiement.</w:t>
      </w:r>
    </w:p>
    <w:p>
      <w:pPr>
        <w:pStyle w:val="ListParagraph"/>
        <w:numPr>
          <w:ilvl w:val="0"/>
          <w:numId w:val="3"/>
        </w:numPr>
        <w:spacing w:after="70"/>
      </w:pPr>
      <w:r>
        <w:rPr>
          <w:rFonts w:ascii="Arial" w:cs="Arial" w:eastAsia="Arial" w:hAnsi="Arial"/>
          <w:sz w:val="21"/>
          <w:szCs w:val="21"/>
        </w:rPr>
        <w:t xml:space="preserve">Redéployer le service applicatif.</w:t>
      </w:r>
    </w:p>
    <w:p>
      <w:pPr>
        <w:pStyle w:val="ListParagraph"/>
        <w:numPr>
          <w:ilvl w:val="0"/>
          <w:numId w:val="3"/>
        </w:numPr>
        <w:spacing w:after="70"/>
      </w:pPr>
      <w:r>
        <w:rPr>
          <w:rFonts w:ascii="Arial" w:cs="Arial" w:eastAsia="Arial" w:hAnsi="Arial"/>
          <w:sz w:val="21"/>
          <w:szCs w:val="21"/>
        </w:rPr>
        <w:t xml:space="preserve">Vérifier que le point d'entrée de configuration des paiements indique que le service est désormais disponible.</w:t>
      </w:r>
    </w:p>
    <w:p>
      <w:pPr>
        <w:pStyle w:val="ListParagraph"/>
        <w:numPr>
          <w:ilvl w:val="0"/>
          <w:numId w:val="3"/>
        </w:numPr>
        <w:spacing w:after="70"/>
      </w:pPr>
      <w:r>
        <w:rPr>
          <w:rFonts w:ascii="Arial" w:cs="Arial" w:eastAsia="Arial" w:hAnsi="Arial"/>
          <w:sz w:val="21"/>
          <w:szCs w:val="21"/>
        </w:rPr>
        <w:t xml:space="preserve">Déclarer l'adresse de notification dans le tableau de bord du prestataire de paiement.</w:t>
      </w:r>
    </w:p>
    <w:p>
      <w:pPr>
        <w:pStyle w:val="ListParagraph"/>
        <w:numPr>
          <w:ilvl w:val="0"/>
          <w:numId w:val="3"/>
        </w:numPr>
        <w:spacing w:after="70"/>
      </w:pPr>
      <w:r>
        <w:rPr>
          <w:rFonts w:ascii="Arial" w:cs="Arial" w:eastAsia="Arial" w:hAnsi="Arial"/>
          <w:sz w:val="21"/>
          <w:szCs w:val="21"/>
        </w:rPr>
        <w:t xml:space="preserve">Effectuer un paiement de bout en bout avec un petit montant réel avant ouverture aux auteurs.</w:t>
      </w:r>
    </w:p>
    <w:p>
      <w:pPr>
        <w:pStyle w:val="Heading1"/>
        <w:pageBreakBefore/>
      </w:pPr>
      <w:r>
        <w:t xml:space="preserve">9. Sauvegardes et supervision</w:t>
      </w:r>
    </w:p>
    <w:p>
      <w:pPr>
        <w:pStyle w:val="Heading2"/>
      </w:pPr>
      <w:r>
        <w:t xml:space="preserve">9.1 État actuel des sauvegardes</w:t>
      </w:r>
    </w:p>
    <w:p>
      <w:pPr>
        <w:spacing w:after="130"/>
        <w:jc w:val="both"/>
      </w:pPr>
      <w:r>
        <w:rPr>
          <w:rFonts w:ascii="Arial" w:cs="Arial" w:eastAsia="Arial" w:hAnsi="Arial"/>
          <w:sz w:val="21"/>
          <w:szCs w:val="21"/>
        </w:rPr>
        <w:t xml:space="preserve">La base est hébergée chez Neon, qui conserve un historique permettant une restauration à un instant donné sur une fenêtre courte. Aucune sauvegarde quotidienne externalisée avec rétention de trente jours n'est en place à ce jour : c'est le premier chantier à traiter après la reprise.</w:t>
      </w:r>
    </w:p>
    <w:p>
      <w:pPr>
        <w:pStyle w:val="Heading3"/>
      </w:pPr>
      <w:r>
        <w:t xml:space="preserve">Sauvegarde manuelle, à exécuter avant toute opération sensible</w:t>
      </w:r>
    </w:p>
    <w:p>
      <w:pPr>
        <w:spacing w:after="40"/>
      </w:pPr>
    </w:p>
    <w:p>
      <w:pPr>
        <w:shd w:fill="F3F6F4" w:val="clear"/>
        <w:spacing w:after="0" w:line="240"/>
        <w:ind w:left="340"/>
      </w:pPr>
      <w:r>
        <w:rPr>
          <w:rFonts w:ascii="Consolas" w:cs="Consolas" w:eastAsia="Consolas" w:hAnsi="Consolas"/>
          <w:color w:val="14361F"/>
          <w:sz w:val="17"/>
          <w:szCs w:val="17"/>
        </w:rPr>
        <w:t xml:space="preserve">pg_dump "&lt;chaîne de connexion&gt;" --no-owner \</w:t>
      </w:r>
    </w:p>
    <w:p>
      <w:pPr>
        <w:shd w:fill="F3F6F4" w:val="clear"/>
        <w:spacing w:after="0" w:line="240"/>
        <w:ind w:left="340"/>
      </w:pPr>
      <w:r>
        <w:rPr>
          <w:rFonts w:ascii="Consolas" w:cs="Consolas" w:eastAsia="Consolas" w:hAnsi="Consolas"/>
          <w:color w:val="14361F"/>
          <w:sz w:val="17"/>
          <w:szCs w:val="17"/>
        </w:rPr>
        <w:t xml:space="preserve">        --format=custom --file=jaei_20260917.dump</w:t>
      </w:r>
    </w:p>
    <w:p>
      <w:pPr>
        <w:spacing w:after="130"/>
      </w:pPr>
    </w:p>
    <w:p>
      <w:pPr>
        <w:pStyle w:val="Heading3"/>
      </w:pPr>
      <w:r>
        <w:t xml:space="preserve">Restauration</w:t>
      </w:r>
    </w:p>
    <w:p>
      <w:pPr>
        <w:spacing w:after="40"/>
      </w:pPr>
    </w:p>
    <w:p>
      <w:pPr>
        <w:shd w:fill="F3F6F4" w:val="clear"/>
        <w:spacing w:after="0" w:line="240"/>
        <w:ind w:left="340"/>
      </w:pPr>
      <w:r>
        <w:rPr>
          <w:rFonts w:ascii="Consolas" w:cs="Consolas" w:eastAsia="Consolas" w:hAnsi="Consolas"/>
          <w:color w:val="14361F"/>
          <w:sz w:val="17"/>
          <w:szCs w:val="17"/>
        </w:rPr>
        <w:t xml:space="preserve">pg_restore --clean --no-owner \</w:t>
      </w:r>
    </w:p>
    <w:p>
      <w:pPr>
        <w:shd w:fill="F3F6F4" w:val="clear"/>
        <w:spacing w:after="0" w:line="240"/>
        <w:ind w:left="340"/>
      </w:pPr>
      <w:r>
        <w:rPr>
          <w:rFonts w:ascii="Consolas" w:cs="Consolas" w:eastAsia="Consolas" w:hAnsi="Consolas"/>
          <w:color w:val="14361F"/>
          <w:sz w:val="17"/>
          <w:szCs w:val="17"/>
        </w:rPr>
        <w:t xml:space="preserve">           --dbname="&lt;chaîne de connexion cible&gt;" jaei_20260917.dump</w:t>
      </w:r>
    </w:p>
    <w:p>
      <w:pPr>
        <w:spacing w:after="130"/>
      </w:pPr>
    </w:p>
    <w:p>
      <w:pPr>
        <w:pStyle w:val="Heading3"/>
      </w:pPr>
      <w:r>
        <w:t xml:space="preserve">Mise en place recommandée</w:t>
      </w:r>
    </w:p>
    <w:p>
      <w:pPr>
        <w:spacing w:after="130"/>
        <w:jc w:val="both"/>
      </w:pPr>
      <w:r>
        <w:rPr>
          <w:rFonts w:ascii="Arial" w:cs="Arial" w:eastAsia="Arial" w:hAnsi="Arial"/>
          <w:sz w:val="21"/>
          <w:szCs w:val="21"/>
        </w:rPr>
        <w:t xml:space="preserve">Automatiser l'export ci-dessus une fois par jour — tâche planifiée, intégration continue programmée, ou offre de sauvegarde du fournisseur — avec dépôt du fichier chiffré sur un stockage distinct et purge automatique au-delà de trente jours.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manuscrits sont hébergés chez le fournisseur de stockage, qui assure leur redondance. Une sauvegarde de la base ne contient pas les fichiers eux-mêmes, seulement leurs adresses.</w:t>
      </w:r>
    </w:p>
    <w:p>
      <w:pPr>
        <w:pStyle w:val="Heading2"/>
      </w:pPr>
      <w:r>
        <w:t xml:space="preserve">9.2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Quoi</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Où</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Fréquence conseillée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Disponibilité de l'API</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 santé /api/health</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Surveillance externe, toutes les 5 minutes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Journaux applicatifs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de l'hébergeur</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 cas d'incident</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Occupation de la base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Neon</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d'emails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Resend</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 stockage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Cloudinary</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Cohérence du schéma</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d'entrée de diagnostic</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Après chaque déploiement touchant la base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Une surveillance externe toutes les cinq minutes maintient de fait le serveur éveillé, mais consomme les heures d'instance incluses dans le plan gratuit. Un dispositif interne équivalent avait été mis en place puis retiré pour cette raison.</w:t>
      </w:r>
    </w:p>
    <w:p>
      <w:pPr>
        <w:pStyle w:val="Heading1"/>
        <w:pageBreakBefore/>
      </w:pPr>
      <w:r>
        <w:t xml:space="preserve">10. Maintenance courante</w:t>
      </w:r>
    </w:p>
    <w:p>
      <w:pPr>
        <w:pStyle w:val="Heading2"/>
      </w:pPr>
      <w:r>
        <w:t xml:space="preserve">10.1 Créer ou promouvoir un administrateur</w:t>
      </w:r>
    </w:p>
    <w:p>
      <w:pPr>
        <w:spacing w:after="130"/>
        <w:jc w:val="both"/>
      </w:pPr>
      <w:r>
        <w:rPr>
          <w:rFonts w:ascii="Arial" w:cs="Arial" w:eastAsia="Arial" w:hAnsi="Arial"/>
          <w:sz w:val="21"/>
          <w:szCs w:val="21"/>
        </w:rPr>
        <w:t xml:space="preserve">L'inscription publique ne permet pas de créer un administrateur. Deux méthodes existent : depuis l'interface, un administrateur en place modifie le rôle du compte dans la gestion des utilisateurs ; en l'absence de tout accès administrateur, directement en base :</w:t>
      </w:r>
    </w:p>
    <w:p>
      <w:pPr>
        <w:spacing w:after="40"/>
      </w:pPr>
    </w:p>
    <w:p>
      <w:pPr>
        <w:shd w:fill="F3F6F4" w:val="clear"/>
        <w:spacing w:after="0" w:line="240"/>
        <w:ind w:left="340"/>
      </w:pPr>
      <w:r>
        <w:rPr>
          <w:rFonts w:ascii="Consolas" w:cs="Consolas" w:eastAsia="Consolas" w:hAnsi="Consolas"/>
          <w:color w:val="14361F"/>
          <w:sz w:val="17"/>
          <w:szCs w:val="17"/>
        </w:rPr>
        <w:t xml:space="preserve">UPDATE users</w:t>
      </w:r>
    </w:p>
    <w:p>
      <w:pPr>
        <w:shd w:fill="F3F6F4" w:val="clear"/>
        <w:spacing w:after="0" w:line="240"/>
        <w:ind w:left="340"/>
      </w:pPr>
      <w:r>
        <w:rPr>
          <w:rFonts w:ascii="Consolas" w:cs="Consolas" w:eastAsia="Consolas" w:hAnsi="Consolas"/>
          <w:color w:val="14361F"/>
          <w:sz w:val="17"/>
          <w:szCs w:val="17"/>
        </w:rPr>
        <w:t xml:space="preserve">   SET role = 'admin', email_verified = TRUE</w:t>
      </w:r>
    </w:p>
    <w:p>
      <w:pPr>
        <w:shd w:fill="F3F6F4" w:val="clear"/>
        <w:spacing w:after="0" w:line="240"/>
        <w:ind w:left="340"/>
      </w:pPr>
      <w:r>
        <w:rPr>
          <w:rFonts w:ascii="Consolas" w:cs="Consolas" w:eastAsia="Consolas" w:hAnsi="Consolas"/>
          <w:color w:val="14361F"/>
          <w:sz w:val="17"/>
          <w:szCs w:val="17"/>
        </w:rPr>
        <w:t xml:space="preserve"> WHERE email = 'nouvel.admin@jaei-journal.org';</w:t>
      </w:r>
    </w:p>
    <w:p>
      <w:pPr>
        <w:spacing w:after="130"/>
      </w:pPr>
    </w:p>
    <w:p>
      <w:pPr>
        <w:pStyle w:val="Heading2"/>
      </w:pPr>
      <w:r>
        <w:t xml:space="preserve">10.2 Débloquer un compte qui ne peut pas se connecter</w:t>
      </w:r>
    </w:p>
    <w:p>
      <w:pPr>
        <w:spacing w:after="130"/>
        <w:jc w:val="both"/>
      </w:pPr>
      <w:r>
        <w:rPr>
          <w:rFonts w:ascii="Arial" w:cs="Arial" w:eastAsia="Arial" w:hAnsi="Arial"/>
          <w:sz w:val="21"/>
          <w:szCs w:val="21"/>
        </w:rPr>
        <w:t xml:space="preserve">La cause la plus fréquente est une adresse email jamais confirmée :</w:t>
      </w:r>
    </w:p>
    <w:p>
      <w:pPr>
        <w:spacing w:after="40"/>
      </w:pPr>
    </w:p>
    <w:p>
      <w:pPr>
        <w:shd w:fill="F3F6F4" w:val="clear"/>
        <w:spacing w:after="0" w:line="240"/>
        <w:ind w:left="340"/>
      </w:pPr>
      <w:r>
        <w:rPr>
          <w:rFonts w:ascii="Consolas" w:cs="Consolas" w:eastAsia="Consolas" w:hAnsi="Consolas"/>
          <w:color w:val="14361F"/>
          <w:sz w:val="17"/>
          <w:szCs w:val="17"/>
        </w:rPr>
        <w:t xml:space="preserve">UPDATE users SET email_verified = TRUE</w:t>
      </w:r>
    </w:p>
    <w:p>
      <w:pPr>
        <w:shd w:fill="F3F6F4" w:val="clear"/>
        <w:spacing w:after="0" w:line="240"/>
        <w:ind w:left="340"/>
      </w:pPr>
      <w:r>
        <w:rPr>
          <w:rFonts w:ascii="Consolas" w:cs="Consolas" w:eastAsia="Consolas" w:hAnsi="Consolas"/>
          <w:color w:val="14361F"/>
          <w:sz w:val="17"/>
          <w:szCs w:val="17"/>
        </w:rPr>
        <w:t xml:space="preserve"> WHERE email = 'utilisateur@exemple.org';</w:t>
      </w:r>
    </w:p>
    <w:p>
      <w:pPr>
        <w:spacing w:after="130"/>
      </w:pPr>
    </w:p>
    <w:p>
      <w:pPr>
        <w:pStyle w:val="Heading2"/>
      </w:pPr>
      <w:r>
        <w:t xml:space="preserve">10.3 Réinitialiser un mot de passe</w:t>
      </w:r>
    </w:p>
    <w:p>
      <w:pPr>
        <w:spacing w:after="130"/>
        <w:jc w:val="both"/>
      </w:pPr>
      <w:r>
        <w:rPr>
          <w:rFonts w:ascii="Arial" w:cs="Arial" w:eastAsia="Arial" w:hAnsi="Arial"/>
          <w:sz w:val="21"/>
          <w:szCs w:val="21"/>
        </w:rPr>
        <w:t xml:space="preserve">Les mots de passe sont irrécupérables. Il faut utiliser la fonction « mot de passe oublié » du site, ou écrire un nouveau condensé calculé hors ligne, puis le placer en base.</w:t>
      </w:r>
    </w:p>
    <w:p>
      <w:pPr>
        <w:pStyle w:val="Heading2"/>
      </w:pPr>
      <w:r>
        <w:t xml:space="preserve">10.4 Réinitialiser le comité éditorial</w:t>
      </w:r>
    </w:p>
    <w:p>
      <w:pPr>
        <w:spacing w:after="130"/>
        <w:jc w:val="both"/>
      </w:pPr>
      <w:r>
        <w:rPr>
          <w:rFonts w:ascii="Arial" w:cs="Arial" w:eastAsia="Arial" w:hAnsi="Arial"/>
          <w:sz w:val="21"/>
          <w:szCs w:val="21"/>
        </w:rPr>
        <w:t xml:space="preserve">Un script idempotent est fourni avec le code : il peut être relancé sans créer de doublons.</w:t>
      </w:r>
    </w:p>
    <w:p>
      <w:pPr>
        <w:spacing w:after="40"/>
      </w:pPr>
    </w:p>
    <w:p>
      <w:pPr>
        <w:shd w:fill="F3F6F4" w:val="clear"/>
        <w:spacing w:after="0" w:line="240"/>
        <w:ind w:left="340"/>
      </w:pPr>
      <w:r>
        <w:rPr>
          <w:rFonts w:ascii="Consolas" w:cs="Consolas" w:eastAsia="Consolas" w:hAnsi="Consolas"/>
          <w:color w:val="14361F"/>
          <w:sz w:val="17"/>
          <w:szCs w:val="17"/>
        </w:rPr>
        <w:t xml:space="preserve">cd backend</w:t>
      </w:r>
    </w:p>
    <w:p>
      <w:pPr>
        <w:shd w:fill="F3F6F4" w:val="clear"/>
        <w:spacing w:after="0" w:line="240"/>
        <w:ind w:left="340"/>
      </w:pPr>
      <w:r>
        <w:rPr>
          <w:rFonts w:ascii="Consolas" w:cs="Consolas" w:eastAsia="Consolas" w:hAnsi="Consolas"/>
          <w:color w:val="14361F"/>
          <w:sz w:val="17"/>
          <w:szCs w:val="17"/>
        </w:rPr>
        <w:t xml:space="preserve">node db/seed-editorial-board.js</w:t>
      </w:r>
    </w:p>
    <w:p>
      <w:pPr>
        <w:spacing w:after="130"/>
      </w:pPr>
    </w:p>
    <w:p>
      <w:pPr>
        <w:pStyle w:val="Heading2"/>
      </w:pPr>
      <w:r>
        <w:t xml:space="preserve">10.5 Ajouter un domaine scientifique</w:t>
      </w:r>
    </w:p>
    <w:p>
      <w:pPr>
        <w:spacing w:after="130"/>
        <w:jc w:val="both"/>
      </w:pPr>
      <w:r>
        <w:rPr>
          <w:rFonts w:ascii="Arial" w:cs="Arial" w:eastAsia="Arial" w:hAnsi="Arial"/>
          <w:sz w:val="21"/>
          <w:szCs w:val="21"/>
        </w:rPr>
        <w:t xml:space="preserve">Ajouter la ligne correspondante dans le bloc d'insertion des domaines du module d'initialisation de la base, puis déployer. Le domaine apparaît alors automatiquement dans les listes déroulantes du formulaire de soumission.</w:t>
      </w:r>
    </w:p>
    <w:p>
      <w:pPr>
        <w:pStyle w:val="Heading2"/>
      </w:pPr>
      <w:r>
        <w:t xml:space="preserve">10.6 Faire évoluer le schéma de la base</w:t>
      </w:r>
    </w:p>
    <w:p>
      <w:pPr>
        <w:spacing w:after="130"/>
        <w:jc w:val="both"/>
      </w:pPr>
      <w:r>
        <w:rPr>
          <w:rFonts w:ascii="Arial" w:cs="Arial" w:eastAsia="Arial" w:hAnsi="Arial"/>
          <w:sz w:val="21"/>
          <w:szCs w:val="21"/>
        </w:rPr>
        <w:t xml:space="preserve">Ajouter un bloc idempotent dans le module d'initialisation, puis déployer : la migration s'applique au démarrage. Ne pas exécuter de modification de structure manuellement en production.</w:t>
      </w:r>
    </w:p>
    <w:p>
      <w:pPr>
        <w:pStyle w:val="Heading1"/>
        <w:pageBreakBefore/>
      </w:pPr>
      <w:r>
        <w:t xml:space="preserve">11. Incidents fréquents et résolution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Symptôme</w:t>
            </w:r>
          </w:p>
        </w:tc>
        <w:tc>
          <w:tcPr>
            <w:tcW w:type="dxa" w:w="28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Cause probable</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Résolution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Première requête très lente, environ 50 secondes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Instance mise en veille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Comportement normal du plan gratuit. Passer à un plan payant pour le supprimer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404 sur la connexion, la vérification d'adresse, ou après un rafraîchissement</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Règle de réécriture absente</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Recréer la règle de réécriture (chapitre 8.4)</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emails ne partent plus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expirée, quota atteint, ou DNS modifié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 service d'envoi et les enregistrements DNS chez le registrar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réseau lors d'un envoi d'email</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Tentative d'envoi par SMTP depuis l'hébergeur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la clé du service d'envoi par interface HTTPS</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de résolution du serveur de base de données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 configuration pointe encore vers l'ancienne base expirée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Rétablir la chaîne de connexion Neon</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Tous les utilisateurs bloqués par les quotas</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Réglage de confiance au proxy supprimé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Restaurer le réglage et redéployer</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fichiers téléversés disparaissent</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non configuré, repli sur un disque éphémère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les trois clés du service de stockage</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Impossible de publier un article</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 non constatés</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Marquer les frais comme réglés depuis l'administration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en base sur un statut nouvellement ajouté</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Contrainte de validation héritée non mise à jour</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Élargir la contrainte dans le module d'initialisation</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code est envoyé mais le site n'a pas changé</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automatique non déclenché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Lancer un déploiement manuel de la dernière version</w:t>
            </w:r>
          </w:p>
        </w:tc>
      </w:tr>
    </w:tbl>
    <w:p>
      <w:pPr>
        <w:pStyle w:val="Heading1"/>
        <w:pageBreakBefore/>
      </w:pPr>
      <w:r>
        <w:t xml:space="preserve">12. Reprise du projet — check-list</w:t>
      </w:r>
    </w:p>
    <w:p>
      <w:pPr>
        <w:spacing w:after="130"/>
        <w:jc w:val="both"/>
      </w:pPr>
      <w:r>
        <w:rPr>
          <w:rFonts w:ascii="Arial" w:cs="Arial" w:eastAsia="Arial" w:hAnsi="Arial"/>
          <w:sz w:val="21"/>
          <w:szCs w:val="21"/>
        </w:rPr>
        <w:t xml:space="preserve">À l'attention de la personne ou de l'équipe qui reprendra la maintenance de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
            </w:r>
          </w:p>
        </w:tc>
        <w:tc>
          <w:tcPr>
            <w:tcW w:type="dxa" w:w="8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Action</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Obtenir les accès : dépôt de code, hébergeur, base de données, service d'emails, stockage, registrar du domaine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Cloner le dépôt et démarrer le projet en local en suivant le fichier README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Lire le chapitre 4.2 du présent document sur la gestion des migrations, ainsi que les points de vigilance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Exporter une sauvegarde de la base et vérifier qu'elle se restaure correctement</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la sauvegarde quotidienne automatisée avec rétention de trente jours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une surveillance externe du point de santé de l'API</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Renouveler la clé de signature des jetons et les clés d'API auxquelles le prestataire précédent a eu accès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8</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dates d'expiration du nom de domaine et des comptes de service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9</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Décider du passage à un plan d'hébergement payant, qui supprime la mise en veille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Activer le paiement en ligne dès l'ouverture du compte marchand</w:t>
            </w:r>
          </w:p>
        </w:tc>
      </w:tr>
    </w:tbl>
    <w:p>
      <w:pPr>
        <w:pStyle w:val="Heading1"/>
        <w:pageBreakBefore/>
      </w:pPr>
      <w:r>
        <w:t xml:space="preserve">Annexe A — Comportement en mode dégradé</w:t>
      </w:r>
    </w:p>
    <w:p>
      <w:pPr>
        <w:spacing w:after="130"/>
        <w:jc w:val="both"/>
      </w:pPr>
      <w:r>
        <w:rPr>
          <w:rFonts w:ascii="Arial" w:cs="Arial" w:eastAsia="Arial" w:hAnsi="Arial"/>
          <w:sz w:val="21"/>
          <w:szCs w:val="21"/>
        </w:rPr>
        <w:t xml:space="preserve">La plateforme est conçue pour rester fonctionnelle lorsqu'un service externe est indisponible ou non configuré. C'est ce qui lui permet de fonctionner aujourd'hui sans compte marchand.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 indisponible</w:t>
            </w:r>
          </w:p>
        </w:tc>
        <w:tc>
          <w:tcPr>
            <w:tcW w:type="dxa" w:w="6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Conséquence</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démarre et répond au contrôle de santé ; les routes de données renvoient une erreur jusqu'au rétablissement, sans redémarrage en boucle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Service d'envoi d'emails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envois sont ignorés et journalisés ; les inscriptions et les soumissions continuent de fonctionner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fonctions d'assistance sont masquées dans l'interface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des fichiers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Bascule automatique sur le disque local du serveur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Passerelle de paiement</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 instructions de règlement affichées, validation manuelle par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repli sur le disque local n'est pas viable durablement en production : le système de fichiers de l'hébergeur est éphémère et tout fichier écrit est perdu au redéploiement. Le service de stockage externe doit rester configuré.</w:t>
      </w:r>
    </w:p>
    <w:p>
      <w:pPr>
        <w:pStyle w:val="Heading1"/>
        <w:pageBreakBefore/>
      </w:pPr>
      <w:r>
        <w:t xml:space="preserve">Annexe B — Documents techniques livrés</w:t>
      </w:r>
    </w:p>
    <w:p>
      <w:pPr>
        <w:spacing w:after="130"/>
        <w:jc w:val="both"/>
      </w:pPr>
      <w:r>
        <w:rPr>
          <w:rFonts w:ascii="Arial" w:cs="Arial" w:eastAsia="Arial" w:hAnsi="Arial"/>
          <w:sz w:val="21"/>
          <w:szCs w:val="21"/>
        </w:rPr>
        <w:t xml:space="preserve">La documentation technique est livrée avec le code source, dans le dépôt, afin qu'elle évolue avec lui et reste disponible pour tout mainteneur futur.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Fichier</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README.md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Présentation du projet, environnement technique, installation en local, structure des dossiers, rôles utilisateurs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docs/ARCHITECTURE.md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Architecture détaillée, modèle de données complet, workflows, sécurité, points de vigilance pour le mainteneur</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docs/API.md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Référence exhaustive des 62 points d'entrée : paramètres, corps de requête, réponses, codes d'erreur, emails déclenchés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docs/EXPLOITATION.md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variables d'environnement, sauvegardes, supervision, maintenance courante, incidents, check-list de reprise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Documentation Technique JAEI.docx</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présent document : synthèse destinée au client</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 présent document est une synthèse. En cas d'écart avec les fichiers livrés dans le dépôt, ces derniers font référence : ils sont versionnés avec le code et mis à jour à chaque évolution.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9AA5A0"/>
        <w:sz w:val="16"/>
        <w:szCs w:val="16"/>
      </w:rPr>
      <w:t xml:space="preserve">JAEI — Journal of Agricultural and Environmental Innovation</w:t>
    </w:r>
    <w:r>
      <w:rPr>
        <w:rFonts w:ascii="Arial" w:cs="Arial" w:eastAsia="Arial" w:hAnsi="Arial"/>
        <w:sz w:val="16"/>
        <w:szCs w:val="16"/>
      </w:rPr>
      <w:t xml:space="preserve">	</w:t>
    </w:r>
    <w:r>
      <w:rPr>
        <w:rFonts w:ascii="Arial" w:cs="Arial" w:eastAsia="Arial" w:hAnsi="Arial"/>
        <w:color w:val="9AA5A0"/>
        <w:sz w:val="16"/>
        <w:szCs w:val="16"/>
      </w:rPr>
      <w:t xml:space="preserve">Page </w:t>
    </w:r>
    <w:r>
      <w:rPr>
        <w:rFonts w:ascii="Arial" w:cs="Arial" w:eastAsia="Arial" w:hAnsi="Arial"/>
        <w:color w:val="9AA5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DE" w:sz="4" w:space="4"/>
      </w:pBdr>
      <w:tabs>
        <w:tab w:val="right" w:pos="9026"/>
      </w:tabs>
      <w:spacing w:after="60"/>
    </w:pPr>
    <w:r>
      <w:rPr>
        <w:rFonts w:ascii="Arial" w:cs="Arial" w:eastAsia="Arial" w:hAnsi="Arial"/>
        <w:color w:val="9AA5A0"/>
        <w:sz w:val="16"/>
        <w:szCs w:val="16"/>
      </w:rPr>
      <w:t xml:space="preserve">Documentation Technique — Plateforme JAEI</w:t>
    </w:r>
    <w:r>
      <w:rPr>
        <w:rFonts w:ascii="Arial" w:cs="Arial" w:eastAsia="Arial" w:hAnsi="Arial"/>
        <w:color w:val="9AA5A0"/>
        <w:sz w:val="16"/>
        <w:szCs w:val="16"/>
      </w:rPr>
      <w:t xml:space="preserve">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pPr>
        <w:spacing w:after="1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9E68" w:sz="8" w:space="6"/>
      </w:pBdr>
      <w:spacing w:after="220" w:before="260"/>
      <w:outlineLvl w:val="0"/>
    </w:pPr>
    <w:rPr>
      <w:rFonts w:ascii="Arial" w:cs="Arial" w:eastAsia="Arial" w:hAnsi="Arial"/>
      <w:b/>
      <w:bCs/>
      <w:color w:val="1B4427"/>
      <w:sz w:val="30"/>
      <w:szCs w:val="30"/>
    </w:rPr>
  </w:style>
  <w:style w:type="paragraph" w:styleId="Heading2">
    <w:name w:val="Heading 2"/>
    <w:basedOn w:val="Normal"/>
    <w:next w:val="Normal"/>
    <w:qFormat/>
    <w:pPr>
      <w:spacing w:after="140" w:before="320"/>
      <w:outlineLvl w:val="1"/>
    </w:pPr>
    <w:rPr>
      <w:rFonts w:ascii="Arial" w:cs="Arial" w:eastAsia="Arial" w:hAnsi="Arial"/>
      <w:b/>
      <w:bCs/>
      <w:color w:val="2E9E68"/>
      <w:sz w:val="24"/>
      <w:szCs w:val="24"/>
    </w:rPr>
  </w:style>
  <w:style w:type="paragraph" w:styleId="Heading3">
    <w:name w:val="Heading 3"/>
    <w:basedOn w:val="Normal"/>
    <w:next w:val="Normal"/>
    <w:qFormat/>
    <w:pPr>
      <w:spacing w:after="110" w:before="240"/>
      <w:outlineLvl w:val="2"/>
    </w:pPr>
    <w:rPr>
      <w:rFonts w:ascii="Arial" w:cs="Arial" w:eastAsia="Arial" w:hAnsi="Arial"/>
      <w:b/>
      <w:bCs/>
      <w:color w:val="1B44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52257bd72d346e310b9aebaa63a22d2eb94c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Plateforme JAEI</dc:title>
  <dc:creator>Ing. ABENG NDO Theï</dc:creator>
  <dc:description>Documentation technique pour la maintenance future de la plateforme JAEI</dc:description>
  <cp:lastModifiedBy>Un-named</cp:lastModifiedBy>
  <cp:revision>1</cp:revision>
  <dcterms:created xsi:type="dcterms:W3CDTF">2026-09-17T22:10:57.451Z</dcterms:created>
  <dcterms:modified xsi:type="dcterms:W3CDTF">2026-09-17T22:10:57.452Z</dcterms:modified>
</cp:coreProperties>
</file>

<file path=docProps/custom.xml><?xml version="1.0" encoding="utf-8"?>
<Properties xmlns="http://schemas.openxmlformats.org/officeDocument/2006/custom-properties" xmlns:vt="http://schemas.openxmlformats.org/officeDocument/2006/docPropsVTypes"/>
</file>