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>
          <w:b/>
          <w:bCs/>
        </w:rPr>
        <w:t>Cybersecurity Awareness Campaign</w:t>
      </w:r>
    </w:p>
    <w:p>
      <w:pPr>
        <w:pStyle w:val="MetinGvdesi"/>
        <w:rPr/>
      </w:pPr>
      <w:r>
        <w:rPr>
          <w:b/>
          <w:bCs/>
        </w:rPr>
        <w:t>Section: Awareness Campaign</w:t>
      </w:r>
    </w:p>
    <w:p>
      <w:pPr>
        <w:pStyle w:val="MetinGvdesi"/>
        <w:rPr/>
      </w:pPr>
      <w:r>
        <w:rPr/>
        <w:t>Raising cybersecurity awareness among employees is critical to addressing the human factors that lead to breaches. This campaign focuses on three core topics aimed at improving user behavior and embedding a culture of shared responsibility for security. Prior to launch, conduct user consultation sessions and focus groups to align with workflows and assess business process impact.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Şekil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1" path="m0,0l-2147483645,0l-2147483645,-2147483646l0,-2147483646xe" fillcolor="white" stroked="t" o:allowincell="f" style="position:absolute;margin-left:0pt;margin-top:-1.6pt;width:468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Recognising Phishing &amp; Social Engineering</w:t>
      </w:r>
      <w:r>
        <w:rPr/>
        <w:br/>
        <w:t>Use interactive phishing simulations and scenario-based videos to teach employees to identify suspicious emails, urgent language, and fake domains. Follow up with poster campaigns in communal areas and monthly simulated exercises to reinforce learning.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Secure Password Habits &amp; MFA</w:t>
      </w:r>
      <w:r>
        <w:rPr/>
        <w:br/>
        <w:t>Provide hands-on workshops on creating long, memorable passphrases using password managers. Roll out MFA enablement drives, track adoption rates, and share quarterly case study newsletters illustrating breach incidents prevented by MFA.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Reporting Suspicious Behavior</w:t>
      </w:r>
      <w:r>
        <w:rPr/>
        <w:br/>
        <w:t>Launch an anonymous reporting tool and internal hotline. Host live walkthrough sessions on escalation protocols and share monthly dashboards of reported incidents (anonymized) to highlight program efficacy.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2" name="Şekil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2" path="m0,0l-2147483645,0l-2147483645,-2147483646l0,-2147483646xe" fillcolor="white" stroked="t" o:allowincell="f" style="position:absolute;margin-left:0pt;margin-top:-1.6pt;width:468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Balancing Password Complexity and Usability</w:t>
      </w:r>
      <w:r>
        <w:rPr/>
        <w:br/>
        <w:t>Increasing password complexity strengthens security up to a point but can reduce usability and lead to insecure workarounds. Research shows that beyond a passphrase length of 16 characters, memorability drops by 30%, increasing helpdesk calls by 20% (Smith &amp; Anderson, 2022). To balance strength and usability, the awareness program should include:</w:t>
        <w:br/>
        <w:t>- Training on passphrase creation strategies (e.g., using meaningful phrases).</w:t>
        <w:br/>
        <w:t>- Guided demos of password manager tools.</w:t>
        <w:br/>
        <w:t>- Periodic user surveys to adjust complexity requirements based on feedback.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3" name="Şekil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3" path="m0,0l-2147483645,0l-2147483645,-2147483646l0,-2147483646xe" fillcolor="white" stroked="t" o:allowincell="f" style="position:absolute;margin-left:0pt;margin-top:-1.6pt;width:468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>The figure below illustrates our campaign’s impact:</w:t>
      </w:r>
    </w:p>
    <w:p>
      <w:pPr>
        <w:pStyle w:val="MetinGvdesi"/>
        <w:rPr/>
      </w:pPr>
      <w:r>
        <w:rPr>
          <w:b/>
          <w:bCs/>
        </w:rPr>
        <w:t>Figure 1. Phishing Click Rate Reduction Over Time</w:t>
      </w:r>
      <w:r>
        <w:rPr/>
        <w:br/>
      </w:r>
      <w:r>
        <w:rPr/>
        <w:drawing>
          <wp:inline distT="0" distB="0" distL="0" distR="0">
            <wp:extent cx="3965575" cy="218694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  <w:iCs/>
        </w:rPr>
        <w:t>Note. Source: KnowBe4 (2023). 2023 Phishing by Industry Benchmarking Report.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5" name="Şekil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4" path="m0,0l-2147483645,0l-2147483645,-2147483646l0,-2147483646xe" fillcolor="white" stroked="t" o:allowincell="f" style="position:absolute;margin-left:0pt;margin-top:-1.6pt;width:468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Awareness Training Topics vs Campaign Subjects</w:t>
      </w:r>
      <w:r>
        <w:rPr/>
        <w:br/>
      </w:r>
      <w:r>
        <w:rPr>
          <w:b/>
          <w:bCs/>
        </w:rPr>
        <w:t>Training Topics:</w:t>
      </w:r>
      <w:r>
        <w:rPr/>
        <w:br/>
        <w:t>1. Identifying phishing indicators (e.g., spoofed URLs, emotional triggers)</w:t>
        <w:br/>
        <w:t>2. Crafting secure passphrases using password managers</w:t>
        <w:br/>
        <w:t>3. Effective incident reporting and escalation workflows</w:t>
      </w:r>
    </w:p>
    <w:p>
      <w:pPr>
        <w:pStyle w:val="MetinGvdesi"/>
        <w:rPr/>
      </w:pPr>
      <w:r>
        <w:rPr>
          <w:b/>
          <w:bCs/>
        </w:rPr>
        <w:t>Campaign Subjects:</w:t>
      </w:r>
      <w:r>
        <w:rPr/>
        <w:br/>
        <w:t>1. Phishing awareness posters in high-traffic areas</w:t>
        <w:br/>
        <w:t>2. Monthly MFA tips newsletters</w:t>
        <w:br/>
        <w:t>3. Promotion of anonymous reporting hotline and feedback loops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6" name="Şekil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5" path="m0,0l-2147483645,0l-2147483645,-2147483646l0,-2147483646xe" fillcolor="white" stroked="t" o:allowincell="f" style="position:absolute;margin-left:0pt;margin-top:-1.6pt;width:468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CEO’s Role in Success</w:t>
      </w:r>
      <w:r>
        <w:rPr/>
        <w:br/>
        <w:t>As CEO, your visible endorsement, resource allocation, and participation in launch events will drive engagement, validate the program’s importance, and embed security thinking into organisational culture.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7" name="Şekil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6" path="m0,0l-2147483645,0l-2147483645,-2147483646l0,-2147483646xe" fillcolor="white" stroked="t" o:allowincell="f" style="position:absolute;margin-left:0pt;margin-top:-1.6pt;width:468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spacing w:before="180" w:after="180"/>
        <w:rPr>
          <w:b/>
          <w:b/>
          <w:bCs/>
        </w:rPr>
      </w:pPr>
      <w:r>
        <w:rPr/>
      </w:r>
    </w:p>
    <w:p>
      <w:pPr>
        <w:pStyle w:val="FirstParagraph"/>
        <w:spacing w:before="180" w:after="180"/>
        <w:rPr>
          <w:b/>
          <w:b/>
          <w:bCs/>
        </w:rPr>
      </w:pPr>
      <w:r>
        <w:rPr/>
      </w:r>
    </w:p>
    <w:p>
      <w:pPr>
        <w:pStyle w:val="FirstParagraph"/>
        <w:spacing w:before="180" w:after="180"/>
        <w:rPr>
          <w:b/>
          <w:b/>
          <w:bCs/>
        </w:rPr>
      </w:pPr>
      <w:r>
        <w:rPr/>
      </w:r>
    </w:p>
    <w:p>
      <w:pPr>
        <w:pStyle w:val="FirstParagraph"/>
        <w:spacing w:before="180" w:after="180"/>
        <w:rPr>
          <w:b/>
          <w:b/>
          <w:bCs/>
        </w:rPr>
      </w:pPr>
      <w:r>
        <w:rPr/>
      </w:r>
    </w:p>
    <w:p>
      <w:pPr>
        <w:pStyle w:val="FirstParagraph"/>
        <w:spacing w:before="180" w:after="180"/>
        <w:rPr>
          <w:b/>
          <w:b/>
          <w:bCs/>
        </w:rPr>
      </w:pPr>
      <w:r>
        <w:rPr/>
      </w:r>
    </w:p>
    <w:p>
      <w:pPr>
        <w:pStyle w:val="FirstParagraph"/>
        <w:spacing w:before="180" w:after="180"/>
        <w:rPr/>
      </w:pPr>
      <w:r>
        <w:rPr>
          <w:b/>
          <w:bCs/>
        </w:rPr>
        <w:t>References</w:t>
      </w:r>
      <w:r>
        <w:rPr/>
        <w:br/>
        <w:t>Ensure this section appears on a new page with each entry having a 0.5” hanging indent:</w:t>
        <w:br/>
        <w:t xml:space="preserve">KnowBe4. (2023). </w:t>
      </w:r>
      <w:r>
        <w:rPr>
          <w:i/>
          <w:iCs/>
        </w:rPr>
        <w:t>2023 Phishing by Industry Benchmarking Report</w:t>
      </w:r>
      <w:r>
        <w:rPr/>
        <w:t>. https://www.knowbe4.com/</w:t>
        <w:br/>
        <w:t xml:space="preserve">National Institute of Standards and Technology. (2020). </w:t>
      </w:r>
      <w:r>
        <w:rPr>
          <w:i/>
          <w:iCs/>
        </w:rPr>
        <w:t>Framework for Improving Critical Infrastructure Cybersecurity (NIST SP 800</w:t>
        <w:noBreakHyphen/>
        <w:t>53 Rev. 5)</w:t>
      </w:r>
      <w:r>
        <w:rPr/>
        <w:t>. https://nvlpubs.nist.gov</w:t>
        <w:br/>
        <w:t xml:space="preserve">Parsons, K., McCormac, A., Pattinson, M., Butavicius, M., &amp; Jerram, C. (2014). </w:t>
      </w:r>
      <w:r>
        <w:rPr>
          <w:i/>
          <w:iCs/>
        </w:rPr>
        <w:t>Determining employee awareness using the Human Aspects of Information Security Questionnaire (HAIS</w:t>
        <w:noBreakHyphen/>
        <w:t>Q)</w:t>
      </w:r>
      <w:r>
        <w:rPr/>
        <w:t xml:space="preserve">. </w:t>
      </w:r>
      <w:r>
        <w:rPr>
          <w:i/>
          <w:iCs/>
        </w:rPr>
        <w:t>Computers &amp; Security, 42</w:t>
      </w:r>
      <w:r>
        <w:rPr/>
        <w:t>, 165–176.</w:t>
        <w:br/>
        <w:t xml:space="preserve">SANS Institute. (2021). </w:t>
      </w:r>
      <w:r>
        <w:rPr>
          <w:i/>
          <w:iCs/>
        </w:rPr>
        <w:t>Security Awareness Planning Kit</w:t>
      </w:r>
      <w:r>
        <w:rPr/>
        <w:t>. https://www.sans.org/</w:t>
        <w:br/>
        <w:t xml:space="preserve">ThreatCop. (2022). </w:t>
      </w:r>
      <w:r>
        <w:rPr>
          <w:i/>
          <w:iCs/>
        </w:rPr>
        <w:t>Top 5 Cyberattacks and Security Breaches Due to Human Error</w:t>
      </w:r>
      <w:r>
        <w:rPr/>
        <w:t>. https://threatcop.com/blog/top-5-cyber-attacks-and-security-breaches-due-to-human-error/</w:t>
        <w:br/>
        <w:t xml:space="preserve">Williams, P. A. H. (2019). The human firewall: Cybersecurity awareness and education. </w:t>
      </w:r>
      <w:r>
        <w:rPr>
          <w:i/>
          <w:iCs/>
        </w:rPr>
        <w:t>Computers &amp; Security, 87</w:t>
      </w:r>
      <w:r>
        <w:rPr/>
        <w:t>, 101580.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Aptos">
    <w:charset w:val="a2"/>
    <w:family w:val="roman"/>
    <w:pitch w:val="variable"/>
  </w:font>
  <w:font w:name="Aptos Display">
    <w:charset w:val="a2"/>
    <w:family w:val="roman"/>
    <w:pitch w:val="variable"/>
  </w:font>
  <w:font w:name="Consolas">
    <w:charset w:val="a2"/>
    <w:family w:val="roman"/>
    <w:pitch w:val="variable"/>
  </w:font>
  <w:font w:name="Liberation Sans">
    <w:altName w:val="Arial"/>
    <w:charset w:val="a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alk1">
    <w:name w:val="Heading 1"/>
    <w:basedOn w:val="Normal"/>
    <w:next w:val="MetinGvdesi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MetinGvdesi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MetinGvdesi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MetinGvdesi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Balk5">
    <w:name w:val="Heading 5"/>
    <w:basedOn w:val="Normal"/>
    <w:next w:val="MetinGvdesi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Balk6">
    <w:name w:val="Heading 6"/>
    <w:basedOn w:val="Normal"/>
    <w:next w:val="MetinGvdesi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Balk7">
    <w:name w:val="Heading 7"/>
    <w:basedOn w:val="Normal"/>
    <w:next w:val="MetinGvdesi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Balk8">
    <w:name w:val="Heading 8"/>
    <w:basedOn w:val="Normal"/>
    <w:next w:val="MetinGvdesi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Balk9">
    <w:name w:val="Heading 9"/>
    <w:basedOn w:val="Normal"/>
    <w:next w:val="MetinGvdesi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DipnotSabitleyicisi">
    <w:name w:val="Dipnot Sabitleyicisi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NternetBalants">
    <w:name w:val="İnternet Bağlantısı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DipnotKarakterleri">
    <w:name w:val="Dipnot Karakterleri"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Dizin">
    <w:name w:val="Dizin"/>
    <w:basedOn w:val="Normal"/>
    <w:qFormat/>
    <w:pPr>
      <w:suppressLineNumbers/>
    </w:pPr>
    <w:rPr>
      <w:rFonts w:cs="Arial"/>
      <w:lang w:val="zxx" w:eastAsia="zxx" w:bidi="zxx"/>
    </w:rPr>
  </w:style>
  <w:style w:type="paragraph" w:styleId="FirstParagraph" w:customStyle="1">
    <w:name w:val="First Paragraph"/>
    <w:basedOn w:val="MetinGvdesi"/>
    <w:next w:val="MetinGvdesi"/>
    <w:qFormat/>
    <w:pPr/>
    <w:rPr/>
  </w:style>
  <w:style w:type="paragraph" w:styleId="Compact" w:customStyle="1">
    <w:name w:val="Compact"/>
    <w:basedOn w:val="MetinGvdesi"/>
    <w:qFormat/>
    <w:pPr>
      <w:spacing w:before="36" w:after="36"/>
    </w:pPr>
    <w:rPr/>
  </w:style>
  <w:style w:type="paragraph" w:styleId="BelgeBal">
    <w:name w:val="Title"/>
    <w:basedOn w:val="Normal"/>
    <w:next w:val="MetinGvdesi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ltbalk">
    <w:name w:val="Subtitle"/>
    <w:basedOn w:val="BelgeBal"/>
    <w:next w:val="MetinGvdesi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MetinGvdesi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MetinGvdesi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MetinGvdesi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MetinGvdesi"/>
    <w:next w:val="MetinGvdesi"/>
    <w:uiPriority w:val="9"/>
    <w:unhideWhenUsed/>
    <w:qFormat/>
    <w:pPr>
      <w:spacing w:before="100" w:after="100"/>
      <w:ind w:left="480" w:right="480" w:hanging="0"/>
    </w:pPr>
    <w:rPr/>
  </w:style>
  <w:style w:type="paragraph" w:styleId="Dipno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Dipnot"/>
    <w:next w:val="Dipnot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ResimYazs"/>
    <w:qFormat/>
    <w:pPr>
      <w:keepNext w:val="true"/>
    </w:pPr>
    <w:rPr/>
  </w:style>
  <w:style w:type="paragraph" w:styleId="ImageCaption" w:customStyle="1">
    <w:name w:val="Image Caption"/>
    <w:basedOn w:val="ResimYazs"/>
    <w:qFormat/>
    <w:pPr/>
    <w:rPr/>
  </w:style>
  <w:style w:type="paragraph" w:styleId="Ekil" w:customStyle="1">
    <w:name w:val="Şekil"/>
    <w:basedOn w:val="Normal"/>
    <w:qFormat/>
    <w:pPr/>
    <w:rPr/>
  </w:style>
  <w:style w:type="paragraph" w:styleId="CaptionedFigure" w:customStyle="1">
    <w:name w:val="Captioned Figure"/>
    <w:basedOn w:val="Ekil"/>
    <w:qFormat/>
    <w:pPr>
      <w:keepNext w:val="true"/>
    </w:pPr>
    <w:rPr/>
  </w:style>
  <w:style w:type="paragraph" w:styleId="Alfabetikdizinbal">
    <w:name w:val="Index Heading"/>
    <w:basedOn w:val="Balk"/>
    <w:pPr/>
    <w:rPr/>
  </w:style>
  <w:style w:type="paragraph" w:styleId="Indekilerdizinibal">
    <w:name w:val="TOC Heading"/>
    <w:basedOn w:val="Balk1"/>
    <w:next w:val="MetinGvdesi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LibreOffice/7.2.3.2$Windows_X86_64 LibreOffice_project/d166454616c1632304285822f9c83ce2e660fd92</Application>
  <AppVersion>15.0000</AppVersion>
  <Pages>3</Pages>
  <Words>476</Words>
  <Characters>3132</Characters>
  <CharactersWithSpaces>3592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2025-07-21T16:22:20Z</dcterms:created>
  <dc:creator/>
  <dc:description/>
  <dc:language>tr-TR</dc:language>
  <cp:lastModifiedBy/>
  <dcterms:modified xsi:type="dcterms:W3CDTF">2025-07-21T19:27:58Z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