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Postal address.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rPr>
          <w:b/>
        </w:rPr>
        <w:t xml:space="preserve">NOTE: CONFIRM FOOTNOTES ARE SHOWING UP</w:t>
      </w:r>
    </w:p>
    <w:p>
      <w:pPr>
        <w:pStyle w:val="Textkrper"/>
      </w:pPr>
      <w:r>
        <w:t xml:space="preserve">21 labs participated and provided a total sample of 2,281 participants. In accordance with the pre-registration,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N = 2,220 (see Table XX for a summary of sites). 1,157 participants (52.12%) reported being female and 708 participants (31.89%) reported being male; the remaining participants did not respond to the item, were asked about gender in a non-standard way, or chose a different response.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were not asked the item, or were asked the item in a non-standard way.</w:t>
      </w:r>
    </w:p>
    <w:p>
      <w:pPr>
        <w:pStyle w:val="berschrift2"/>
      </w:pPr>
      <w:bookmarkStart w:id="24" w:name="data-analysis"/>
      <w:r>
        <w:t xml:space="preserve">Data analysis</w:t>
      </w:r>
      <w:bookmarkEnd w:id="24"/>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dplyr</w:t>
      </w:r>
      <w:r>
        <w:t xml:space="preserve"> </w:t>
      </w:r>
      <w:r>
        <w:t xml:space="preserve">(Version 0.8.1; Wickham et al., 2019)</w:t>
      </w:r>
      <w:r>
        <w:t xml:space="preserve">,</w:t>
      </w:r>
      <w:r>
        <w:t xml:space="preserve"> </w:t>
      </w:r>
      <w:r>
        <w:rPr>
          <w:i/>
        </w:rPr>
        <w:t xml:space="preserve">effsize</w:t>
      </w:r>
      <w:r>
        <w:t xml:space="preserve"> </w:t>
      </w:r>
      <w:r>
        <w:t xml:space="preserve">(Version 0.7.4; Torchiano, 2018)</w:t>
      </w:r>
      <w:r>
        <w:t xml:space="preserve">,</w:t>
      </w:r>
      <w:r>
        <w:t xml:space="preserve"> </w:t>
      </w:r>
      <w:r>
        <w:rPr>
          <w:i/>
        </w:rPr>
        <w:t xml:space="preserve">extrafont</w:t>
      </w:r>
      <w:r>
        <w:t xml:space="preserve"> </w:t>
      </w:r>
      <w:r>
        <w:t xml:space="preserve">(Version 0.17; Winston Chang, 2014)</w:t>
      </w:r>
      <w:r>
        <w:t xml:space="preserve">,</w:t>
      </w:r>
      <w:r>
        <w:t xml:space="preserve"> </w:t>
      </w:r>
      <w:r>
        <w:rPr>
          <w:i/>
        </w:rPr>
        <w:t xml:space="preserve">forcats</w:t>
      </w:r>
      <w:r>
        <w:t xml:space="preserve"> </w:t>
      </w:r>
      <w:r>
        <w:t xml:space="preserve">(Version 0.4.0; Wickham, 2019a)</w:t>
      </w:r>
      <w:r>
        <w:t xml:space="preserve">,</w:t>
      </w:r>
      <w:r>
        <w:t xml:space="preserve"> </w:t>
      </w:r>
      <w:r>
        <w:rPr>
          <w:i/>
        </w:rPr>
        <w:t xml:space="preserve">gginnards</w:t>
      </w:r>
      <w:r>
        <w:t xml:space="preserve"> </w:t>
      </w:r>
      <w:r>
        <w:t xml:space="preserve">(Version 0.0.2; Aphalo, 2016)</w:t>
      </w:r>
      <w:r>
        <w:t xml:space="preserve">,</w:t>
      </w:r>
      <w:r>
        <w:t xml:space="preserve"> </w:t>
      </w:r>
      <w:r>
        <w:rPr>
          <w:i/>
        </w:rPr>
        <w:t xml:space="preserve">ggplot2</w:t>
      </w:r>
      <w:r>
        <w:t xml:space="preserve"> </w:t>
      </w:r>
      <w:r>
        <w:t xml:space="preserve">(Version 3.1.1; Wickham, 2016)</w:t>
      </w:r>
      <w:r>
        <w:t xml:space="preserve">,</w:t>
      </w:r>
      <w:r>
        <w:t xml:space="preserve"> </w:t>
      </w:r>
      <w:r>
        <w:rPr>
          <w:i/>
        </w:rPr>
        <w:t xml:space="preserve">GPArotation</w:t>
      </w:r>
      <w:r>
        <w:t xml:space="preserve"> </w:t>
      </w:r>
      <w:r>
        <w:t xml:space="preserve">(Version 2014.11.1; Bernaards &amp; I.Jennrich, 2005)</w:t>
      </w:r>
      <w:r>
        <w:t xml:space="preserve">,</w:t>
      </w:r>
      <w:r>
        <w:t xml:space="preserve"> </w:t>
      </w:r>
      <w:r>
        <w:rPr>
          <w:i/>
        </w:rPr>
        <w:t xml:space="preserve">haven</w:t>
      </w:r>
      <w:r>
        <w:t xml:space="preserve"> </w:t>
      </w:r>
      <w:r>
        <w:t xml:space="preserve">(Version 2.1.0; Wickham &amp; Miller, 2019)</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metafor</w:t>
      </w:r>
      <w:r>
        <w:t xml:space="preserve"> </w:t>
      </w:r>
      <w:r>
        <w:t xml:space="preserve">(Version 2.1.0; Viechtbauer, 2010)</w:t>
      </w:r>
      <w:r>
        <w:t xml:space="preserve">,</w:t>
      </w:r>
      <w:r>
        <w:t xml:space="preserve"> </w:t>
      </w:r>
      <w:r>
        <w:rPr>
          <w:i/>
        </w:rPr>
        <w:t xml:space="preserve">metaSEM</w:t>
      </w:r>
      <w:r>
        <w:t xml:space="preserve"> </w:t>
      </w:r>
      <w:r>
        <w:t xml:space="preserve">(Version 1.2.2; Cheung, 2015)</w:t>
      </w:r>
      <w:r>
        <w:t xml:space="preserve">,</w:t>
      </w:r>
      <w:r>
        <w:t xml:space="preserve"> </w:t>
      </w:r>
      <w:r>
        <w:rPr>
          <w:i/>
        </w:rPr>
        <w:t xml:space="preserve">metaviz</w:t>
      </w:r>
      <w:r>
        <w:t xml:space="preserve"> </w:t>
      </w:r>
      <w:r>
        <w:t xml:space="preserve">(Version 0.3.0; Kossmeier, Tran, &amp; Voracek, 2019)</w:t>
      </w:r>
      <w:r>
        <w:t xml:space="preserve">,</w:t>
      </w:r>
      <w:r>
        <w:t xml:space="preserve"> </w:t>
      </w:r>
      <w:r>
        <w:rPr>
          <w:i/>
        </w:rPr>
        <w:t xml:space="preserve">OpenMx</w:t>
      </w:r>
      <w:r>
        <w:t xml:space="preserve"> </w:t>
      </w:r>
      <w:r>
        <w:t xml:space="preserve">(Version 2.13.2; Neale et al., 2016; Hunter, 2018; Pritikin, Hunter, &amp; Boker, 2015)</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2019b)</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0.8.3.9000; Wickham &amp; Henry, 2019)</w:t>
      </w:r>
      <w:r>
        <w:t xml:space="preserve">, and</w:t>
      </w:r>
      <w:r>
        <w:t xml:space="preserve"> </w:t>
      </w:r>
      <w:r>
        <w:rPr>
          <w:i/>
        </w:rPr>
        <w:t xml:space="preserve">tidyverse</w:t>
      </w:r>
      <w:r>
        <w:t xml:space="preserve"> </w:t>
      </w:r>
      <w:r>
        <w:t xml:space="preserve">(Version 1.2.1.9000; Wickham, 2017)</w:t>
      </w:r>
      <w:r>
        <w:t xml:space="preserve"> </w:t>
      </w:r>
      <w:r>
        <w:t xml:space="preserve">for all our analyses.</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28 researchers from 21 participating sites completed the experimenter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7" w:name="tmt-replication-results"/>
      <w:r>
        <w:t xml:space="preserve">TMT Replication Results</w:t>
      </w:r>
      <w:bookmarkEnd w:id="27"/>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8"/>
      </w:r>
      <w:r>
        <w:t xml:space="preserve"> </w:t>
      </w:r>
      <w:r>
        <w:t xml:space="preserve">An independent samples t-test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w:t>
      </w:r>
    </w:p>
    <w:p>
      <w:pPr>
        <w:pStyle w:val="Textkrper"/>
      </w:pPr>
      <w:r>
        <w:rPr>
          <w:i/>
        </w:rPr>
        <w:t xml:space="preserve">Exclusion set 3:</w:t>
      </w:r>
      <w:r>
        <w:t xml:space="preserve"> </w:t>
      </w:r>
      <w:r>
        <w:t xml:space="preserve">All prior exclusions, and further exclude participant who responded lower than 7 on the American Identity item. Further reduces the usable N to 1,843 participants.</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30">
        <w:r>
          <w:rPr>
            <w:rStyle w:val="Hyperlink"/>
          </w:rPr>
          <w:t xml:space="preserve">https://osf.io/8ccnw/</w:t>
        </w:r>
      </w:hyperlink>
      <w:r>
        <w:t xml:space="preserve">). All analysis plans and procedures were pre-registered on the OSF prior to data collection.</w:t>
      </w:r>
    </w:p>
    <w:p>
      <w:pPr>
        <w:pStyle w:val="berschrift2"/>
      </w:pPr>
      <w:bookmarkStart w:id="31" w:name="Xe0fa64c7d2dfdc0f90e29ecb64a5334e4e2676c"/>
      <w:r>
        <w:t xml:space="preserve">Meta-analytic results across all labs (random effects meta-analysis).</w:t>
      </w:r>
      <w:bookmarkEnd w:id="31"/>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2"/>
      </w:r>
      <w:r>
        <w:t xml:space="preserve"> </w:t>
      </w:r>
      <w:r>
        <w:t xml:space="preserve">This analysis produces the grand mean effect size across all sites and versions.</w:t>
      </w:r>
    </w:p>
    <w:p>
      <w:pPr>
        <w:pStyle w:val="Textkrper"/>
      </w:pPr>
      <w:r>
        <w:t xml:space="preserve">The most basic question is whether we found the predicted effect of mortality salience. Regardless of which exclusion critera were used, we observed an effect that was not consistent with the predicted mortality salience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for the other two exclusion rules (which look very similar).</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there was only weak evidence of heterogeneity in effect sizes.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3" w:name="X29592220de5c9185f2b682c0ce7513d52858c49"/>
      <w:r>
        <w:t xml:space="preserve">Research Question 2: Moderation by Author Advised/In House protocol</w:t>
      </w:r>
      <w:bookmarkEnd w:id="33"/>
    </w:p>
    <w:p>
      <w:pPr>
        <w:pStyle w:val="FirstParagraph"/>
      </w:pPr>
      <w:r>
        <w:t xml:space="preserve">A covariate of protocol type was added to the random effects model to create a three-level mixed-effects meta-analysis. The addition of the argument</w:t>
      </w:r>
      <w:r>
        <w:t xml:space="preserve"> </w:t>
      </w:r>
      <w:r>
        <w:t xml:space="preserve">“</w:t>
      </w:r>
      <w:r>
        <w:t xml:space="preserve">x = version</w:t>
      </w:r>
      <w:r>
        <w:t xml:space="preserve">”</w:t>
      </w:r>
      <w:r>
        <w:t xml:space="preserve"> </w:t>
      </w:r>
      <w:r>
        <w:t xml:space="preserve">to the prior metaSEM R code can be seen here:</w:t>
      </w:r>
    </w:p>
    <w:p>
      <w:pPr>
        <w:pStyle w:val="Textkrper"/>
      </w:pPr>
      <w:r>
        <w:t xml:space="preserve">meta3(y=es, v=var, cluster=Location, x=version, data=dataset)</w:t>
      </w:r>
    </w:p>
    <w:p>
      <w:pPr>
        <w:pStyle w:val="Textkrper"/>
      </w:pPr>
      <w:r>
        <w:rPr>
          <w:b/>
        </w:rPr>
        <w:t xml:space="preserve">NOTES: [Rick] This is the primary preregistered analysis</w:t>
      </w:r>
      <w:r>
        <w:t xml:space="preserve"> </w:t>
      </w:r>
      <w:r>
        <w:rPr>
          <w:b/>
        </w:rPr>
        <w:t xml:space="preserve">NOTES: [Brian] See the prior section for some idea of shortening. Just provide the summary of the first analysis meaning and then show just the analytic outcomes for the 2nd and 3rd exclusion criteria. You also can remove description of those exclusions because you’ve said all that twice already. It can be one short paragraph of results.</w:t>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This analysis additionally tests protocol version (In House vs Author Advised) as a moderator. Across the three exclusion sets, protocol version did not significantly predict replication effect size.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p>
    <w:p>
      <w:pPr>
        <w:pStyle w:val="Textkrper"/>
      </w:pPr>
      <w:r>
        <w:t xml:space="preserve">Variation among effect sizes also followed the previously observed pattern. Modest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4" w:name="X84111581ee6b5e634403d42ca8ac8d478a3dbad"/>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rule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rules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rules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w:t>
      </w:r>
    </w:p>
    <w:p>
      <w:pPr>
        <w:pStyle w:val="berschrift2"/>
      </w:pPr>
      <w:bookmarkStart w:id="35" w:name="follow-up-exploratory-analyses"/>
      <w:r>
        <w:t xml:space="preserve">Follow-Up Exploratory Analyses</w:t>
      </w:r>
      <w:bookmarkEnd w:id="35"/>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1.05,</w:t>
      </w:r>
      <w:r>
        <w:t xml:space="preserve"> </w:t>
      </w:r>
      <w:r>
        <w:rPr>
          <w:i/>
        </w:rPr>
        <w:t xml:space="preserve">SD</w:t>
      </w:r>
      <w:r>
        <w:t xml:space="preserve"> </w:t>
      </w:r>
      <w:r>
        <w:t xml:space="preserve">= 2.22) and the control group (</w:t>
      </w:r>
      <w:r>
        <w:rPr>
          <w:i/>
        </w:rPr>
        <w:t xml:space="preserve">M</w:t>
      </w:r>
      <w:r>
        <w:t xml:space="preserve"> </w:t>
      </w:r>
      <w:r>
        <w:t xml:space="preserve">= 0.97,</w:t>
      </w:r>
      <w:r>
        <w:t xml:space="preserve"> </w:t>
      </w:r>
      <w:r>
        <w:rPr>
          <w:i/>
        </w:rPr>
        <w:t xml:space="preserve">SD</w:t>
      </w:r>
      <w:r>
        <w:t xml:space="preserve"> </w:t>
      </w:r>
      <w:r>
        <w:t xml:space="preserve">= 2.19),</w:t>
      </w:r>
      <w:r>
        <w:t xml:space="preserve"> </w:t>
      </w:r>
      <w:r>
        <w:rPr>
          <w:i/>
        </w:rPr>
        <w:t xml:space="preserve">t</w:t>
      </w:r>
      <w:r>
        <w:t xml:space="preserve">(522.61) = 0.45,</w:t>
      </w:r>
      <w:r>
        <w:t xml:space="preserve"> </w:t>
      </w:r>
      <w:r>
        <w:rPr>
          <w:i/>
        </w:rPr>
        <w:t xml:space="preserve">p</w:t>
      </w:r>
      <w:r>
        <w:t xml:space="preserve"> </w:t>
      </w:r>
      <w:r>
        <w:t xml:space="preserve">= 0.66,</w:t>
      </w:r>
      <w:r>
        <w:t xml:space="preserve"> </w:t>
      </w:r>
      <w:r>
        <w:rPr>
          <w:i/>
        </w:rPr>
        <w:t xml:space="preserve">Hedges’ g</w:t>
      </w:r>
      <w:r>
        <w:t xml:space="preserve"> </w:t>
      </w:r>
      <w:r>
        <w:t xml:space="preserve">= 0.04, 95% CI = [-0.13, 0.21].</w:t>
      </w:r>
    </w:p>
    <w:p>
      <w:pPr>
        <w:pStyle w:val="berschrift1"/>
      </w:pPr>
      <w:bookmarkStart w:id="36" w:name="discussion"/>
      <w:r>
        <w:t xml:space="preserve">Discussion</w:t>
      </w:r>
      <w:bookmarkEnd w:id="36"/>
    </w:p>
    <w:p>
      <w:pPr>
        <w:pStyle w:val="berschrift1"/>
      </w:pPr>
      <w:bookmarkStart w:id="37" w:name="references"/>
      <w:r>
        <w:t xml:space="preserve">References</w:t>
      </w:r>
      <w:bookmarkEnd w:id="37"/>
    </w:p>
    <w:bookmarkStart w:id="84" w:name="refs"/>
    <w:bookmarkStart w:id="39" w:name="ref-R-gginnards"/>
    <w:p>
      <w:pPr>
        <w:pStyle w:val="Literaturverzeichnis"/>
      </w:pPr>
      <w:r>
        <w:t xml:space="preserve">Aphalo, P. J. (2016).</w:t>
      </w:r>
      <w:r>
        <w:t xml:space="preserve"> </w:t>
      </w:r>
      <w:r>
        <w:rPr>
          <w:i/>
        </w:rPr>
        <w:t xml:space="preserve">Learn r ...as you learnt your mother tongue</w:t>
      </w:r>
      <w:r>
        <w:t xml:space="preserve">. Leanpub. Retrieved from</w:t>
      </w:r>
      <w:r>
        <w:t xml:space="preserve"> </w:t>
      </w:r>
      <w:hyperlink r:id="rId38">
        <w:r>
          <w:rPr>
            <w:rStyle w:val="Hyperlink"/>
          </w:rPr>
          <w:t xml:space="preserve">https://leanpub.com/learnr</w:t>
        </w:r>
      </w:hyperlink>
    </w:p>
    <w:bookmarkEnd w:id="39"/>
    <w:bookmarkStart w:id="4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0">
        <w:r>
          <w:rPr>
            <w:rStyle w:val="Hyperlink"/>
          </w:rPr>
          <w:t xml:space="preserve">https://github.com/crsh/papaja</w:t>
        </w:r>
      </w:hyperlink>
    </w:p>
    <w:bookmarkEnd w:id="41"/>
    <w:bookmarkStart w:id="43" w:name="ref-R-Matrix"/>
    <w:p>
      <w:pPr>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2">
        <w:r>
          <w:rPr>
            <w:rStyle w:val="Hyperlink"/>
          </w:rPr>
          <w:t xml:space="preserve">https://CRAN.R-project.org/package=Matrix</w:t>
        </w:r>
      </w:hyperlink>
    </w:p>
    <w:bookmarkEnd w:id="43"/>
    <w:bookmarkStart w:id="44" w:name="ref-R-GPArotation"/>
    <w:p>
      <w:pPr>
        <w:pStyle w:val="Literaturverzeichnis"/>
      </w:pPr>
      <w:r>
        <w:t xml:space="preserve">Bernaards, C. A., &amp; I.Jennrich, R. (2005). Gradient projection algorithms and software for arbitrary rotation criteria in factor analysis.</w:t>
      </w:r>
      <w:r>
        <w:t xml:space="preserve"> </w:t>
      </w:r>
      <w:r>
        <w:rPr>
          <w:i/>
        </w:rPr>
        <w:t xml:space="preserve">Educational and Psychological Measurement</w:t>
      </w:r>
      <w:r>
        <w:t xml:space="preserve">,</w:t>
      </w:r>
      <w:r>
        <w:t xml:space="preserve"> </w:t>
      </w:r>
      <w:r>
        <w:rPr>
          <w:i/>
        </w:rPr>
        <w:t xml:space="preserve">65</w:t>
      </w:r>
      <w:r>
        <w:t xml:space="preserve">, 676–696.</w:t>
      </w:r>
    </w:p>
    <w:bookmarkEnd w:id="44"/>
    <w:bookmarkStart w:id="46" w:name="ref-R-metaSEM"/>
    <w:p>
      <w:pPr>
        <w:pStyle w:val="Literaturverzeichnis"/>
      </w:pPr>
      <w:r>
        <w:t xml:space="preserve">Cheung, M. W.-L. (2015). metaSEM: An r package for meta-analysis using structural equation modeling.</w:t>
      </w:r>
      <w:r>
        <w:t xml:space="preserve"> </w:t>
      </w:r>
      <w:r>
        <w:rPr>
          <w:i/>
        </w:rPr>
        <w:t xml:space="preserve">Frontiers in Psychology</w:t>
      </w:r>
      <w:r>
        <w:t xml:space="preserve">,</w:t>
      </w:r>
      <w:r>
        <w:t xml:space="preserve"> </w:t>
      </w:r>
      <w:r>
        <w:rPr>
          <w:i/>
        </w:rPr>
        <w:t xml:space="preserve">5</w:t>
      </w:r>
      <w:r>
        <w:t xml:space="preserve">(1521). doi:</w:t>
      </w:r>
      <w:hyperlink r:id="rId45">
        <w:r>
          <w:rPr>
            <w:rStyle w:val="Hyperlink"/>
          </w:rPr>
          <w:t xml:space="preserve">10.3389/fpsyg.2014.01521</w:t>
        </w:r>
      </w:hyperlink>
    </w:p>
    <w:bookmarkEnd w:id="46"/>
    <w:bookmarkStart w:id="48"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47">
        <w:r>
          <w:rPr>
            <w:rStyle w:val="Hyperlink"/>
          </w:rPr>
          <w:t xml:space="preserve">https://CRAN.R-project.org/package=purrr</w:t>
        </w:r>
      </w:hyperlink>
    </w:p>
    <w:bookmarkEnd w:id="48"/>
    <w:bookmarkStart w:id="50" w:name="ref-R-OpenMx_c"/>
    <w:p>
      <w:pPr>
        <w:pStyle w:val="Literaturverzeichnis"/>
      </w:pPr>
      <w:r>
        <w:t xml:space="preserve">Hunter, M. D. (2018). State space modeling in an open source, modular, structural equation modeling environment.</w:t>
      </w:r>
      <w:r>
        <w:t xml:space="preserve"> </w:t>
      </w:r>
      <w:r>
        <w:rPr>
          <w:i/>
        </w:rPr>
        <w:t xml:space="preserve">Structural Equation Modeling</w:t>
      </w:r>
      <w:r>
        <w:t xml:space="preserve">,</w:t>
      </w:r>
      <w:r>
        <w:t xml:space="preserve"> </w:t>
      </w:r>
      <w:r>
        <w:rPr>
          <w:i/>
        </w:rPr>
        <w:t xml:space="preserve">25</w:t>
      </w:r>
      <w:r>
        <w:t xml:space="preserve">(2), 307–324. doi:</w:t>
      </w:r>
      <w:hyperlink r:id="rId49">
        <w:r>
          <w:rPr>
            <w:rStyle w:val="Hyperlink"/>
          </w:rPr>
          <w:t xml:space="preserve">10.1080/10705511.2017.1369354</w:t>
        </w:r>
      </w:hyperlink>
    </w:p>
    <w:bookmarkEnd w:id="50"/>
    <w:bookmarkStart w:id="52" w:name="ref-R-metaviz"/>
    <w:p>
      <w:pPr>
        <w:pStyle w:val="Literaturverzeichnis"/>
      </w:pPr>
      <w:r>
        <w:t xml:space="preserve">Kossmeier, M., Tran, U. S., &amp; Voracek, M. (2019).</w:t>
      </w:r>
      <w:r>
        <w:t xml:space="preserve"> </w:t>
      </w:r>
      <w:r>
        <w:rPr>
          <w:i/>
        </w:rPr>
        <w:t xml:space="preserve">Metaviz: Forest plots, funnel plots, and visual funnel plot inference for meta-analysis</w:t>
      </w:r>
      <w:r>
        <w:t xml:space="preserve">. Retrieved from</w:t>
      </w:r>
      <w:r>
        <w:t xml:space="preserve"> </w:t>
      </w:r>
      <w:hyperlink r:id="rId51">
        <w:r>
          <w:rPr>
            <w:rStyle w:val="Hyperlink"/>
          </w:rPr>
          <w:t xml:space="preserve">https://CRAN.R-project.org/package=metaviz</w:t>
        </w:r>
      </w:hyperlink>
    </w:p>
    <w:bookmarkEnd w:id="52"/>
    <w:bookmarkStart w:id="54"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53">
        <w:r>
          <w:rPr>
            <w:rStyle w:val="Hyperlink"/>
          </w:rPr>
          <w:t xml:space="preserve">https://CRAN.R-project.org/package=tibble</w:t>
        </w:r>
      </w:hyperlink>
    </w:p>
    <w:bookmarkEnd w:id="54"/>
    <w:bookmarkStart w:id="56" w:name="ref-R-OpenMx_a"/>
    <w:p>
      <w:pPr>
        <w:pStyle w:val="Literaturverzeichnis"/>
      </w:pPr>
      <w:r>
        <w:t xml:space="preserve">Neale, M. C., Hunter, M. D., Pritikin, J. N., Zahery, M., Brick, T. R., Kirkpatrick, R. M., … Boker, S. M. (2016). OpenMx 2.0: Extended structural equation and statistical modeling.</w:t>
      </w:r>
      <w:r>
        <w:t xml:space="preserve"> </w:t>
      </w:r>
      <w:r>
        <w:rPr>
          <w:i/>
        </w:rPr>
        <w:t xml:space="preserve">Psychometrika</w:t>
      </w:r>
      <w:r>
        <w:t xml:space="preserve">,</w:t>
      </w:r>
      <w:r>
        <w:t xml:space="preserve"> </w:t>
      </w:r>
      <w:r>
        <w:rPr>
          <w:i/>
        </w:rPr>
        <w:t xml:space="preserve">81</w:t>
      </w:r>
      <w:r>
        <w:t xml:space="preserve">(2), 535–549. doi:</w:t>
      </w:r>
      <w:hyperlink r:id="rId55">
        <w:r>
          <w:rPr>
            <w:rStyle w:val="Hyperlink"/>
          </w:rPr>
          <w:t xml:space="preserve">10.1007/s11336-014-9435-8</w:t>
        </w:r>
      </w:hyperlink>
    </w:p>
    <w:bookmarkEnd w:id="56"/>
    <w:bookmarkStart w:id="57" w:name="ref-R-OpenMx_b"/>
    <w:p>
      <w:pPr>
        <w:pStyle w:val="Literaturverzeichnis"/>
      </w:pPr>
      <w:r>
        <w:t xml:space="preserve">Pritikin, J. N., Hunter, M. D., &amp; Boker, S. M. (2015). Modular open-source software for Item Factor Analysis.</w:t>
      </w:r>
      <w:r>
        <w:t xml:space="preserve"> </w:t>
      </w:r>
      <w:r>
        <w:rPr>
          <w:i/>
        </w:rPr>
        <w:t xml:space="preserve">Educational and Psychological Measurement</w:t>
      </w:r>
      <w:r>
        <w:t xml:space="preserve">,</w:t>
      </w:r>
      <w:r>
        <w:t xml:space="preserve"> </w:t>
      </w:r>
      <w:r>
        <w:rPr>
          <w:i/>
        </w:rPr>
        <w:t xml:space="preserve">75</w:t>
      </w:r>
      <w:r>
        <w:t xml:space="preserve">(3), 458–474.</w:t>
      </w:r>
    </w:p>
    <w:bookmarkEnd w:id="57"/>
    <w:bookmarkStart w:id="59"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bookmarkEnd w:id="59"/>
    <w:bookmarkStart w:id="61" w:name="ref-R-psych"/>
    <w:p>
      <w:pPr>
        <w:pStyle w:val="Literaturverzeichnis"/>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0">
        <w:r>
          <w:rPr>
            <w:rStyle w:val="Hyperlink"/>
          </w:rPr>
          <w:t xml:space="preserve">https://CRAN.R-project.org/package=psych</w:t>
        </w:r>
      </w:hyperlink>
    </w:p>
    <w:bookmarkEnd w:id="61"/>
    <w:bookmarkStart w:id="63" w:name="ref-R-effsize"/>
    <w:p>
      <w:pPr>
        <w:pStyle w:val="Literaturverzeichnis"/>
      </w:pPr>
      <w:r>
        <w:t xml:space="preserve">Torchiano, M. (2018).</w:t>
      </w:r>
      <w:r>
        <w:t xml:space="preserve"> </w:t>
      </w:r>
      <w:r>
        <w:rPr>
          <w:i/>
        </w:rPr>
        <w:t xml:space="preserve">Effsize: Efficient effect size computation</w:t>
      </w:r>
      <w:r>
        <w:t xml:space="preserve">. doi:</w:t>
      </w:r>
      <w:hyperlink r:id="rId62">
        <w:r>
          <w:rPr>
            <w:rStyle w:val="Hyperlink"/>
          </w:rPr>
          <w:t xml:space="preserve">10.5281/zenodo.1480624</w:t>
        </w:r>
      </w:hyperlink>
    </w:p>
    <w:bookmarkEnd w:id="63"/>
    <w:bookmarkStart w:id="65" w:name="ref-R-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Retrieved from</w:t>
      </w:r>
      <w:r>
        <w:t xml:space="preserve"> </w:t>
      </w:r>
      <w:hyperlink r:id="rId64">
        <w:r>
          <w:rPr>
            <w:rStyle w:val="Hyperlink"/>
          </w:rPr>
          <w:t xml:space="preserve">http://www.jstatsoft.org/v36/i03/</w:t>
        </w:r>
      </w:hyperlink>
    </w:p>
    <w:bookmarkEnd w:id="65"/>
    <w:bookmarkStart w:id="67"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66">
        <w:r>
          <w:rPr>
            <w:rStyle w:val="Hyperlink"/>
          </w:rPr>
          <w:t xml:space="preserve">https://ggplot2.tidyverse.org</w:t>
        </w:r>
      </w:hyperlink>
    </w:p>
    <w:bookmarkEnd w:id="67"/>
    <w:bookmarkStart w:id="69"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68">
        <w:r>
          <w:rPr>
            <w:rStyle w:val="Hyperlink"/>
          </w:rPr>
          <w:t xml:space="preserve">https://CRAN.R-project.org/package=tidyverse</w:t>
        </w:r>
      </w:hyperlink>
    </w:p>
    <w:bookmarkEnd w:id="69"/>
    <w:bookmarkStart w:id="71" w:name="ref-R-forcats"/>
    <w:p>
      <w:pPr>
        <w:pStyle w:val="Literaturverzeichnis"/>
      </w:pPr>
      <w:r>
        <w:t xml:space="preserve">Wickham, H. (2019a).</w:t>
      </w:r>
      <w:r>
        <w:t xml:space="preserve"> </w:t>
      </w:r>
      <w:r>
        <w:rPr>
          <w:i/>
        </w:rPr>
        <w:t xml:space="preserve">Forcats: Tools for working with categorical variables (factors)</w:t>
      </w:r>
      <w:r>
        <w:t xml:space="preserve">. Retrieved from</w:t>
      </w:r>
      <w:r>
        <w:t xml:space="preserve"> </w:t>
      </w:r>
      <w:hyperlink r:id="rId70">
        <w:r>
          <w:rPr>
            <w:rStyle w:val="Hyperlink"/>
          </w:rPr>
          <w:t xml:space="preserve">https://CRAN.R-project.org/package=forcats</w:t>
        </w:r>
      </w:hyperlink>
    </w:p>
    <w:bookmarkEnd w:id="71"/>
    <w:bookmarkStart w:id="73" w:name="ref-R-stringr"/>
    <w:p>
      <w:pPr>
        <w:pStyle w:val="Literaturverzeichnis"/>
      </w:pPr>
      <w:r>
        <w:t xml:space="preserve">Wickham, H. (2019b).</w:t>
      </w:r>
      <w:r>
        <w:t xml:space="preserve"> </w:t>
      </w:r>
      <w:r>
        <w:rPr>
          <w:i/>
        </w:rPr>
        <w:t xml:space="preserve">Stringr: Simple, consistent wrappers for common string operations</w:t>
      </w:r>
      <w:r>
        <w:t xml:space="preserve">. Retrieved from</w:t>
      </w:r>
      <w:r>
        <w:t xml:space="preserve"> </w:t>
      </w:r>
      <w:hyperlink r:id="rId72">
        <w:r>
          <w:rPr>
            <w:rStyle w:val="Hyperlink"/>
          </w:rPr>
          <w:t xml:space="preserve">https://CRAN.R-project.org/package=stringr</w:t>
        </w:r>
      </w:hyperlink>
    </w:p>
    <w:bookmarkEnd w:id="73"/>
    <w:bookmarkStart w:id="75" w:name="ref-R-dplyr"/>
    <w:p>
      <w:pPr>
        <w:pStyle w:val="Literaturverzeichnis"/>
      </w:pPr>
      <w:r>
        <w:t xml:space="preserve">Wickham, H., François, R., Henry, L., &amp; Müller, K. (2019).</w:t>
      </w:r>
      <w:r>
        <w:t xml:space="preserve"> </w:t>
      </w:r>
      <w:r>
        <w:rPr>
          <w:i/>
        </w:rPr>
        <w:t xml:space="preserve">Dplyr: A grammar of data manipulation</w:t>
      </w:r>
      <w:r>
        <w:t xml:space="preserve">. Retrieved from</w:t>
      </w:r>
      <w:r>
        <w:t xml:space="preserve"> </w:t>
      </w:r>
      <w:hyperlink r:id="rId74">
        <w:r>
          <w:rPr>
            <w:rStyle w:val="Hyperlink"/>
          </w:rPr>
          <w:t xml:space="preserve">https://CRAN.R-project.org/package=dplyr</w:t>
        </w:r>
      </w:hyperlink>
    </w:p>
    <w:bookmarkEnd w:id="75"/>
    <w:bookmarkStart w:id="77" w:name="ref-R-tidyr"/>
    <w:p>
      <w:pPr>
        <w:pStyle w:val="Literaturverzeichnis"/>
      </w:pPr>
      <w:r>
        <w:t xml:space="preserve">Wickham, H., &amp; Henry, L. (2019).</w:t>
      </w:r>
      <w:r>
        <w:t xml:space="preserve"> </w:t>
      </w:r>
      <w:r>
        <w:rPr>
          <w:i/>
        </w:rPr>
        <w:t xml:space="preserve">Tidyr: Easily tidy data with ’spread()’ and ’gather()’ functions</w:t>
      </w:r>
      <w:r>
        <w:t xml:space="preserve">. Retrieved from</w:t>
      </w:r>
      <w:r>
        <w:t xml:space="preserve"> </w:t>
      </w:r>
      <w:hyperlink r:id="rId76">
        <w:r>
          <w:rPr>
            <w:rStyle w:val="Hyperlink"/>
          </w:rPr>
          <w:t xml:space="preserve">https://CRAN.R-project.org/package=tidyr</w:t>
        </w:r>
      </w:hyperlink>
    </w:p>
    <w:bookmarkEnd w:id="77"/>
    <w:bookmarkStart w:id="79"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78">
        <w:r>
          <w:rPr>
            <w:rStyle w:val="Hyperlink"/>
          </w:rPr>
          <w:t xml:space="preserve">https://CRAN.R-project.org/package=readr</w:t>
        </w:r>
      </w:hyperlink>
    </w:p>
    <w:bookmarkEnd w:id="79"/>
    <w:bookmarkStart w:id="81" w:name="ref-R-haven"/>
    <w:p>
      <w:pPr>
        <w:pStyle w:val="Literaturverzeichnis"/>
      </w:pPr>
      <w:r>
        <w:t xml:space="preserve">Wickham, H., &amp; Miller, E. (2019).</w:t>
      </w:r>
      <w:r>
        <w:t xml:space="preserve"> </w:t>
      </w:r>
      <w:r>
        <w:rPr>
          <w:i/>
        </w:rPr>
        <w:t xml:space="preserve">Haven: Import and export ’spss’, ’stata’ and ’sas’ files</w:t>
      </w:r>
      <w:r>
        <w:t xml:space="preserve">. Retrieved from</w:t>
      </w:r>
      <w:r>
        <w:t xml:space="preserve"> </w:t>
      </w:r>
      <w:hyperlink r:id="rId80">
        <w:r>
          <w:rPr>
            <w:rStyle w:val="Hyperlink"/>
          </w:rPr>
          <w:t xml:space="preserve">https://CRAN.R-project.org/package=haven</w:t>
        </w:r>
      </w:hyperlink>
    </w:p>
    <w:bookmarkEnd w:id="81"/>
    <w:bookmarkStart w:id="83" w:name="ref-R-extrafont"/>
    <w:p>
      <w:pPr>
        <w:pStyle w:val="Literaturverzeichnis"/>
      </w:pPr>
      <w:r>
        <w:t xml:space="preserve">Winston Chang. (2014).</w:t>
      </w:r>
      <w:r>
        <w:t xml:space="preserve"> </w:t>
      </w:r>
      <w:r>
        <w:rPr>
          <w:i/>
        </w:rPr>
        <w:t xml:space="preserve">Extrafont: Tools for using fonts</w:t>
      </w:r>
      <w:r>
        <w:t xml:space="preserve">. Retrieved from</w:t>
      </w:r>
      <w:r>
        <w:t xml:space="preserve"> </w:t>
      </w:r>
      <w:hyperlink r:id="rId82">
        <w:r>
          <w:rPr>
            <w:rStyle w:val="Hyperlink"/>
          </w:rPr>
          <w:t xml:space="preserve">https://CRAN.R-project.org/package=extrafont</w:t>
        </w:r>
      </w:hyperlink>
    </w:p>
    <w:bookmarkEnd w:id="83"/>
    <w:bookmarkEnd w:id="8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critera applied only to participants from Author Advised sites, because the necessary data was not always available for In House sites.</w:t>
      </w:r>
    </w:p>
  </w:footnote>
  <w:footnote w:id="28">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9">
        <w:r>
          <w:rPr>
            <w:rStyle w:val="Hyperlink"/>
          </w:rPr>
          <w:t xml:space="preserve">https://osf.io/xtg4u/</w:t>
        </w:r>
      </w:hyperlink>
      <w:r>
        <w:t xml:space="preserve">) but generally follow the same pattern of results reported below.</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ww.jstatsoft.org/v36/i03/" TargetMode="External" /><Relationship Type="http://schemas.openxmlformats.org/officeDocument/2006/relationships/hyperlink" Id="rId42" Target="https://CRAN.R-project.org/package=Matrix" TargetMode="External" /><Relationship Type="http://schemas.openxmlformats.org/officeDocument/2006/relationships/hyperlink" Id="rId74" Target="https://CRAN.R-project.org/package=dplyr" TargetMode="External" /><Relationship Type="http://schemas.openxmlformats.org/officeDocument/2006/relationships/hyperlink" Id="rId82" Target="https://CRAN.R-project.org/package=extrafont" TargetMode="External" /><Relationship Type="http://schemas.openxmlformats.org/officeDocument/2006/relationships/hyperlink" Id="rId70" Target="https://CRAN.R-project.org/package=forcats" TargetMode="External" /><Relationship Type="http://schemas.openxmlformats.org/officeDocument/2006/relationships/hyperlink" Id="rId80" Target="https://CRAN.R-project.org/package=haven" TargetMode="External" /><Relationship Type="http://schemas.openxmlformats.org/officeDocument/2006/relationships/hyperlink" Id="rId51" Target="https://CRAN.R-project.org/package=metaviz" TargetMode="External" /><Relationship Type="http://schemas.openxmlformats.org/officeDocument/2006/relationships/hyperlink" Id="rId60" Target="https://CRAN.R-project.org/package=psych" TargetMode="External" /><Relationship Type="http://schemas.openxmlformats.org/officeDocument/2006/relationships/hyperlink" Id="rId47" Target="https://CRAN.R-project.org/package=purrr" TargetMode="External" /><Relationship Type="http://schemas.openxmlformats.org/officeDocument/2006/relationships/hyperlink" Id="rId78" Target="https://CRAN.R-project.org/package=readr" TargetMode="External" /><Relationship Type="http://schemas.openxmlformats.org/officeDocument/2006/relationships/hyperlink" Id="rId72" Target="https://CRAN.R-project.org/package=stringr" TargetMode="External" /><Relationship Type="http://schemas.openxmlformats.org/officeDocument/2006/relationships/hyperlink" Id="rId53"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68" Target="https://CRAN.R-project.org/package=tidyverse" TargetMode="External" /><Relationship Type="http://schemas.openxmlformats.org/officeDocument/2006/relationships/hyperlink" Id="rId55" Target="https://doi.org/10.1007/s11336-014-9435-8" TargetMode="External" /><Relationship Type="http://schemas.openxmlformats.org/officeDocument/2006/relationships/hyperlink" Id="rId49" Target="https://doi.org/10.1080/10705511.2017.1369354" TargetMode="External" /><Relationship Type="http://schemas.openxmlformats.org/officeDocument/2006/relationships/hyperlink" Id="rId45" Target="https://doi.org/10.3389/fpsyg.2014.01521" TargetMode="External" /><Relationship Type="http://schemas.openxmlformats.org/officeDocument/2006/relationships/hyperlink" Id="rId62" Target="https://doi.org/10.5281/zenodo.1480624" TargetMode="External" /><Relationship Type="http://schemas.openxmlformats.org/officeDocument/2006/relationships/hyperlink" Id="rId66"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38" Target="https://leanpub.com/learnr" TargetMode="External" /><Relationship Type="http://schemas.openxmlformats.org/officeDocument/2006/relationships/hyperlink" Id="rId30" Target="https://osf.io/8ccnw/" TargetMode="External" /><Relationship Type="http://schemas.openxmlformats.org/officeDocument/2006/relationships/hyperlink" Id="rId29" Target="https://osf.io/xtg4u/" TargetMode="External" /><Relationship Type="http://schemas.openxmlformats.org/officeDocument/2006/relationships/hyperlink" Id="rId58" Target="https://www.R-project.org/"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64" Target="http://www.jstatsoft.org/v36/i03/" TargetMode="External" /><Relationship Type="http://schemas.openxmlformats.org/officeDocument/2006/relationships/hyperlink" Id="rId42" Target="https://CRAN.R-project.org/package=Matrix" TargetMode="External" /><Relationship Type="http://schemas.openxmlformats.org/officeDocument/2006/relationships/hyperlink" Id="rId74" Target="https://CRAN.R-project.org/package=dplyr" TargetMode="External" /><Relationship Type="http://schemas.openxmlformats.org/officeDocument/2006/relationships/hyperlink" Id="rId82" Target="https://CRAN.R-project.org/package=extrafont" TargetMode="External" /><Relationship Type="http://schemas.openxmlformats.org/officeDocument/2006/relationships/hyperlink" Id="rId70" Target="https://CRAN.R-project.org/package=forcats" TargetMode="External" /><Relationship Type="http://schemas.openxmlformats.org/officeDocument/2006/relationships/hyperlink" Id="rId80" Target="https://CRAN.R-project.org/package=haven" TargetMode="External" /><Relationship Type="http://schemas.openxmlformats.org/officeDocument/2006/relationships/hyperlink" Id="rId51" Target="https://CRAN.R-project.org/package=metaviz" TargetMode="External" /><Relationship Type="http://schemas.openxmlformats.org/officeDocument/2006/relationships/hyperlink" Id="rId60" Target="https://CRAN.R-project.org/package=psych" TargetMode="External" /><Relationship Type="http://schemas.openxmlformats.org/officeDocument/2006/relationships/hyperlink" Id="rId47" Target="https://CRAN.R-project.org/package=purrr" TargetMode="External" /><Relationship Type="http://schemas.openxmlformats.org/officeDocument/2006/relationships/hyperlink" Id="rId78" Target="https://CRAN.R-project.org/package=readr" TargetMode="External" /><Relationship Type="http://schemas.openxmlformats.org/officeDocument/2006/relationships/hyperlink" Id="rId72" Target="https://CRAN.R-project.org/package=stringr" TargetMode="External" /><Relationship Type="http://schemas.openxmlformats.org/officeDocument/2006/relationships/hyperlink" Id="rId53"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68" Target="https://CRAN.R-project.org/package=tidyverse" TargetMode="External" /><Relationship Type="http://schemas.openxmlformats.org/officeDocument/2006/relationships/hyperlink" Id="rId55" Target="https://doi.org/10.1007/s11336-014-9435-8" TargetMode="External" /><Relationship Type="http://schemas.openxmlformats.org/officeDocument/2006/relationships/hyperlink" Id="rId49" Target="https://doi.org/10.1080/10705511.2017.1369354" TargetMode="External" /><Relationship Type="http://schemas.openxmlformats.org/officeDocument/2006/relationships/hyperlink" Id="rId45" Target="https://doi.org/10.3389/fpsyg.2014.01521" TargetMode="External" /><Relationship Type="http://schemas.openxmlformats.org/officeDocument/2006/relationships/hyperlink" Id="rId62" Target="https://doi.org/10.5281/zenodo.1480624" TargetMode="External" /><Relationship Type="http://schemas.openxmlformats.org/officeDocument/2006/relationships/hyperlink" Id="rId66"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38" Target="https://leanpub.com/learnr" TargetMode="External" /><Relationship Type="http://schemas.openxmlformats.org/officeDocument/2006/relationships/hyperlink" Id="rId30" Target="https://osf.io/8ccnw/" TargetMode="External" /><Relationship Type="http://schemas.openxmlformats.org/officeDocument/2006/relationships/hyperlink" Id="rId29" Target="https://osf.io/xtg4u/" TargetMode="External" /><Relationship Type="http://schemas.openxmlformats.org/officeDocument/2006/relationships/hyperlink" Id="rId58" Target="https://www.R-project.org/"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2019-07-12T13:31:49Z</dcterms:created>
  <dcterms:modified xsi:type="dcterms:W3CDTF">2019-07-12T13:31:49Z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