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Postal address.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N = 2,220 (see Table XX for a summary of sites). 1,157 participants (52.12%) reported being female and 708 participants (31.89%) reported being male; the remaining participants did not respond to the item, were asked about gender in a non-standard way, or chose a different response.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1"/>
      </w:pPr>
      <w:bookmarkStart w:id="24" w:name="results"/>
      <w:r>
        <w:t xml:space="preserve">Results</w:t>
      </w:r>
      <w:bookmarkEnd w:id="24"/>
    </w:p>
    <w:p>
      <w:pPr>
        <w:pStyle w:val="berschrift2"/>
      </w:pPr>
      <w:bookmarkStart w:id="25" w:name="X2dcd4cd6d14a006464fb6331fb28bcd608854cc"/>
      <w:r>
        <w:t xml:space="preserve">Researcher Expectations and Characteristics</w:t>
      </w:r>
      <w:bookmarkEnd w:id="25"/>
    </w:p>
    <w:p>
      <w:pPr>
        <w:pStyle w:val="FirstParagraph"/>
      </w:pPr>
      <w:r>
        <w:t xml:space="preserve">A total of 28 researchers from 21 participating sites completed the experimenter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6" w:name="tmt-replication-results"/>
      <w:r>
        <w:t xml:space="preserve">TMT Replication Results</w:t>
      </w:r>
      <w:bookmarkEnd w:id="26"/>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7"/>
      </w:r>
      <w:r>
        <w:t xml:space="preserve"> </w:t>
      </w:r>
      <w:r>
        <w:t xml:space="preserve">An independent samples t-test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w:t>
      </w:r>
    </w:p>
    <w:p>
      <w:pPr>
        <w:pStyle w:val="Textkrper"/>
      </w:pPr>
      <w:r>
        <w:rPr>
          <w:i/>
        </w:rPr>
        <w:t xml:space="preserve">Exclusion set 3:</w:t>
      </w:r>
      <w:r>
        <w:t xml:space="preserve"> </w:t>
      </w:r>
      <w:r>
        <w:t xml:space="preserve">All prior exclusions, and further exclude participant who responded lower than 7 on the American Identity item. Further reduces the usable N to 1,843 participants.</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29">
        <w:r>
          <w:rPr>
            <w:rStyle w:val="Hyperlink"/>
          </w:rPr>
          <w:t xml:space="preserve">https://osf.io/8ccnw/</w:t>
        </w:r>
      </w:hyperlink>
      <w:r>
        <w:t xml:space="preserve">). All analysis plans and procedures were pre-registered on the OSF prior to data collection.</w:t>
      </w:r>
    </w:p>
    <w:p>
      <w:pPr>
        <w:pStyle w:val="berschrift2"/>
      </w:pPr>
      <w:bookmarkStart w:id="30" w:name="Xe0fa64c7d2dfdc0f90e29ecb64a5334e4e2676c"/>
      <w:r>
        <w:t xml:space="preserve">Meta-analytic results across all labs (random effects meta-analysis).</w:t>
      </w:r>
      <w:bookmarkEnd w:id="30"/>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1"/>
      </w:r>
      <w:r>
        <w:t xml:space="preserve"> </w:t>
      </w:r>
      <w:r>
        <w:t xml:space="preserve">This analysis produces the grand mean effect size across all sites and versions.</w:t>
      </w:r>
    </w:p>
    <w:p>
      <w:pPr>
        <w:pStyle w:val="Textkrper"/>
      </w:pPr>
      <w:r>
        <w:t xml:space="preserve">The most basic question is whether we observed the predicted effect of mortality salience. Regardless of which exclusion critera were used, we did not observe the predicted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w:t>
      </w:r>
      <w:hyperlink r:id="rId29">
        <w:r>
          <w:rPr>
            <w:rStyle w:val="Hyperlink"/>
          </w:rPr>
          <w:t xml:space="preserve">https://osf.io/8ccnw/</w:t>
        </w:r>
      </w:hyperlink>
      <w:r>
        <w:t xml:space="preserve">) for the other two exclusion sets.</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3"/>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p>
    <w:p>
      <w:pPr>
        <w:pStyle w:val="Textkrper"/>
      </w:pPr>
      <w:r>
        <w:t xml:space="preserve">Variation among effect sizes also followed the previously observed pattern. Small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4" w:name="X84111581ee6b5e634403d42ca8ac8d478a3dbad"/>
      <w:r>
        <w:t xml:space="preserve">Research Question 3: Effect of Standardization</w:t>
      </w:r>
      <w:bookmarkEnd w:id="34"/>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w:t>
      </w:r>
    </w:p>
    <w:p>
      <w:pPr>
        <w:pStyle w:val="berschrift2"/>
      </w:pPr>
      <w:bookmarkStart w:id="35" w:name="follow-up-exploratory-analyses"/>
      <w:r>
        <w:t xml:space="preserve">Follow-Up Exploratory Analyses</w:t>
      </w:r>
      <w:bookmarkEnd w:id="35"/>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1.05,</w:t>
      </w:r>
      <w:r>
        <w:t xml:space="preserve"> </w:t>
      </w:r>
      <w:r>
        <w:rPr>
          <w:i/>
        </w:rPr>
        <w:t xml:space="preserve">SD</w:t>
      </w:r>
      <w:r>
        <w:t xml:space="preserve"> </w:t>
      </w:r>
      <w:r>
        <w:t xml:space="preserve">= 2.22) and the control group (</w:t>
      </w:r>
      <w:r>
        <w:rPr>
          <w:i/>
        </w:rPr>
        <w:t xml:space="preserve">M</w:t>
      </w:r>
      <w:r>
        <w:t xml:space="preserve"> </w:t>
      </w:r>
      <w:r>
        <w:t xml:space="preserve">= 0.97,</w:t>
      </w:r>
      <w:r>
        <w:t xml:space="preserve"> </w:t>
      </w:r>
      <w:r>
        <w:rPr>
          <w:i/>
        </w:rPr>
        <w:t xml:space="preserve">SD</w:t>
      </w:r>
      <w:r>
        <w:t xml:space="preserve"> </w:t>
      </w:r>
      <w:r>
        <w:t xml:space="preserve">= 2.19),</w:t>
      </w:r>
      <w:r>
        <w:t xml:space="preserve"> </w:t>
      </w:r>
      <w:r>
        <w:rPr>
          <w:i/>
        </w:rPr>
        <w:t xml:space="preserve">t</w:t>
      </w:r>
      <w:r>
        <w:t xml:space="preserve">(522.61) = 0.45,</w:t>
      </w:r>
      <w:r>
        <w:t xml:space="preserve"> </w:t>
      </w:r>
      <w:r>
        <w:rPr>
          <w:i/>
        </w:rPr>
        <w:t xml:space="preserve">p</w:t>
      </w:r>
      <w:r>
        <w:t xml:space="preserve"> </w:t>
      </w:r>
      <w:r>
        <w:t xml:space="preserve">= 0.66,</w:t>
      </w:r>
      <w:r>
        <w:t xml:space="preserve"> </w:t>
      </w:r>
      <w:r>
        <w:rPr>
          <w:i/>
        </w:rPr>
        <w:t xml:space="preserve">Hedges’ g</w:t>
      </w:r>
      <w:r>
        <w:t xml:space="preserve"> </w:t>
      </w:r>
      <w:r>
        <w:t xml:space="preserve">= 0.04, 95% CI = [-0.13, 0.21].</w:t>
      </w:r>
    </w:p>
    <w:p>
      <w:pPr>
        <w:pStyle w:val="berschrift1"/>
      </w:pPr>
      <w:bookmarkStart w:id="36" w:name="discussion"/>
      <w:r>
        <w:t xml:space="preserve">Discussion</w:t>
      </w:r>
      <w:bookmarkEnd w:id="36"/>
    </w:p>
    <w:p>
      <w:pPr>
        <w:pStyle w:val="berschrift1"/>
      </w:pPr>
      <w:bookmarkStart w:id="37" w:name="references"/>
      <w:r>
        <w:t xml:space="preserve">References</w:t>
      </w:r>
      <w:bookmarkEnd w:id="37"/>
    </w:p>
    <w:bookmarkStart w:id="38" w:name="refs"/>
    <w:bookmarkEnd w:id="3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critera applied only to participants from Author Advised sites, because the necessary data was not always available for In House sites.</w:t>
      </w:r>
    </w:p>
  </w:footnote>
  <w:footnote w:id="27">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8">
        <w:r>
          <w:rPr>
            <w:rStyle w:val="Hyperlink"/>
          </w:rPr>
          <w:t xml:space="preserve">https://osf.io/xtg4u/</w:t>
        </w:r>
      </w:hyperlink>
      <w:r>
        <w:t xml:space="preserve">) but generally follow the same pattern of results reported below.</w:t>
      </w:r>
    </w:p>
  </w:footnote>
  <w:footnote w:id="31">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3">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osf.io/8ccnw/" TargetMode="External" /><Relationship Type="http://schemas.openxmlformats.org/officeDocument/2006/relationships/hyperlink" Id="rId28"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osf.io/8ccnw/" TargetMode="External" /><Relationship Type="http://schemas.openxmlformats.org/officeDocument/2006/relationships/hyperlink" Id="rId28"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2019-07-22T16:28:17Z</dcterms:created>
  <dcterms:modified xsi:type="dcterms:W3CDTF">2019-07-22T16:28:17Z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