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t xml:space="preserve">A total of 21 labs participated and provided a total sample of 2,281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2,220 participants (see Table 1 for a summary of sites). 1,157 participants (52.12%) reported being female and 708 participants (31.89%) reported being male; the remaining participants did not respond to the item, were asked about gender in a non-standard way, or chose a different response. The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or responses were not easily recoded to match these categories.</w:t>
      </w:r>
    </w:p>
    <w:p>
      <w:pPr>
        <w:pStyle w:val="berschrift2"/>
      </w:pPr>
      <w:bookmarkStart w:id="24" w:name="analysis-plan"/>
      <w:r>
        <w:t xml:space="preserve">Analysis Plan</w:t>
      </w:r>
      <w:bookmarkEnd w:id="24"/>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Supplemental analyses treating these as two separate dependent variables are available in the online supplement (</w:t>
      </w:r>
      <w:hyperlink r:id="rId25">
        <w:r>
          <w:rPr>
            <w:rStyle w:val="Hyperlink"/>
          </w:rPr>
          <w:t xml:space="preserve">https://osf.io/xtg4u/</w:t>
        </w:r>
      </w:hyperlink>
      <w:r>
        <w:t xml:space="preserve">), and those outcomes do not qualify the conclusions offered here.</w:t>
      </w:r>
    </w:p>
    <w:p>
      <w:pPr>
        <w:pStyle w:val="Textkrper"/>
      </w:pPr>
      <w:r>
        <w:t xml:space="preserve">We then analyzed these individual results meta-analytically to get an aggregate effect size across all labs.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1,874.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1,693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3">
        <w:r>
          <w:rPr>
            <w:rStyle w:val="Hyperlink"/>
          </w:rPr>
          <w:t xml:space="preserve">https://osf.io/4xx6w</w:t>
        </w:r>
      </w:hyperlink>
      <w:r>
        <w:t xml:space="preserve">).</w:t>
      </w:r>
    </w:p>
    <w:p>
      <w:pPr>
        <w:pStyle w:val="berschrift1"/>
      </w:pPr>
      <w:bookmarkStart w:id="26" w:name="results"/>
      <w:r>
        <w:t xml:space="preserve">Results</w:t>
      </w:r>
      <w:bookmarkEnd w:id="26"/>
    </w:p>
    <w:p>
      <w:pPr>
        <w:pStyle w:val="berschrift2"/>
      </w:pPr>
      <w:bookmarkStart w:id="27" w:name="X2dcd4cd6d14a006464fb6331fb28bcd608854cc"/>
      <w:r>
        <w:t xml:space="preserve">Researcher Expectations and Characteristics</w:t>
      </w:r>
      <w:bookmarkEnd w:id="27"/>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28"/>
      </w:r>
    </w:p>
    <w:p>
      <w:pPr>
        <w:pStyle w:val="berschrift2"/>
      </w:pPr>
      <w:bookmarkStart w:id="29" w:name="X5624d0496651cf284888f223111f8f07010fd01"/>
      <w:r>
        <w:t xml:space="preserve">Deviations from Pre-registered Analytic Plan</w:t>
      </w:r>
      <w:bookmarkEnd w:id="29"/>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we did not have enough data in these clusters for the planned analysis to be accurate (e.g.,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30">
        <w:r>
          <w:rPr>
            <w:rStyle w:val="Hyperlink"/>
          </w:rPr>
          <w:t xml:space="preserve">https://osf.io/8ccnw/</w:t>
        </w:r>
      </w:hyperlink>
      <w:r>
        <w:t xml:space="preserve">), and no conclusions substantively change between the current model and the three-level model.</w:t>
      </w:r>
    </w:p>
    <w:p>
      <w:pPr>
        <w:pStyle w:val="berschrift2"/>
      </w:pPr>
      <w:bookmarkStart w:id="31" w:name="X0717cbac05e4bba966b3ebf40da3149f951982b"/>
      <w:r>
        <w:t xml:space="preserve">Research Question 1: Meta-analytic results across all labs (random effects meta-analysis).</w:t>
      </w:r>
      <w:bookmarkEnd w:id="31"/>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 Exclusion Set 1:</w:t>
      </w:r>
      <w:r>
        <w:t xml:space="preserve"> </w:t>
      </w:r>
      <w:r>
        <w:rPr>
          <w:i/>
        </w:rPr>
        <w:t xml:space="preserve">Hedges’ g</w:t>
      </w:r>
      <w:r>
        <w:t xml:space="preserve"> </w:t>
      </w:r>
      <w:r>
        <w:t xml:space="preserve">= 0.03, 95% CI = [-0.06, 0.12],</w:t>
      </w:r>
      <w:r>
        <w:t xml:space="preserve"> </w:t>
      </w:r>
      <w:r>
        <w:rPr>
          <w:i/>
        </w:rPr>
        <w:t xml:space="preserve">SE</w:t>
      </w:r>
      <w:r>
        <w:t xml:space="preserve"> </w:t>
      </w:r>
      <w:r>
        <w:t xml:space="preserve">= 0.05,</w:t>
      </w:r>
      <w:r>
        <w:t xml:space="preserve"> </w:t>
      </w:r>
      <w:r>
        <w:rPr>
          <w:i/>
        </w:rPr>
        <w:t xml:space="preserve">Z</w:t>
      </w:r>
      <w:r>
        <w:t xml:space="preserve"> </w:t>
      </w:r>
      <w:r>
        <w:t xml:space="preserve">= 0.55,</w:t>
      </w:r>
      <w:r>
        <w:t xml:space="preserve"> </w:t>
      </w:r>
      <w:r>
        <w:rPr>
          <w:i/>
        </w:rPr>
        <w:t xml:space="preserve">p</w:t>
      </w:r>
      <w:r>
        <w:t xml:space="preserve"> </w:t>
      </w:r>
      <w:r>
        <w:t xml:space="preserve">= 0.58. Exclusion Set 2:</w:t>
      </w:r>
      <w:r>
        <w:t xml:space="preserve"> </w:t>
      </w:r>
      <w:r>
        <w:rPr>
          <w:i/>
        </w:rPr>
        <w:t xml:space="preserve">Hedges’ g</w:t>
      </w:r>
      <w:r>
        <w:t xml:space="preserve"> </w:t>
      </w:r>
      <w:r>
        <w:t xml:space="preserve">= 0.06, 95% CI = [-0.06, 0.17],</w:t>
      </w:r>
      <w:r>
        <w:t xml:space="preserve"> </w:t>
      </w:r>
      <w:r>
        <w:rPr>
          <w:i/>
        </w:rPr>
        <w:t xml:space="preserve">SE</w:t>
      </w:r>
      <w:r>
        <w:t xml:space="preserve"> </w:t>
      </w:r>
      <w:r>
        <w:t xml:space="preserve">= 0.06,</w:t>
      </w:r>
      <w:r>
        <w:t xml:space="preserve"> </w:t>
      </w:r>
      <w:r>
        <w:rPr>
          <w:i/>
        </w:rPr>
        <w:t xml:space="preserve">Z</w:t>
      </w:r>
      <w:r>
        <w:t xml:space="preserve"> </w:t>
      </w:r>
      <w:r>
        <w:t xml:space="preserve">= 0.99,</w:t>
      </w:r>
      <w:r>
        <w:t xml:space="preserve"> </w:t>
      </w:r>
      <w:r>
        <w:rPr>
          <w:i/>
        </w:rPr>
        <w:t xml:space="preserve">p</w:t>
      </w:r>
      <w:r>
        <w:t xml:space="preserve"> </w:t>
      </w:r>
      <w:r>
        <w:t xml:space="preserve">= 0.32. Exclusion Set 3:</w:t>
      </w:r>
      <w:r>
        <w:t xml:space="preserve"> </w:t>
      </w:r>
      <w:r>
        <w:rPr>
          <w:i/>
        </w:rPr>
        <w:t xml:space="preserve">Hedges’ g</w:t>
      </w:r>
      <w:r>
        <w:t xml:space="preserve"> </w:t>
      </w:r>
      <w:r>
        <w:t xml:space="preserve">= 0.04, 95% CI = [-0.07, 0.16],</w:t>
      </w:r>
      <w:r>
        <w:t xml:space="preserve"> </w:t>
      </w:r>
      <w:r>
        <w:rPr>
          <w:i/>
        </w:rPr>
        <w:t xml:space="preserve">SE</w:t>
      </w:r>
      <w:r>
        <w:t xml:space="preserve"> </w:t>
      </w:r>
      <w:r>
        <w:t xml:space="preserve">= 0.06,</w:t>
      </w:r>
      <w:r>
        <w:t xml:space="preserve"> </w:t>
      </w:r>
      <w:r>
        <w:rPr>
          <w:i/>
        </w:rPr>
        <w:t xml:space="preserve">Z</w:t>
      </w:r>
      <w:r>
        <w:t xml:space="preserve"> </w:t>
      </w:r>
      <w:r>
        <w:t xml:space="preserve">= 0.71,</w:t>
      </w:r>
      <w:r>
        <w:t xml:space="preserve"> </w:t>
      </w:r>
      <w:r>
        <w:rPr>
          <w:i/>
        </w:rPr>
        <w:t xml:space="preserve">p</w:t>
      </w:r>
      <w:r>
        <w:t xml:space="preserve"> </w:t>
      </w:r>
      <w:r>
        <w:t xml:space="preserve">= 0.48. Forest plots showing the effects for individual sites and the aggregate are available in Figure 1 for Exclusion Set 1 (see</w:t>
      </w:r>
      <w:r>
        <w:t xml:space="preserve"> </w:t>
      </w:r>
      <w:hyperlink r:id="rId30">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sites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it was small in magnitude, Tau</w:t>
      </w:r>
      <w:r>
        <w:rPr>
          <w:vertAlign w:val="superscript"/>
        </w:rPr>
        <w:t xml:space="preserve">2</w:t>
      </w:r>
      <w:r>
        <w:t xml:space="preserve"> </w:t>
      </w:r>
      <w:r>
        <w:t xml:space="preserve">= 0.02.</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2" w:name="X29592220de5c9185f2b682c0ce7513d52858c49"/>
      <w:r>
        <w:t xml:space="preserve">Research Question 2: Moderation by Author Advised/In House protocol</w:t>
      </w:r>
      <w:bookmarkEnd w:id="32"/>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 Exclusion Set 1:</w:t>
      </w:r>
      <w:r>
        <w:t xml:space="preserve"> </w:t>
      </w:r>
      <w:r>
        <w:rPr>
          <w:i/>
        </w:rPr>
        <w:t xml:space="preserve">Hedges’ g</w:t>
      </w:r>
      <w:r>
        <w:t xml:space="preserve"> </w:t>
      </w:r>
      <w:r>
        <w:t xml:space="preserve">= 0.01, 95% CI = [-0.10, 0.13],</w:t>
      </w:r>
      <w:r>
        <w:t xml:space="preserve"> </w:t>
      </w:r>
      <w:r>
        <w:rPr>
          <w:i/>
        </w:rPr>
        <w:t xml:space="preserve">SE</w:t>
      </w:r>
      <w:r>
        <w:t xml:space="preserve"> </w:t>
      </w:r>
      <w:r>
        <w:t xml:space="preserve">= 0.06,</w:t>
      </w:r>
      <w:r>
        <w:t xml:space="preserve"> </w:t>
      </w:r>
      <w:r>
        <w:rPr>
          <w:i/>
        </w:rPr>
        <w:t xml:space="preserve">Z</w:t>
      </w:r>
      <w:r>
        <w:t xml:space="preserve"> </w:t>
      </w:r>
      <w:r>
        <w:t xml:space="preserve">= 0.25,</w:t>
      </w:r>
      <w:r>
        <w:t xml:space="preserve"> </w:t>
      </w:r>
      <w:r>
        <w:rPr>
          <w:i/>
        </w:rPr>
        <w:t xml:space="preserve">p</w:t>
      </w:r>
      <w:r>
        <w:t xml:space="preserve"> </w:t>
      </w:r>
      <w:r>
        <w:t xml:space="preserve">= 0.80. Exclusion Set 2:</w:t>
      </w:r>
      <w:r>
        <w:t xml:space="preserve"> </w:t>
      </w:r>
      <w:r>
        <w:rPr>
          <w:i/>
        </w:rPr>
        <w:t xml:space="preserve">Hedges’ g</w:t>
      </w:r>
      <w:r>
        <w:t xml:space="preserve"> </w:t>
      </w:r>
      <w:r>
        <w:t xml:space="preserve">= 0.02, 95% CI = [-0.11, 0.15],</w:t>
      </w:r>
      <w:r>
        <w:t xml:space="preserve"> </w:t>
      </w:r>
      <w:r>
        <w:rPr>
          <w:i/>
        </w:rPr>
        <w:t xml:space="preserve">SE</w:t>
      </w:r>
      <w:r>
        <w:t xml:space="preserve"> </w:t>
      </w:r>
      <w:r>
        <w:t xml:space="preserve">= 0.07,</w:t>
      </w:r>
      <w:r>
        <w:t xml:space="preserve"> </w:t>
      </w:r>
      <w:r>
        <w:rPr>
          <w:i/>
        </w:rPr>
        <w:t xml:space="preserve">Z</w:t>
      </w:r>
      <w:r>
        <w:t xml:space="preserve"> </w:t>
      </w:r>
      <w:r>
        <w:t xml:space="preserve">= 0.35,</w:t>
      </w:r>
      <w:r>
        <w:t xml:space="preserve"> </w:t>
      </w:r>
      <w:r>
        <w:rPr>
          <w:i/>
        </w:rPr>
        <w:t xml:space="preserve">p</w:t>
      </w:r>
      <w:r>
        <w:t xml:space="preserve"> </w:t>
      </w:r>
      <w:r>
        <w:t xml:space="preserve">= 0.73. Exclusion Set 3:</w:t>
      </w:r>
      <w:r>
        <w:t xml:space="preserve"> </w:t>
      </w:r>
      <w:r>
        <w:rPr>
          <w:i/>
        </w:rPr>
        <w:t xml:space="preserve">Hedges’ g</w:t>
      </w:r>
      <w:r>
        <w:t xml:space="preserve"> </w:t>
      </w:r>
      <w:r>
        <w:t xml:space="preserve">= 0.02, 95% CI = [-0.10, 0.15],</w:t>
      </w:r>
      <w:r>
        <w:t xml:space="preserve"> </w:t>
      </w:r>
      <w:r>
        <w:rPr>
          <w:i/>
        </w:rPr>
        <w:t xml:space="preserve">SE</w:t>
      </w:r>
      <w:r>
        <w:t xml:space="preserve"> </w:t>
      </w:r>
      <w:r>
        <w:t xml:space="preserve">= 0.06,</w:t>
      </w:r>
      <w:r>
        <w:t xml:space="preserve"> </w:t>
      </w:r>
      <w:r>
        <w:rPr>
          <w:i/>
        </w:rPr>
        <w:t xml:space="preserve">Z</w:t>
      </w:r>
      <w:r>
        <w:t xml:space="preserve"> </w:t>
      </w:r>
      <w:r>
        <w:t xml:space="preserve">= 0.33,</w:t>
      </w:r>
      <w:r>
        <w:t xml:space="preserve"> </w:t>
      </w:r>
      <w:r>
        <w:rPr>
          <w:i/>
        </w:rPr>
        <w:t xml:space="preserve">p</w:t>
      </w:r>
      <w:r>
        <w:t xml:space="preserve"> </w:t>
      </w:r>
      <w:r>
        <w:t xml:space="preserve">= 0.74.</w:t>
      </w:r>
    </w:p>
    <w:p>
      <w:pPr>
        <w:pStyle w:val="Textkrper"/>
      </w:pPr>
      <w:r>
        <w:t xml:space="preserve">Variation among effect sizes also followed the previously observed pattern. Weak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t xml:space="preserve"> </w:t>
      </w:r>
      <w:r>
        <w:t xml:space="preserve">= 0.01; while variation did not meet the statistical significance threshold for Exclusion Set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Textkrper"/>
      </w:pPr>
      <w:r>
        <w:t xml:space="preserve">Critically, protocol version did not significantly predict replication effect size regardless of which exclusion criteria were used. Exclusion Set 1:</w:t>
      </w:r>
      <w:r>
        <w:t xml:space="preserve"> </w:t>
      </w:r>
      <w:r>
        <w:rPr>
          <w:i/>
        </w:rPr>
        <w:t xml:space="preserve">b</w:t>
      </w:r>
      <w:r>
        <w:t xml:space="preserve"> </w:t>
      </w:r>
      <w:r>
        <w:t xml:space="preserve">= 0.03,</w:t>
      </w:r>
      <w:r>
        <w:t xml:space="preserve"> </w:t>
      </w:r>
      <w:r>
        <w:rPr>
          <w:i/>
        </w:rPr>
        <w:t xml:space="preserve">Z</w:t>
      </w:r>
      <w:r>
        <w:t xml:space="preserve"> </w:t>
      </w:r>
      <w:r>
        <w:t xml:space="preserve">= 0.28,</w:t>
      </w:r>
      <w:r>
        <w:t xml:space="preserve"> </w:t>
      </w:r>
      <w:r>
        <w:rPr>
          <w:i/>
        </w:rPr>
        <w:t xml:space="preserve">p</w:t>
      </w:r>
      <w:r>
        <w:t xml:space="preserve"> </w:t>
      </w:r>
      <w:r>
        <w:t xml:space="preserve">= 0.78; Exclusion Set 2:</w:t>
      </w:r>
      <w:r>
        <w:t xml:space="preserve"> </w:t>
      </w:r>
      <w:r>
        <w:rPr>
          <w:i/>
        </w:rPr>
        <w:t xml:space="preserve">b</w:t>
      </w:r>
      <w:r>
        <w:t xml:space="preserve"> </w:t>
      </w:r>
      <w:r>
        <w:t xml:space="preserve">= 0.11,</w:t>
      </w:r>
      <w:r>
        <w:t xml:space="preserve"> </w:t>
      </w:r>
      <w:r>
        <w:rPr>
          <w:i/>
        </w:rPr>
        <w:t xml:space="preserve">Z</w:t>
      </w:r>
      <w:r>
        <w:t xml:space="preserve"> </w:t>
      </w:r>
      <w:r>
        <w:t xml:space="preserve">= 0.91,</w:t>
      </w:r>
      <w:r>
        <w:t xml:space="preserve"> </w:t>
      </w:r>
      <w:r>
        <w:rPr>
          <w:i/>
        </w:rPr>
        <w:t xml:space="preserve">p</w:t>
      </w:r>
      <w:r>
        <w:t xml:space="preserve"> </w:t>
      </w:r>
      <w:r>
        <w:t xml:space="preserve">= 0.36; Exclusion Set 3:</w:t>
      </w:r>
      <w:r>
        <w:t xml:space="preserve"> </w:t>
      </w:r>
      <w:r>
        <w:rPr>
          <w:i/>
        </w:rPr>
        <w:t xml:space="preserve">b</w:t>
      </w:r>
      <w:r>
        <w:t xml:space="preserve"> </w:t>
      </w:r>
      <w:r>
        <w:t xml:space="preserve">= 0.09,</w:t>
      </w:r>
      <w:r>
        <w:t xml:space="preserve"> </w:t>
      </w:r>
      <w:r>
        <w:rPr>
          <w:i/>
        </w:rPr>
        <w:t xml:space="preserve">Z</w:t>
      </w:r>
      <w:r>
        <w:t xml:space="preserve"> </w:t>
      </w:r>
      <w:r>
        <w:t xml:space="preserve">= 0.67,</w:t>
      </w:r>
      <w:r>
        <w:t xml:space="preserve"> </w:t>
      </w:r>
      <w:r>
        <w:rPr>
          <w:i/>
        </w:rPr>
        <w:t xml:space="preserve">p</w:t>
      </w:r>
      <w:r>
        <w:t xml:space="preserve"> </w:t>
      </w:r>
      <w:r>
        <w:t xml:space="preserve">= 0.50. The Author Advised version did not produce larger effect sizes when compared with the In House versions.</w:t>
      </w:r>
    </w:p>
    <w:p>
      <w:pPr>
        <w:pStyle w:val="berschrift2"/>
      </w:pPr>
      <w:bookmarkStart w:id="33" w:name="X84111581ee6b5e634403d42ca8ac8d478a3dbad"/>
      <w:r>
        <w:t xml:space="preserve">Research Question 3: Effect of Standardization</w:t>
      </w:r>
      <w:bookmarkEnd w:id="33"/>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 In House labs: Exclusion Set 1:</w:t>
      </w:r>
      <w:r>
        <w:t xml:space="preserve"> </w:t>
      </w:r>
      <m:oMath>
        <m:r>
          <m:t>χ</m:t>
        </m:r>
      </m:oMath>
      <w:r>
        <w:rPr>
          <w:i/>
        </w:rPr>
        <w:t xml:space="preserve">²</w:t>
      </w:r>
      <w:r>
        <w:t xml:space="preserve"> </w:t>
      </w:r>
      <w:r>
        <w:t xml:space="preserve">(1) = 0.29,</w:t>
      </w:r>
      <w:r>
        <w:t xml:space="preserve"> </w:t>
      </w:r>
      <w:r>
        <w:rPr>
          <w:i/>
        </w:rPr>
        <w:t xml:space="preserve">p</w:t>
      </w:r>
      <w:r>
        <w:t xml:space="preserve"> </w:t>
      </w:r>
      <w:r>
        <w:t xml:space="preserve">= 0.59; Author Advised labs: 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(1) = 0.03,</w:t>
      </w:r>
      <w:r>
        <w:t xml:space="preserve"> </w:t>
      </w:r>
      <w:r>
        <w:rPr>
          <w:i/>
        </w:rPr>
        <w:t xml:space="preserve">p</w:t>
      </w:r>
      <w:r>
        <w:t xml:space="preserve"> </w:t>
      </w:r>
      <w:r>
        <w:t xml:space="preserve">= 0.87; 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4" w:name="follow-up-exploratory-analyses"/>
      <w:r>
        <w:t xml:space="preserve">Follow-Up Exploratory Analyses</w:t>
      </w:r>
      <w:bookmarkEnd w:id="34"/>
    </w:p>
    <w:p>
      <w:pPr>
        <w:pStyle w:val="FirstParagraph"/>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1.02,</w:t>
      </w:r>
      <w:r>
        <w:t xml:space="preserve"> </w:t>
      </w:r>
      <w:r>
        <w:rPr>
          <w:i/>
        </w:rPr>
        <w:t xml:space="preserve">SD</w:t>
      </w:r>
      <w:r>
        <w:t xml:space="preserve"> </w:t>
      </w:r>
      <w:r>
        <w:t xml:space="preserve">= 2.30) and the control group (</w:t>
      </w:r>
      <w:r>
        <w:rPr>
          <w:i/>
        </w:rPr>
        <w:t xml:space="preserve">M</w:t>
      </w:r>
      <w:r>
        <w:t xml:space="preserve"> </w:t>
      </w:r>
      <w:r>
        <w:t xml:space="preserve">= 0.93,</w:t>
      </w:r>
      <w:r>
        <w:t xml:space="preserve"> </w:t>
      </w:r>
      <w:r>
        <w:rPr>
          <w:i/>
        </w:rPr>
        <w:t xml:space="preserve">SD</w:t>
      </w:r>
      <w:r>
        <w:t xml:space="preserve"> </w:t>
      </w:r>
      <w:r>
        <w:t xml:space="preserve">= 2.30),</w:t>
      </w:r>
      <w:r>
        <w:t xml:space="preserve"> </w:t>
      </w:r>
      <w:r>
        <w:rPr>
          <w:i/>
        </w:rPr>
        <w:t xml:space="preserve">t</w:t>
      </w:r>
      <w:r>
        <w:t xml:space="preserve">(520.81) = 0.43,</w:t>
      </w:r>
      <w:r>
        <w:t xml:space="preserve"> </w:t>
      </w:r>
      <w:r>
        <w:rPr>
          <w:i/>
        </w:rPr>
        <w:t xml:space="preserve">p</w:t>
      </w:r>
      <w:r>
        <w:t xml:space="preserve"> </w:t>
      </w:r>
      <w:r>
        <w:t xml:space="preserve">= 0.67,</w:t>
      </w:r>
      <w:r>
        <w:t xml:space="preserve"> </w:t>
      </w:r>
      <w:r>
        <w:rPr>
          <w:i/>
        </w:rPr>
        <w:t xml:space="preserve">Hedges’ g</w:t>
      </w:r>
      <w:r>
        <w:t xml:space="preserve"> </w:t>
      </w:r>
      <w:r>
        <w:t xml:space="preserve">= 0.04, 95% CI = [-0.13, 0.21].</w:t>
      </w:r>
      <w:r>
        <w:rPr>
          <w:rStyle w:val="Funotenzeichen"/>
        </w:rPr>
        <w:footnoteReference w:id="35"/>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49% of participants prefered the pro-US essay author, 40% preferred the anti-US essay author, and 11%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1.23,</w:t>
      </w:r>
      <w:r>
        <w:t xml:space="preserve"> </w:t>
      </w:r>
      <w:r>
        <w:rPr>
          <w:i/>
        </w:rPr>
        <w:t xml:space="preserve">SD</w:t>
      </w:r>
      <w:r>
        <w:t xml:space="preserve"> </w:t>
      </w:r>
      <w:r>
        <w:t xml:space="preserve">= 2.06), control group (</w:t>
      </w:r>
      <w:r>
        <w:rPr>
          <w:i/>
        </w:rPr>
        <w:t xml:space="preserve">M</w:t>
      </w:r>
      <w:r>
        <w:t xml:space="preserve"> </w:t>
      </w:r>
      <w:r>
        <w:t xml:space="preserve">= 1.15,</w:t>
      </w:r>
      <w:r>
        <w:t xml:space="preserve"> </w:t>
      </w:r>
      <w:r>
        <w:rPr>
          <w:i/>
        </w:rPr>
        <w:t xml:space="preserve">SD</w:t>
      </w:r>
      <w:r>
        <w:t xml:space="preserve"> </w:t>
      </w:r>
      <w:r>
        <w:t xml:space="preserve">= 1.83),</w:t>
      </w:r>
      <w:r>
        <w:t xml:space="preserve"> </w:t>
      </w:r>
      <w:r>
        <w:rPr>
          <w:i/>
        </w:rPr>
        <w:t xml:space="preserve">t</w:t>
      </w:r>
      <w:r>
        <w:t xml:space="preserve">(796.99) = 0.58,</w:t>
      </w:r>
      <w:r>
        <w:t xml:space="preserve"> </w:t>
      </w:r>
      <w:r>
        <w:rPr>
          <w:i/>
        </w:rPr>
        <w:t xml:space="preserve">p</w:t>
      </w:r>
      <w:r>
        <w:t xml:space="preserve"> </w:t>
      </w:r>
      <w:r>
        <w:t xml:space="preserve">= 0.56,</w:t>
      </w:r>
      <w:r>
        <w:t xml:space="preserve"> </w:t>
      </w:r>
      <w:r>
        <w:rPr>
          <w:i/>
        </w:rPr>
        <w:t xml:space="preserve">Hedges’ g</w:t>
      </w:r>
      <w:r>
        <w:t xml:space="preserve"> </w:t>
      </w:r>
      <w:r>
        <w:t xml:space="preserve">= 0.04, 95% CI = [-0.10, 0.18]; Exclusion Set 2: mortality salience group (</w:t>
      </w:r>
      <w:r>
        <w:rPr>
          <w:i/>
        </w:rPr>
        <w:t xml:space="preserve">M</w:t>
      </w:r>
      <w:r>
        <w:t xml:space="preserve"> </w:t>
      </w:r>
      <w:r>
        <w:t xml:space="preserve">= 1.53,</w:t>
      </w:r>
      <w:r>
        <w:t xml:space="preserve"> </w:t>
      </w:r>
      <w:r>
        <w:rPr>
          <w:i/>
        </w:rPr>
        <w:t xml:space="preserve">SD</w:t>
      </w:r>
      <w:r>
        <w:t xml:space="preserve"> </w:t>
      </w:r>
      <w:r>
        <w:t xml:space="preserve">= 2.15), control group (</w:t>
      </w:r>
      <w:r>
        <w:rPr>
          <w:i/>
        </w:rPr>
        <w:t xml:space="preserve">M</w:t>
      </w:r>
      <w:r>
        <w:t xml:space="preserve"> </w:t>
      </w:r>
      <w:r>
        <w:t xml:space="preserve">= 1.38,</w:t>
      </w:r>
      <w:r>
        <w:t xml:space="preserve"> </w:t>
      </w:r>
      <w:r>
        <w:rPr>
          <w:i/>
        </w:rPr>
        <w:t xml:space="preserve">SD</w:t>
      </w:r>
      <w:r>
        <w:t xml:space="preserve"> </w:t>
      </w:r>
      <w:r>
        <w:t xml:space="preserve">= 1.97),</w:t>
      </w:r>
      <w:r>
        <w:t xml:space="preserve"> </w:t>
      </w:r>
      <w:r>
        <w:rPr>
          <w:i/>
        </w:rPr>
        <w:t xml:space="preserve">t</w:t>
      </w:r>
      <w:r>
        <w:t xml:space="preserve">(446.51) = 0.79,</w:t>
      </w:r>
      <w:r>
        <w:t xml:space="preserve"> </w:t>
      </w:r>
      <w:r>
        <w:rPr>
          <w:i/>
        </w:rPr>
        <w:t xml:space="preserve">p</w:t>
      </w:r>
      <w:r>
        <w:t xml:space="preserve"> </w:t>
      </w:r>
      <w:r>
        <w:t xml:space="preserve">= 0.43,</w:t>
      </w:r>
      <w:r>
        <w:t xml:space="preserve"> </w:t>
      </w:r>
      <w:r>
        <w:rPr>
          <w:i/>
        </w:rPr>
        <w:t xml:space="preserve">Hedges’ g</w:t>
      </w:r>
      <w:r>
        <w:t xml:space="preserve"> </w:t>
      </w:r>
      <w:r>
        <w:t xml:space="preserve">= 0.07, 95% CI = [-0.11, 0.26]; Exclusion Set 3: mortality salience group (</w:t>
      </w:r>
      <w:r>
        <w:rPr>
          <w:i/>
        </w:rPr>
        <w:t xml:space="preserve">M</w:t>
      </w:r>
      <w:r>
        <w:t xml:space="preserve"> </w:t>
      </w:r>
      <w:r>
        <w:t xml:space="preserve">= 1.96,</w:t>
      </w:r>
      <w:r>
        <w:t xml:space="preserve"> </w:t>
      </w:r>
      <w:r>
        <w:rPr>
          <w:i/>
        </w:rPr>
        <w:t xml:space="preserve">SD</w:t>
      </w:r>
      <w:r>
        <w:t xml:space="preserve"> </w:t>
      </w:r>
      <w:r>
        <w:t xml:space="preserve">= 2.15), control group (</w:t>
      </w:r>
      <w:r>
        <w:rPr>
          <w:i/>
        </w:rPr>
        <w:t xml:space="preserve">M</w:t>
      </w:r>
      <w:r>
        <w:t xml:space="preserve"> </w:t>
      </w:r>
      <w:r>
        <w:t xml:space="preserve">= 1.83,</w:t>
      </w:r>
      <w:r>
        <w:t xml:space="preserve"> </w:t>
      </w:r>
      <w:r>
        <w:rPr>
          <w:i/>
        </w:rPr>
        <w:t xml:space="preserve">SD</w:t>
      </w:r>
      <w:r>
        <w:t xml:space="preserve"> </w:t>
      </w:r>
      <w:r>
        <w:t xml:space="preserve">= 2.05),</w:t>
      </w:r>
      <w:r>
        <w:t xml:space="preserve"> </w:t>
      </w:r>
      <w:r>
        <w:rPr>
          <w:i/>
        </w:rPr>
        <w:t xml:space="preserve">t</w:t>
      </w:r>
      <w:r>
        <w:t xml:space="preserve">(264.51) = 0.49,</w:t>
      </w:r>
      <w:r>
        <w:t xml:space="preserve"> </w:t>
      </w:r>
      <w:r>
        <w:rPr>
          <w:i/>
        </w:rPr>
        <w:t xml:space="preserve">p</w:t>
      </w:r>
      <w:r>
        <w:t xml:space="preserve"> </w:t>
      </w:r>
      <w:r>
        <w:t xml:space="preserve">= 0.62,</w:t>
      </w:r>
      <w:r>
        <w:t xml:space="preserve"> </w:t>
      </w:r>
      <w:r>
        <w:rPr>
          <w:i/>
        </w:rPr>
        <w:t xml:space="preserve">Hedges’ g</w:t>
      </w:r>
      <w:r>
        <w:t xml:space="preserve"> </w:t>
      </w:r>
      <w:r>
        <w:t xml:space="preserve">= 0.06, 95% CI = [-0.18, 0.30]. The confidence intervals were wider because of the smaller total sample size, but this evidence is not consistent with the hypothesis that preference for the pro-US author would elicit an effect of mortality salience in this context.</w:t>
      </w:r>
    </w:p>
    <w:bookmarkStart w:id="36" w:name="refs"/>
    <w:bookmarkEnd w:id="36"/>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5">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2019-12-11T17:56:33Z</dcterms:created>
  <dcterms:modified xsi:type="dcterms:W3CDTF">2019-12-11T17:56:33Z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C:\Users\Rick\Documents\R\win-library\3.6\papaja\rmd\apa6.csl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