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4"/>
      </w:r>
      <w:r>
        <w:t xml:space="preserve"> </w:t>
      </w:r>
      <w:r>
        <w:t xml:space="preserve">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5" w:name="analysis-plan"/>
      <w:r>
        <w:t xml:space="preserve">Analysis Plan</w:t>
      </w:r>
      <w:bookmarkEnd w:id="25"/>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6"/>
      </w:r>
      <w:r>
        <w:t xml:space="preserve"> </w:t>
      </w:r>
      <w:r>
        <w:t xml:space="preserve">An independent 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analysis plans and procedures were pre-registered on the OSF prior to data collection (</w:t>
      </w:r>
      <w:hyperlink r:id="rId23">
        <w:r>
          <w:rPr>
            <w:rStyle w:val="Hyperlink"/>
          </w:rPr>
          <w:t xml:space="preserve">https://osf.io/4xx6w</w:t>
        </w:r>
      </w:hyperlink>
      <w:r>
        <w:t xml:space="preserve">).</w:t>
      </w:r>
    </w:p>
    <w:p>
      <w:pPr>
        <w:pStyle w:val="berschrift1"/>
      </w:pPr>
      <w:bookmarkStart w:id="28" w:name="results"/>
      <w:r>
        <w:t xml:space="preserve">Results</w:t>
      </w:r>
      <w:bookmarkEnd w:id="28"/>
    </w:p>
    <w:p>
      <w:pPr>
        <w:pStyle w:val="berschrift2"/>
      </w:pPr>
      <w:bookmarkStart w:id="29" w:name="X2dcd4cd6d14a006464fb6331fb28bcd608854cc"/>
      <w:r>
        <w:t xml:space="preserve">Researcher Expectations and Characteristics</w:t>
      </w:r>
      <w:bookmarkEnd w:id="29"/>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(4%) researcher indicated they were an expert in TMT, 5 (18%) indicated they had</w:t>
      </w:r>
      <w:r>
        <w:t xml:space="preserve"> </w:t>
      </w:r>
      <w:r>
        <w:t xml:space="preserve">“</w:t>
      </w:r>
      <w:r>
        <w:t xml:space="preserve">a lot</w:t>
      </w:r>
      <w:r>
        <w:t xml:space="preserve">”</w:t>
      </w:r>
      <w:r>
        <w:t xml:space="preserve"> </w:t>
      </w:r>
      <w:r>
        <w:t xml:space="preserve">of TMT knowledge, 10 (36%) indicated</w:t>
      </w:r>
      <w:r>
        <w:t xml:space="preserve"> </w:t>
      </w:r>
      <w:r>
        <w:t xml:space="preserve">“</w:t>
      </w:r>
      <w:r>
        <w:t xml:space="preserve">some</w:t>
      </w:r>
      <w:r>
        <w:t xml:space="preserve">”</w:t>
      </w:r>
      <w:r>
        <w:t xml:space="preserve"> </w:t>
      </w:r>
      <w:r>
        <w:t xml:space="preserve">knowledge, 5 (18%) indicated little knowledge, 6 (21%) indicated zero knowledge, and 1 (4%) did not respond to the question.</w:t>
      </w:r>
    </w:p>
    <w:p>
      <w:pPr>
        <w:pStyle w:val="Textkrper"/>
      </w:pPr>
      <w:r>
        <w:t xml:space="preserve">When asked what outcome they wanted to happen, 13 (46%) indicated that they hoped for the project to successfully replicate the TMT effect, 10 (36%) indicated no preference, and 3 (11%) hoped the project would result in a failure to replicate, with 2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three-level random-effects meta-analysis.</w:t>
      </w:r>
      <w:r>
        <w:rPr>
          <w:rStyle w:val="Funotenzeichen"/>
        </w:rPr>
        <w:footnoteReference w:id="32"/>
      </w:r>
      <w:r>
        <w:t xml:space="preserve"> </w:t>
      </w:r>
      <w:r>
        <w:t xml:space="preserve">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1 for exclusion set 1 (see</w:t>
      </w:r>
      <w:r>
        <w:t xml:space="preserve"> </w:t>
      </w:r>
      <w:hyperlink r:id="rId33">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4" w:name="X29592220de5c9185f2b682c0ce7513d52858c49"/>
      <w:r>
        <w:t xml:space="preserve">Research Question 2: Moderation by Author Advised/In House protocol</w:t>
      </w:r>
      <w:bookmarkEnd w:id="34"/>
    </w:p>
    <w:p>
      <w:pPr>
        <w:pStyle w:val="FirstParagraph"/>
      </w:pPr>
      <w:r>
        <w:t xml:space="preserve">A covariate of protocol type was added to the random effects model to create a three-level mixed-effects meta-analysis. This was pre-registered as our primary analysis.</w:t>
      </w:r>
      <w:r>
        <w:rPr>
          <w:rStyle w:val="Funotenzeichen"/>
        </w:rPr>
        <w:footnoteReference w:id="35"/>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meet the statistical significance threshold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 The Author Advised version did not produce larger effect sizes when compared with the In House versions.</w:t>
      </w:r>
    </w:p>
    <w:p>
      <w:pPr>
        <w:pStyle w:val="berschrift2"/>
      </w:pPr>
      <w:bookmarkStart w:id="36" w:name="X84111581ee6b5e634403d42ca8ac8d478a3dbad"/>
      <w:r>
        <w:t xml:space="preserve">Research Question 3: Effect of Standardization</w:t>
      </w:r>
      <w:bookmarkEnd w:id="36"/>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set 1:</w:t>
      </w:r>
      <w:r>
        <w:t xml:space="preserve"> </w:t>
      </w:r>
      <m:oMath>
        <m:r>
          <m:t>χ</m:t>
        </m:r>
      </m:oMath>
      <w:r>
        <w:rPr>
          <w:i/>
        </w:rPr>
        <w:t xml:space="preserve">²</w:t>
      </w:r>
      <w:r>
        <w:t xml:space="preserve"> </w:t>
      </w:r>
      <w:r>
        <w:t xml:space="preserve">(2) = 0.16,</w:t>
      </w:r>
      <w:r>
        <w:t xml:space="preserve"> </w:t>
      </w:r>
      <w:r>
        <w:rPr>
          <w:i/>
        </w:rPr>
        <w:t xml:space="preserve">p</w:t>
      </w:r>
      <w:r>
        <w:t xml:space="preserve"> </w:t>
      </w:r>
      <w:r>
        <w:t xml:space="preserve">= 0.92; Exclusion set 2:</w:t>
      </w:r>
      <w:r>
        <w:t xml:space="preserve"> </w:t>
      </w:r>
      <m:oMath>
        <m:r>
          <m:t>χ</m:t>
        </m:r>
      </m:oMath>
      <w:r>
        <w:rPr>
          <w:i/>
        </w:rPr>
        <w:t xml:space="preserve">²</w:t>
      </w:r>
      <w:r>
        <w:t xml:space="preserve"> </w:t>
      </w:r>
      <w:r>
        <w:t xml:space="preserve">(2) = 0.85,</w:t>
      </w:r>
      <w:r>
        <w:t xml:space="preserve"> </w:t>
      </w:r>
      <w:r>
        <w:rPr>
          <w:i/>
        </w:rPr>
        <w:t xml:space="preserve">p</w:t>
      </w:r>
      <w:r>
        <w:t xml:space="preserve"> </w:t>
      </w:r>
      <w:r>
        <w:t xml:space="preserve">= 0.65; Exclusion set 3:</w:t>
      </w:r>
      <w:r>
        <w:t xml:space="preserve"> </w:t>
      </w:r>
      <m:oMath>
        <m:r>
          <m:t>χ</m:t>
        </m:r>
      </m:oMath>
      <w:r>
        <w:rPr>
          <w:i/>
        </w:rPr>
        <w:t xml:space="preserve">²</w:t>
      </w:r>
      <w:r>
        <w:t xml:space="preserve"> </w:t>
      </w:r>
      <w:r>
        <w:t xml:space="preserve">(2) = 0.27,</w:t>
      </w:r>
      <w:r>
        <w:t xml:space="preserve"> </w:t>
      </w:r>
      <w:r>
        <w:rPr>
          <w:i/>
        </w:rPr>
        <w:t xml:space="preserve">p</w:t>
      </w:r>
      <w:r>
        <w:t xml:space="preserve"> </w:t>
      </w:r>
      <w:r>
        <w:t xml:space="preserve">= 0.87. Overall, there was no evidence that In House protocols elicited greater variability than Author Advised protocols despite the fact that they were unambiguously more variable in their procedural implementation.</w:t>
      </w:r>
    </w:p>
    <w:p>
      <w:pPr>
        <w:pStyle w:val="berschrift2"/>
      </w:pPr>
      <w:bookmarkStart w:id="37" w:name="follow-up-exploratory-analyses"/>
      <w:r>
        <w:t xml:space="preserve">Follow-Up Exploratory Analyses</w:t>
      </w:r>
      <w:bookmarkEnd w:id="37"/>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8"/>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 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9" w:name="refs"/>
    <w:bookmarkEnd w:id="3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6">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 w:id="35">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meta3(y=es, v=var, cluster=Location, x=version, data=dataset)</w:t>
      </w:r>
    </w:p>
  </w:footnote>
  <w:footnote w:id="38">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2019-09-18T15:39:36Z</dcterms:created>
  <dcterms:modified xsi:type="dcterms:W3CDTF">2019-09-18T15:39:36Z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