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analysis plans and procedures were pre-registered on the OSF prior to data collection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three-level random-effects meta-analysis.</w:t>
      </w:r>
      <w:r>
        <w:rPr>
          <w:rStyle w:val="Funotenzeichen"/>
        </w:rPr>
        <w:footnoteReference w:id="32"/>
      </w:r>
      <w:r>
        <w:t xml:space="preserve"> </w:t>
      </w:r>
      <w:r>
        <w:t xml:space="preserve">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X29592220de5c9185f2b682c0ce7513d52858c49"/>
      <w:r>
        <w:t xml:space="preserve">Research Question 2: Moderation by Author Advised/In House protocol</w:t>
      </w:r>
      <w:bookmarkEnd w:id="34"/>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5"/>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 despite the fact that they were unambiguously more variable in their procedural implementation.</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5">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2019-10-01T07:12:10Z</dcterms:created>
  <dcterms:modified xsi:type="dcterms:W3CDTF">2019-10-01T07:12:10Z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