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E3A8A"/>
          <w:sz w:val="40"/>
        </w:rPr>
        <w:t>SIMATS ENGINEERING</w:t>
      </w:r>
    </w:p>
    <w:p>
      <w:pPr>
        <w:spacing w:after="80"/>
        <w:jc w:val="center"/>
      </w:pPr>
      <w:r>
        <w:rPr>
          <w:rFonts w:ascii="Calibri" w:hAnsi="Calibri"/>
          <w:b/>
          <w:color w:val="1F2937"/>
          <w:sz w:val="26"/>
        </w:rPr>
        <w:t>Department of Computer Science and Engineering</w:t>
        <w:br/>
        <w:t>CSA15 Cloud Computing and Big Data Analytics</w:t>
      </w:r>
    </w:p>
    <w:p>
      <w:pPr>
        <w:spacing w:after="240"/>
        <w:jc w:val="center"/>
      </w:pPr>
      <w:r>
        <w:rPr>
          <w:rFonts w:ascii="Calibri" w:hAnsi="Calibri"/>
          <w:b/>
          <w:color w:val="1E3A8A"/>
          <w:sz w:val="28"/>
        </w:rPr>
        <w:t>CO2 AT3 - Capstone Cloud Infrastructure Case Analysis and Defense</w:t>
      </w:r>
      <w:r>
        <w:rPr>
          <w:rFonts w:ascii="Calibri" w:hAnsi="Calibri"/>
          <w:i/>
          <w:color w:val="6B7280"/>
          <w:sz w:val="20"/>
        </w:rPr>
        <w:br/>
        <w:t>Editable student template for application-based cloud virtualization and SDDC/cloud operations defense</w:t>
      </w:r>
    </w:p>
    <w:p>
      <w:pPr>
        <w:keepNext/>
        <w:spacing w:before="200" w:after="60"/>
      </w:pPr>
      <w:r>
        <w:rPr>
          <w:rFonts w:ascii="Calibri" w:hAnsi="Calibri"/>
          <w:b/>
          <w:color w:val="1E3A8A"/>
          <w:sz w:val="24"/>
        </w:rPr>
        <w:t>Assessment Metadata</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Course Code</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CSA15</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Course Title</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Cloud Computing and Big Data Analytics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Assessment</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CO2 AT3 - Capstone Cloud Infrastructure Case Analysis and Defense</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Submission Type</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Individual digital case analysis and infrastructure defense based on the same capstone title used in CO1, CO2 AT1 and CO2 AT2</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Faculty</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Dr C. Rajesh Babu</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Employee ID</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SSETSCS415</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9"/>
              </w:rPr>
              <w:t>Submission Mode</w:t>
            </w:r>
          </w:p>
        </w:tc>
        <w:tc>
          <w:tcPr>
            <w:tcW w:type="dxa" w:w="6912"/>
            <w:tcMar>
              <w:top w:w="100" w:type="dxa"/>
              <w:bottom w:w="100" w:type="dxa"/>
              <w:left w:w="140" w:type="dxa"/>
              <w:right w:w="140" w:type="dxa"/>
            </w:tcMar>
          </w:tcPr>
          <w:p>
            <w:pPr>
              <w:spacing w:after="0" w:before="0"/>
              <w:jc w:val="left"/>
            </w:pPr>
            <w:r>
              <w:rPr>
                <w:rFonts w:ascii="Calibri" w:hAnsi="Calibri"/>
                <w:color w:val="1F2937"/>
                <w:sz w:val="19"/>
              </w:rPr>
              <w:t>Completed DOCX template and GitHub repository link through Google Classroom</w:t>
            </w:r>
          </w:p>
        </w:tc>
      </w:tr>
    </w:tbl>
    <w:p>
      <w:pPr>
        <w:spacing w:after="80"/>
      </w:pPr>
    </w:p>
    <w:p>
      <w:pPr>
        <w:keepNext/>
        <w:spacing w:before="200" w:after="60"/>
      </w:pPr>
      <w:r>
        <w:rPr>
          <w:rFonts w:ascii="Calibri" w:hAnsi="Calibri"/>
          <w:b/>
          <w:color w:val="1E3A8A"/>
          <w:sz w:val="24"/>
        </w:rPr>
        <w:t>How This Template Works</w:t>
      </w:r>
    </w:p>
    <w:p>
      <w:pPr>
        <w:pStyle w:val="ListBullet"/>
        <w:spacing w:after="40" w:before="0"/>
      </w:pPr>
      <w:r>
        <w:rPr>
          <w:rFonts w:ascii="Calibri" w:hAnsi="Calibri"/>
          <w:color w:val="1F2937"/>
          <w:sz w:val="19"/>
        </w:rPr>
        <w:t>Use the same capstone title used in CO1, CO2 AT1 and CO2 AT2.</w:t>
      </w:r>
    </w:p>
    <w:p>
      <w:pPr>
        <w:pStyle w:val="ListBullet"/>
        <w:spacing w:after="40" w:before="0"/>
      </w:pPr>
      <w:r>
        <w:rPr>
          <w:rFonts w:ascii="Calibri" w:hAnsi="Calibri"/>
          <w:color w:val="1F2937"/>
          <w:sz w:val="19"/>
        </w:rPr>
        <w:t>Do not recalculate all VM sizing or repeat all configuration screenshots. Summarize the final AT1/AT2 evidence and use it for design defense.</w:t>
      </w:r>
    </w:p>
    <w:p>
      <w:pPr>
        <w:pStyle w:val="ListBullet"/>
        <w:spacing w:after="40" w:before="0"/>
      </w:pPr>
      <w:r>
        <w:rPr>
          <w:rFonts w:ascii="Calibri" w:hAnsi="Calibri"/>
          <w:color w:val="1F2937"/>
          <w:sz w:val="19"/>
        </w:rPr>
        <w:t>Answer all five questions with application-oriented reasoning connected to the capstone product.</w:t>
      </w:r>
    </w:p>
    <w:p>
      <w:pPr>
        <w:pStyle w:val="ListBullet"/>
        <w:spacing w:after="40" w:before="0"/>
      </w:pPr>
      <w:r>
        <w:rPr>
          <w:rFonts w:ascii="Calibri" w:hAnsi="Calibri"/>
          <w:color w:val="1F2937"/>
          <w:sz w:val="19"/>
        </w:rPr>
        <w:t>Include sustainable cloud operation decisions wherever relevant: right-sized resources, log retention, storage lifecycle, scheduled shutdown, API-call reduction and VM/container/serverless comparison.</w:t>
      </w:r>
    </w:p>
    <w:p>
      <w:pPr>
        <w:pStyle w:val="ListBullet"/>
        <w:spacing w:after="40" w:before="0"/>
      </w:pPr>
      <w:r>
        <w:rPr>
          <w:rFonts w:ascii="Calibri" w:hAnsi="Calibri"/>
          <w:color w:val="1F2937"/>
          <w:sz w:val="19"/>
        </w:rPr>
        <w:t>Paste the final topology diagram in the given response area. The sample diagram is only a structure; redraw it for the student's own product.</w:t>
      </w:r>
    </w:p>
    <w:p>
      <w:pPr>
        <w:pStyle w:val="ListBullet"/>
        <w:spacing w:after="40" w:before="0"/>
      </w:pPr>
      <w:r>
        <w:rPr>
          <w:rFonts w:ascii="Calibri" w:hAnsi="Calibri"/>
          <w:color w:val="1F2937"/>
          <w:sz w:val="19"/>
        </w:rPr>
        <w:t>Upload this completed document and supporting evidence to GitHub, then submit the repository link through Google Classroom.</w:t>
      </w:r>
    </w:p>
    <w:tbl>
      <w:tblPr>
        <w:tblW w:type="auto" w:w="0"/>
        <w:jc w:val="center"/>
        <w:tblLayout w:type="fixed"/>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left w:val="single" w:sz="24" w:space="0" w:color="1E3A8A"/>
              <w:top w:val="none"/>
              <w:right w:val="none"/>
              <w:bottom w:val="none"/>
            </w:tcBorders>
          </w:tcPr>
          <w:p>
            <w:pPr>
              <w:spacing w:after="40"/>
            </w:pPr>
            <w:r>
              <w:rPr>
                <w:rFonts w:ascii="Calibri" w:hAnsi="Calibri"/>
                <w:b/>
                <w:color w:val="1E3A8A"/>
                <w:sz w:val="21"/>
              </w:rPr>
              <w:t>Assessment Focus</w:t>
            </w:r>
          </w:p>
          <w:p>
            <w:pPr>
              <w:spacing w:after="0"/>
            </w:pPr>
            <w:r>
              <w:rPr>
                <w:rFonts w:ascii="Calibri" w:hAnsi="Calibri"/>
                <w:color w:val="1F2937"/>
                <w:sz w:val="19"/>
              </w:rPr>
              <w:t>AT1 answered what VM is required. AT2 showed configuration or simulation evidence. AT3 asks whether the student can defend the complete infrastructure design under application, security, operations and failure conditions.</w:t>
            </w:r>
          </w:p>
        </w:tc>
      </w:tr>
    </w:tbl>
    <w:p>
      <w:pPr>
        <w:spacing w:after="80"/>
      </w:pPr>
    </w:p>
    <w:p>
      <w:pPr>
        <w:keepNext/>
        <w:spacing w:before="280" w:after="80"/>
      </w:pPr>
      <w:r>
        <w:rPr>
          <w:rFonts w:ascii="Calibri" w:hAnsi="Calibri"/>
          <w:b/>
          <w:color w:val="1E3A8A"/>
          <w:sz w:val="28"/>
        </w:rPr>
        <w:t>Student and Capstone Details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Student Name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Jagadeesh A</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Register Number</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192521294</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Class / Slot</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Slot B</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Capstone Title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CrowdCare - Cloud Event Safety Platform With Density Estimation and Incident Routing</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CO1 Evidence Link</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Not specified in CO2 AT1</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CO2 AT1 VM Recommendation</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vCPU: 4–8 vCPU (Split API &amp; AI) | RAM: 16 GB API / 32 GB AI | Storage: 50 GB SSD (VM) + 150 GB (Object Storage) | VM Class: Compute &amp; Memory-Optimized (3-Tier Architecture)</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CO2 AT2 Evidence Link</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Not specified in CO2 AT1</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GitHub Repository Link</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Not specified in CO2 AT1</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Submission Date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12/08/2026</w:t>
            </w:r>
          </w:p>
        </w:tc>
      </w:tr>
      <w:tr>
        <w:tc>
          <w:tcPr>
            <w:tcW w:type="dxa" w:w="5040"/>
          </w:tcPr>
          <w:p/>
        </w:tc>
        <w:tc>
          <w:tcPr>
            <w:tcW w:type="dxa" w:w="5040"/>
          </w:tcPr>
          <w:p/>
        </w:tc>
      </w:tr>
    </w:tbl>
    <w:p>
      <w:pPr>
        <w:spacing w:after="120"/>
      </w:pPr>
    </w:p>
    <w:p>
      <w:pPr>
        <w:keepNext/>
        <w:spacing w:before="280" w:after="80"/>
      </w:pPr>
      <w:r>
        <w:rPr>
          <w:rFonts w:ascii="Calibri" w:hAnsi="Calibri"/>
          <w:b/>
          <w:color w:val="1E3A8A"/>
          <w:sz w:val="28"/>
        </w:rPr>
        <w:t>Evidence Carry-Forward Summary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360"/>
        <w:gridCol w:w="3360"/>
        <w:gridCol w:w="3360"/>
      </w:tblGrid>
      <w:tr>
        <w:tc>
          <w:tcPr>
            <w:tcW w:type="dxa" w:w="3168"/>
            <w:shd w:fill="1E3A8A"/>
            <w:tcMar>
              <w:top w:w="140" w:type="dxa"/>
              <w:bottom w:w="140" w:type="dxa"/>
              <w:left w:w="160" w:type="dxa"/>
              <w:right w:w="160" w:type="dxa"/>
            </w:tcMar>
          </w:tcPr>
          <w:p>
            <w:pPr>
              <w:spacing w:after="0" w:before="0"/>
              <w:jc w:val="left"/>
            </w:pPr>
            <w:r>
              <w:rPr>
                <w:rFonts w:ascii="Calibri" w:hAnsi="Calibri"/>
                <w:b/>
                <w:color w:val="FFFFFF"/>
                <w:sz w:val="20"/>
              </w:rPr>
              <w:t>Evidence Source</w:t>
            </w:r>
          </w:p>
        </w:tc>
        <w:tc>
          <w:tcPr>
            <w:tcW w:type="dxa" w:w="3456"/>
            <w:shd w:fill="1E3A8A"/>
            <w:tcMar>
              <w:top w:w="140" w:type="dxa"/>
              <w:bottom w:w="140" w:type="dxa"/>
              <w:left w:w="160" w:type="dxa"/>
              <w:right w:w="160" w:type="dxa"/>
            </w:tcMar>
          </w:tcPr>
          <w:p>
            <w:pPr>
              <w:spacing w:after="0" w:before="0"/>
              <w:jc w:val="left"/>
            </w:pPr>
            <w:r>
              <w:rPr>
                <w:rFonts w:ascii="Calibri" w:hAnsi="Calibri"/>
                <w:b/>
                <w:color w:val="FFFFFF"/>
                <w:sz w:val="20"/>
              </w:rPr>
              <w:t>Student Entry</w:t>
            </w:r>
          </w:p>
        </w:tc>
        <w:tc>
          <w:tcPr>
            <w:tcW w:type="dxa" w:w="3456"/>
            <w:shd w:fill="1E3A8A"/>
            <w:tcMar>
              <w:top w:w="140" w:type="dxa"/>
              <w:bottom w:w="140" w:type="dxa"/>
              <w:left w:w="160" w:type="dxa"/>
              <w:right w:w="160" w:type="dxa"/>
            </w:tcMar>
          </w:tcPr>
          <w:p>
            <w:pPr>
              <w:spacing w:after="0" w:before="0"/>
              <w:jc w:val="left"/>
            </w:pPr>
            <w:r>
              <w:rPr>
                <w:rFonts w:ascii="Calibri" w:hAnsi="Calibri"/>
                <w:b/>
                <w:color w:val="FFFFFF"/>
                <w:sz w:val="20"/>
              </w:rPr>
              <w:t>How It Supports AT3 Defense</w:t>
            </w:r>
          </w:p>
        </w:tc>
      </w:tr>
      <w:tr>
        <w:tc>
          <w:tcPr>
            <w:tcW w:type="dxa" w:w="3168"/>
            <w:tcMar>
              <w:top w:w="100" w:type="dxa"/>
              <w:bottom w:w="100" w:type="dxa"/>
              <w:left w:w="140" w:type="dxa"/>
              <w:right w:w="140" w:type="dxa"/>
            </w:tcMar>
          </w:tcPr>
          <w:p>
            <w:pPr>
              <w:spacing w:after="0" w:before="0"/>
              <w:jc w:val="left"/>
            </w:pPr>
            <w:r>
              <w:rPr>
                <w:rFonts w:ascii="Calibri" w:hAnsi="Calibri"/>
                <w:color w:val="1F2937"/>
                <w:sz w:val="18"/>
              </w:rPr>
              <w:t>CO1 concept map / presentation</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CrowdCare initial 3-tier architecture concept map (Compute VM, Managed Relational DB, Object Storage, Event Queue/Pub-Sub, Push Notification Engine, AI Python Density Service).</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Establishes modular SOA baseline, functional separation, and core system boundaries between backend API, AI analytics, and incident routing.</w:t>
            </w:r>
          </w:p>
        </w:tc>
      </w:tr>
      <w:tr>
        <w:tc>
          <w:tcPr>
            <w:tcW w:type="dxa" w:w="3168"/>
            <w:shd w:fill="F9FAFB"/>
            <w:tcMar>
              <w:top w:w="100" w:type="dxa"/>
              <w:bottom w:w="100" w:type="dxa"/>
              <w:left w:w="140" w:type="dxa"/>
              <w:right w:w="140" w:type="dxa"/>
            </w:tcMar>
          </w:tcPr>
          <w:p>
            <w:pPr>
              <w:spacing w:after="0" w:before="0"/>
              <w:jc w:val="left"/>
            </w:pPr>
            <w:r>
              <w:rPr>
                <w:rFonts w:ascii="Calibri" w:hAnsi="Calibri"/>
                <w:color w:val="1F2937"/>
                <w:sz w:val="18"/>
              </w:rPr>
              <w:t>CO2 AT1 sizing workbook</w:t>
            </w:r>
          </w:p>
        </w:tc>
        <w:tc>
          <w:tcPr>
            <w:tcW w:type="dxa" w:w="3456"/>
            <w:shd w:fill="F9FAFB"/>
            <w:tcMar>
              <w:top w:w="100" w:type="dxa"/>
              <w:bottom w:w="100" w:type="dxa"/>
              <w:left w:w="140" w:type="dxa"/>
              <w:right w:w="140" w:type="dxa"/>
            </w:tcMar>
          </w:tcPr>
          <w:p>
            <w:pPr>
              <w:spacing w:after="0" w:before="0"/>
              <w:jc w:val="left"/>
            </w:pPr>
            <w:r>
              <w:rPr>
                <w:rFonts w:ascii="Calibri" w:hAnsi="Calibri"/>
                <w:color w:val="1F2937"/>
                <w:sz w:val="18"/>
              </w:rPr>
              <w:t>Workload calibration (2,000 registered users, 30% active, peak factor 2 = 1,200 concurrent users, 2,400 RPM / 40 RPS peak; CPU Score 8; RAM 16GB API + 32GB AI; Storage 50GB SSD + 150GB Object Storage).</w:t>
            </w:r>
          </w:p>
        </w:tc>
        <w:tc>
          <w:tcPr>
            <w:tcW w:type="dxa" w:w="3456"/>
            <w:shd w:fill="F9FAFB"/>
            <w:tcMar>
              <w:top w:w="100" w:type="dxa"/>
              <w:bottom w:w="100" w:type="dxa"/>
              <w:left w:w="140" w:type="dxa"/>
              <w:right w:w="140" w:type="dxa"/>
            </w:tcMar>
          </w:tcPr>
          <w:p>
            <w:pPr>
              <w:spacing w:after="0" w:before="0"/>
              <w:jc w:val="left"/>
            </w:pPr>
            <w:r>
              <w:rPr>
                <w:rFonts w:ascii="Calibri" w:hAnsi="Calibri"/>
                <w:color w:val="1F2937"/>
                <w:sz w:val="18"/>
              </w:rPr>
              <w:t>Provides empirical quantitative sizing basis for right-sizing vCPU, RAM, and storage tiers to prevent server over-provisioning and idle resource waste.</w:t>
            </w:r>
          </w:p>
        </w:tc>
      </w:tr>
      <w:tr>
        <w:tc>
          <w:tcPr>
            <w:tcW w:type="dxa" w:w="3168"/>
            <w:tcMar>
              <w:top w:w="100" w:type="dxa"/>
              <w:bottom w:w="100" w:type="dxa"/>
              <w:left w:w="140" w:type="dxa"/>
              <w:right w:w="140" w:type="dxa"/>
            </w:tcMar>
          </w:tcPr>
          <w:p>
            <w:pPr>
              <w:spacing w:after="0" w:before="0"/>
              <w:jc w:val="left"/>
            </w:pPr>
            <w:r>
              <w:rPr>
                <w:rFonts w:ascii="Calibri" w:hAnsi="Calibri"/>
                <w:color w:val="1F2937"/>
                <w:sz w:val="18"/>
              </w:rPr>
              <w:t>VM calibration sheet</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CPU driver scoring calculation (Score 8 out of 10) recommending 4–8 vCPU for API backend and separating the compute-heavy AI density estimation module.</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Defends tier separation (API backend vs. AI density engine) under peak workload drivers, proving the need for independent service scaling.</w:t>
            </w:r>
          </w:p>
        </w:tc>
      </w:tr>
      <w:tr>
        <w:tc>
          <w:tcPr>
            <w:tcW w:type="dxa" w:w="3168"/>
            <w:shd w:fill="F9FAFB"/>
            <w:tcMar>
              <w:top w:w="100" w:type="dxa"/>
              <w:bottom w:w="100" w:type="dxa"/>
              <w:left w:w="140" w:type="dxa"/>
              <w:right w:w="140" w:type="dxa"/>
            </w:tcMar>
          </w:tcPr>
          <w:p>
            <w:pPr>
              <w:spacing w:after="0" w:before="0"/>
              <w:jc w:val="left"/>
            </w:pPr>
            <w:r>
              <w:rPr>
                <w:rFonts w:ascii="Calibri" w:hAnsi="Calibri"/>
                <w:color w:val="1F2937"/>
                <w:sz w:val="18"/>
              </w:rPr>
              <w:t>CO2 AT2 practical evidence</w:t>
            </w:r>
          </w:p>
        </w:tc>
        <w:tc>
          <w:tcPr>
            <w:tcW w:type="dxa" w:w="3456"/>
            <w:shd w:fill="F9FAFB"/>
            <w:tcMar>
              <w:top w:w="100" w:type="dxa"/>
              <w:bottom w:w="100" w:type="dxa"/>
              <w:left w:w="140" w:type="dxa"/>
              <w:right w:w="140" w:type="dxa"/>
            </w:tcMar>
          </w:tcPr>
          <w:p>
            <w:pPr>
              <w:spacing w:after="0" w:before="0"/>
              <w:jc w:val="left"/>
            </w:pPr>
            <w:r>
              <w:rPr>
                <w:rFonts w:ascii="Calibri" w:hAnsi="Calibri"/>
                <w:color w:val="1F2937"/>
                <w:sz w:val="18"/>
              </w:rPr>
              <w:t>Not specified in CO2 AT1</w:t>
            </w:r>
          </w:p>
        </w:tc>
        <w:tc>
          <w:tcPr>
            <w:tcW w:type="dxa" w:w="3456"/>
            <w:shd w:fill="F9FAFB"/>
            <w:tcMar>
              <w:top w:w="100" w:type="dxa"/>
              <w:bottom w:w="100" w:type="dxa"/>
              <w:left w:w="140" w:type="dxa"/>
              <w:right w:w="140" w:type="dxa"/>
            </w:tcMar>
          </w:tcPr>
          <w:p>
            <w:pPr>
              <w:spacing w:after="0" w:before="0"/>
              <w:jc w:val="left"/>
            </w:pPr>
            <w:r>
              <w:rPr>
                <w:rFonts w:ascii="Calibri" w:hAnsi="Calibri"/>
                <w:color w:val="1F2937"/>
                <w:sz w:val="18"/>
              </w:rPr>
              <w:t>Supplies practical VM/container provisioning configuration and deployment verification baselines.</w:t>
            </w:r>
          </w:p>
        </w:tc>
      </w:tr>
      <w:tr>
        <w:tc>
          <w:tcPr>
            <w:tcW w:type="dxa" w:w="3168"/>
            <w:tcMar>
              <w:top w:w="100" w:type="dxa"/>
              <w:bottom w:w="100" w:type="dxa"/>
              <w:left w:w="140" w:type="dxa"/>
              <w:right w:w="140" w:type="dxa"/>
            </w:tcMar>
          </w:tcPr>
          <w:p>
            <w:pPr>
              <w:spacing w:after="0" w:before="0"/>
              <w:jc w:val="left"/>
            </w:pPr>
            <w:r>
              <w:rPr>
                <w:rFonts w:ascii="Calibri" w:hAnsi="Calibri"/>
                <w:color w:val="1F2937"/>
                <w:sz w:val="18"/>
              </w:rPr>
              <w:t>Capstone architecture decision</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Three-tier containerized microservice design with managed PostgreSQL database (RDS) and S3-compatible managed object storage.</w:t>
            </w:r>
          </w:p>
        </w:tc>
        <w:tc>
          <w:tcPr>
            <w:tcW w:type="dxa" w:w="3456"/>
            <w:tcMar>
              <w:top w:w="100" w:type="dxa"/>
              <w:bottom w:w="100" w:type="dxa"/>
              <w:left w:w="140" w:type="dxa"/>
              <w:right w:w="140" w:type="dxa"/>
            </w:tcMar>
          </w:tcPr>
          <w:p>
            <w:pPr>
              <w:spacing w:after="0" w:before="0"/>
              <w:jc w:val="left"/>
            </w:pPr>
            <w:r>
              <w:rPr>
                <w:rFonts w:ascii="Calibri" w:hAnsi="Calibri"/>
                <w:color w:val="1F2937"/>
                <w:sz w:val="18"/>
              </w:rPr>
              <w:t>Justifies containerization vs VM tradeoffs, stateless API scaling, offloading database/storage reliability to cloud providers, and operational failover readiness.</w:t>
            </w:r>
          </w:p>
        </w:tc>
      </w:tr>
    </w:tbl>
    <w:p>
      <w:pPr>
        <w:spacing w:after="120"/>
      </w:pPr>
    </w:p>
    <w:p>
      <w:pPr>
        <w:keepNext/>
        <w:spacing w:before="280" w:after="80"/>
      </w:pPr>
      <w:r>
        <w:rPr>
          <w:rFonts w:ascii="Calibri" w:hAnsi="Calibri"/>
          <w:b/>
          <w:color w:val="1E3A8A"/>
          <w:sz w:val="28"/>
        </w:rPr>
        <w:t>Q1: Virtualization Value and Capstone Cloud Deployment Summary</w:t>
      </w:r>
    </w:p>
    <w:p>
      <w:pPr>
        <w:spacing w:after="80"/>
      </w:pPr>
      <w:r>
        <w:rPr>
          <w:rFonts w:ascii="Calibri" w:hAnsi="Calibri"/>
          <w:i/>
          <w:color w:val="6B7280"/>
          <w:sz w:val="19"/>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168"/>
            <w:shd w:fill="1E3A8A"/>
            <w:tcMar>
              <w:top w:w="140" w:type="dxa"/>
              <w:bottom w:w="140" w:type="dxa"/>
              <w:left w:w="160" w:type="dxa"/>
              <w:right w:w="160" w:type="dxa"/>
            </w:tcMar>
          </w:tcPr>
          <w:p>
            <w:pPr>
              <w:spacing w:after="0" w:before="0"/>
              <w:jc w:val="left"/>
            </w:pPr>
            <w:r>
              <w:rPr>
                <w:rFonts w:ascii="Calibri" w:hAnsi="Calibri"/>
                <w:b/>
                <w:color w:val="FFFFFF"/>
                <w:sz w:val="20"/>
              </w:rPr>
              <w:t>Design Point</w:t>
            </w:r>
          </w:p>
        </w:tc>
        <w:tc>
          <w:tcPr>
            <w:tcW w:type="dxa" w:w="6912"/>
            <w:shd w:fill="1E3A8A"/>
            <w:tcMar>
              <w:top w:w="140" w:type="dxa"/>
              <w:bottom w:w="140" w:type="dxa"/>
              <w:left w:w="160" w:type="dxa"/>
              <w:right w:w="160" w:type="dxa"/>
            </w:tcMar>
          </w:tcPr>
          <w:p>
            <w:pPr>
              <w:spacing w:after="0" w:before="0"/>
              <w:jc w:val="left"/>
            </w:pPr>
            <w:r>
              <w:rPr>
                <w:rFonts w:ascii="Calibri" w:hAnsi="Calibri"/>
                <w:b/>
                <w:color w:val="FFFFFF"/>
                <w:sz w:val="20"/>
              </w:rPr>
              <w:t>Student Response</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Capstone product and users</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CrowdCare is a cloud event safety platform for live events. It estimates crowd density from camera feeds and routes safety incidents to the nearest available responder. Primary users: Event organizers/admins, Safety officers, Marshals/on-ground staff, Attendees, and Emergency responders/medical teams.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Expected workload</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Mixed workload dominated by AI/Python computer vision processing. Registered users: 2,000; Active user percentage: 30%; Peak factor: 2; Concurrent active users: 1,200; Actions per user per min: 2; Requests per min: 2,400 RPM; Peak requests per sec: 40 RPS; DAU: 600; Daily requests: 15,000. Heavy media throughput for camera snapshots, short video clips, and incident photos.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Cloud need</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Dynamic crowd traffic during live events requires elastic compute scaling, durable object storage (~150 GB), high-memory compute (32 GB RAM for AI model inference), and managed relational database reliability without maintaining physical server hardware.</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Virtualization value</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Enables rapid provisioning of isolated environments (VMs/containers) on shared physical hardware, facilitating local prototyping via Type 2 hypervisors (VirtualBox/VMware), cloud pilots, and autoscaled production on Type 1 hypervisors.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Cost and utilization benefit</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Maximizes hardware density by multiplexing CPU/RAM resources across workloads. Prevents paying for idle peak capacity during non-event days by right-sizing VMs and shutting down dev/test instances when idle.</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Isolation and flexibility benefit</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Decouples the compute-heavy AI density estimation service (32 GB RAM) from the API backend (16 GB RAM), ensuring that intense CV inference spikes do not starve authentication or incident routing APIs.</w:t>
            </w:r>
          </w:p>
        </w:tc>
      </w:tr>
    </w:tbl>
    <w:p>
      <w:pPr>
        <w:spacing w:after="80"/>
      </w:pPr>
    </w:p>
    <w:p>
      <w:pPr>
        <w:keepNext/>
        <w:spacing w:before="160" w:after="40"/>
      </w:pPr>
      <w:r>
        <w:rPr>
          <w:rFonts w:ascii="Calibri" w:hAnsi="Calibri"/>
          <w:b/>
          <w:color w:val="1E3A8A"/>
          <w:sz w:val="21"/>
        </w:rPr>
        <w:t>Case Analysis Response: Write 8-12 technical lines connecting virtualization value to your capstone product.</w:t>
      </w:r>
    </w:p>
    <w:tbl>
      <w:tblPr>
        <w:tblW w:type="auto" w:w="0"/>
        <w:jc w:val="center"/>
        <w:tblLayout w:type="fixed"/>
        <w:tblLook w:firstColumn="1" w:firstRow="1" w:lastColumn="0" w:lastRow="0" w:noHBand="0" w:noVBand="1" w:val="04A0"/>
      </w:tblPr>
      <w:tblGrid>
        <w:gridCol w:w="10080"/>
      </w:tblGrid>
      <w:tr>
        <w:tc>
          <w:tcPr>
            <w:tcW w:type="dxa" w:w="10080"/>
            <w:shd w:fill="FAFAFA"/>
            <w:tcMar>
              <w:top w:w="120" w:type="dxa"/>
              <w:bottom w:w="120" w:type="dxa"/>
              <w:left w:w="160" w:type="dxa"/>
              <w:right w:w="160" w:type="dxa"/>
            </w:tcMar>
            <w:tcBorders>
              <w:left w:val="single" w:sz="18" w:space="0" w:color="1E3A8A"/>
              <w:top w:val="single" w:sz="4" w:space="0" w:color="E5E7EB"/>
              <w:right w:val="single" w:sz="4" w:space="0" w:color="E5E7EB"/>
              <w:bottom w:val="single" w:sz="4" w:space="0" w:color="E5E7EB"/>
            </w:tcBorders>
          </w:tcPr>
          <w:p>
            <w:pPr>
              <w:spacing w:after="0"/>
            </w:pPr>
            <w:r>
              <w:rPr>
                <w:rFonts w:ascii="Calibri" w:hAnsi="Calibri"/>
                <w:color w:val="1F2937"/>
                <w:sz w:val="19"/>
              </w:rPr>
              <w:t>CrowdCare relies on virtualization and containerization to achieve high resource utilization and operational isolation across its three-tier architecture. During live events, crowd camera ingestion and computer vision model inference drive unpredictable CPU/RAM utilization peaks. Virtualization allows the compute-heavy AI density estimation engine (requiring 32 GB RAM) to execute in isolated container environments separate from the core REST/WebSocket API backend (4 vCPU, 16 GB RAM). By virtualizing services, CrowdCare eliminates resource contention, ensuring that heavy computer vision processing never starves incident creation or emergency responder routing APIs. Furthermore, virtualization provides deployment flexibility across environments: developer laptops use Type 2 hypervisors (VirtualBox/VMware) for offline testing, while production deployments leverage cloud provider Type 1 hypervisors with automated elastic scaling. Sizing workloads empirically based on AT1 traffic calibration (40 RPS peak, 1,200 concurrent users) ensures right-sized allocation, avoiding expensive over-provisioning during non-event idle periods. Overall, virtualization guarantees high availability, rapid environment reproduction, modular security boundaries, and sustainable cloud resource management for live event safety.</w:t>
            </w:r>
          </w:p>
        </w:tc>
      </w:tr>
    </w:tbl>
    <w:p>
      <w:pPr>
        <w:spacing w:after="120"/>
      </w:pPr>
    </w:p>
    <w:p>
      <w:pPr>
        <w:keepNext/>
        <w:spacing w:before="280" w:after="80"/>
      </w:pPr>
      <w:r>
        <w:rPr>
          <w:rFonts w:ascii="Calibri" w:hAnsi="Calibri"/>
          <w:b/>
          <w:color w:val="1E3A8A"/>
          <w:sz w:val="28"/>
        </w:rPr>
        <w:t>Q2: Rapid Provisioning, Testing and Virtual Machine Lifecycle Case</w:t>
      </w:r>
    </w:p>
    <w:p>
      <w:pPr>
        <w:spacing w:after="80"/>
      </w:pPr>
      <w:r>
        <w:rPr>
          <w:rFonts w:ascii="Calibri" w:hAnsi="Calibri"/>
          <w:i/>
          <w:color w:val="6B7280"/>
          <w:sz w:val="19"/>
        </w:rPr>
        <w:t>Using your CO2 AT1 VM recommendation and CO2 AT2 practical evidence, explain how virtual machines, VM images, templates, snapshots, clones or containers support rapid provisioning, testing, deployment, rollback and maintenance for your capstone product.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360"/>
        <w:gridCol w:w="3360"/>
        <w:gridCol w:w="3360"/>
      </w:tblGrid>
      <w:tr>
        <w:tc>
          <w:tcPr>
            <w:tcW w:type="dxa" w:w="2880"/>
            <w:shd w:fill="1E3A8A"/>
            <w:tcMar>
              <w:top w:w="140" w:type="dxa"/>
              <w:bottom w:w="140" w:type="dxa"/>
              <w:left w:w="160" w:type="dxa"/>
              <w:right w:w="160" w:type="dxa"/>
            </w:tcMar>
          </w:tcPr>
          <w:p>
            <w:pPr>
              <w:spacing w:after="0" w:before="0"/>
              <w:jc w:val="left"/>
            </w:pPr>
            <w:r>
              <w:rPr>
                <w:rFonts w:ascii="Calibri" w:hAnsi="Calibri"/>
                <w:b/>
                <w:color w:val="FFFFFF"/>
                <w:sz w:val="20"/>
              </w:rPr>
              <w:t>Lifecycle Element</w:t>
            </w:r>
          </w:p>
        </w:tc>
        <w:tc>
          <w:tcPr>
            <w:tcW w:type="dxa" w:w="3600"/>
            <w:shd w:fill="1E3A8A"/>
            <w:tcMar>
              <w:top w:w="140" w:type="dxa"/>
              <w:bottom w:w="140" w:type="dxa"/>
              <w:left w:w="160" w:type="dxa"/>
              <w:right w:w="160" w:type="dxa"/>
            </w:tcMar>
          </w:tcPr>
          <w:p>
            <w:pPr>
              <w:spacing w:after="0" w:before="0"/>
              <w:jc w:val="left"/>
            </w:pPr>
            <w:r>
              <w:rPr>
                <w:rFonts w:ascii="Calibri" w:hAnsi="Calibri"/>
                <w:b/>
                <w:color w:val="FFFFFF"/>
                <w:sz w:val="20"/>
              </w:rPr>
              <w:t>AT1/AT2 Evidence Used</w:t>
            </w:r>
          </w:p>
        </w:tc>
        <w:tc>
          <w:tcPr>
            <w:tcW w:type="dxa" w:w="3600"/>
            <w:shd w:fill="1E3A8A"/>
            <w:tcMar>
              <w:top w:w="140" w:type="dxa"/>
              <w:bottom w:w="140" w:type="dxa"/>
              <w:left w:w="160" w:type="dxa"/>
              <w:right w:w="160" w:type="dxa"/>
            </w:tcMar>
          </w:tcPr>
          <w:p>
            <w:pPr>
              <w:spacing w:after="0" w:before="0"/>
              <w:jc w:val="left"/>
            </w:pPr>
            <w:r>
              <w:rPr>
                <w:rFonts w:ascii="Calibri" w:hAnsi="Calibri"/>
                <w:b/>
                <w:color w:val="FFFFFF"/>
                <w:sz w:val="20"/>
              </w:rPr>
              <w:t>Capstone Use / Justification</w:t>
            </w:r>
          </w:p>
        </w:tc>
      </w:tr>
      <w:tr>
        <w:tc>
          <w:tcPr>
            <w:tcW w:type="dxa" w:w="2880"/>
            <w:tcMar>
              <w:top w:w="100" w:type="dxa"/>
              <w:bottom w:w="100" w:type="dxa"/>
              <w:left w:w="140" w:type="dxa"/>
              <w:right w:w="140" w:type="dxa"/>
            </w:tcMar>
          </w:tcPr>
          <w:p>
            <w:pPr>
              <w:spacing w:after="0" w:before="0"/>
              <w:jc w:val="left"/>
            </w:pPr>
            <w:r>
              <w:rPr>
                <w:rFonts w:ascii="Calibri" w:hAnsi="Calibri"/>
                <w:color w:val="1F2937"/>
                <w:sz w:val="18"/>
              </w:rPr>
              <w:t>VM image or base environment</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Standardized Ubuntu Linux OS base image configured with Python 3.x, OpenCV, PostgreSQL client, and Docker runtime.</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Ensures identical OS-level dependencies, environment variables, and security libraries across local VirtualBox dev setups and cloud pilot environments.</w:t>
            </w:r>
          </w:p>
        </w:tc>
      </w:tr>
      <w:tr>
        <w:tc>
          <w:tcPr>
            <w:tcW w:type="dxa" w:w="2880"/>
            <w:shd w:fill="F9FAFB"/>
            <w:tcMar>
              <w:top w:w="100" w:type="dxa"/>
              <w:bottom w:w="100" w:type="dxa"/>
              <w:left w:w="140" w:type="dxa"/>
              <w:right w:w="140" w:type="dxa"/>
            </w:tcMar>
          </w:tcPr>
          <w:p>
            <w:pPr>
              <w:spacing w:after="0" w:before="0"/>
              <w:jc w:val="left"/>
            </w:pPr>
            <w:r>
              <w:rPr>
                <w:rFonts w:ascii="Calibri" w:hAnsi="Calibri"/>
                <w:color w:val="1F2937"/>
                <w:sz w:val="18"/>
              </w:rPr>
              <w:t>Template or repeatable setup</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Docker Compose / Infrastructure-as-Code (IaC) templates defining container microservices and network ports.</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Enables automated, 1-click deployment of the API Backend, AI Inference Service, Analytics Engine, and Queue Workers without configuration drift.</w:t>
            </w:r>
          </w:p>
        </w:tc>
      </w:tr>
      <w:tr>
        <w:tc>
          <w:tcPr>
            <w:tcW w:type="dxa" w:w="2880"/>
            <w:tcMar>
              <w:top w:w="100" w:type="dxa"/>
              <w:bottom w:w="100" w:type="dxa"/>
              <w:left w:w="140" w:type="dxa"/>
              <w:right w:w="140" w:type="dxa"/>
            </w:tcMar>
          </w:tcPr>
          <w:p>
            <w:pPr>
              <w:spacing w:after="0" w:before="0"/>
              <w:jc w:val="left"/>
            </w:pPr>
            <w:r>
              <w:rPr>
                <w:rFonts w:ascii="Calibri" w:hAnsi="Calibri"/>
                <w:color w:val="1F2937"/>
                <w:sz w:val="18"/>
              </w:rPr>
              <w:t>Snapshot / rollback</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Snapshot Strategy from AT1: Taken before major API/model releases (keep 2), before DB schema changes (7-day retention), before OS updates (3-5 day retention), and before review demos.</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Guarantees rapid rollback to a known-stable state if a new deployment, database migration, or OS package update causes runtime errors during event monitoring.</w:t>
            </w:r>
          </w:p>
        </w:tc>
      </w:tr>
      <w:tr>
        <w:tc>
          <w:tcPr>
            <w:tcW w:type="dxa" w:w="2880"/>
            <w:shd w:fill="F9FAFB"/>
            <w:tcMar>
              <w:top w:w="100" w:type="dxa"/>
              <w:bottom w:w="100" w:type="dxa"/>
              <w:left w:w="140" w:type="dxa"/>
              <w:right w:w="140" w:type="dxa"/>
            </w:tcMar>
          </w:tcPr>
          <w:p>
            <w:pPr>
              <w:spacing w:after="0" w:before="0"/>
              <w:jc w:val="left"/>
            </w:pPr>
            <w:r>
              <w:rPr>
                <w:rFonts w:ascii="Calibri" w:hAnsi="Calibri"/>
                <w:color w:val="1F2937"/>
                <w:sz w:val="18"/>
              </w:rPr>
              <w:t>Clone / testing copy</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Clone Strategy from AT1: Temporary clones created for testing incident-routing logic or review demos; deleted/refreshed after use; never used as primary backup.</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Provides isolated sandbox environments pre-loaded with synthetic crowd density and incident data for safe algorithm validation without risk to live production.</w:t>
            </w:r>
          </w:p>
        </w:tc>
      </w:tr>
      <w:tr>
        <w:tc>
          <w:tcPr>
            <w:tcW w:type="dxa" w:w="2880"/>
            <w:tcMar>
              <w:top w:w="100" w:type="dxa"/>
              <w:bottom w:w="100" w:type="dxa"/>
              <w:left w:w="140" w:type="dxa"/>
              <w:right w:w="140" w:type="dxa"/>
            </w:tcMar>
          </w:tcPr>
          <w:p>
            <w:pPr>
              <w:spacing w:after="0" w:before="0"/>
              <w:jc w:val="left"/>
            </w:pPr>
            <w:r>
              <w:rPr>
                <w:rFonts w:ascii="Calibri" w:hAnsi="Calibri"/>
                <w:color w:val="1F2937"/>
                <w:sz w:val="18"/>
              </w:rPr>
              <w:t>Container or VM decision</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Containerization for Frontend, Backend/API, AI Python module, Analytics, and Notifications; Managed Cloud Services for Database and Object Storage.</w:t>
            </w:r>
          </w:p>
        </w:tc>
        <w:tc>
          <w:tcPr>
            <w:tcW w:type="dxa" w:w="3600"/>
            <w:tcMar>
              <w:top w:w="100" w:type="dxa"/>
              <w:bottom w:w="100" w:type="dxa"/>
              <w:left w:w="140" w:type="dxa"/>
              <w:right w:w="140" w:type="dxa"/>
            </w:tcMar>
          </w:tcPr>
          <w:p>
            <w:pPr>
              <w:spacing w:after="0" w:before="0"/>
              <w:jc w:val="left"/>
            </w:pPr>
            <w:r>
              <w:rPr>
                <w:rFonts w:ascii="Calibri" w:hAnsi="Calibri"/>
                <w:color w:val="1F2937"/>
                <w:sz w:val="18"/>
              </w:rPr>
              <w:t>Containers offer sub-second startup, low memory footprint, and microservice portability; managed services offload database replication, backup, and storage durability.</w:t>
            </w:r>
          </w:p>
        </w:tc>
      </w:tr>
      <w:tr>
        <w:tc>
          <w:tcPr>
            <w:tcW w:type="dxa" w:w="2880"/>
            <w:shd w:fill="F9FAFB"/>
            <w:tcMar>
              <w:top w:w="100" w:type="dxa"/>
              <w:bottom w:w="100" w:type="dxa"/>
              <w:left w:w="140" w:type="dxa"/>
              <w:right w:w="140" w:type="dxa"/>
            </w:tcMar>
          </w:tcPr>
          <w:p>
            <w:pPr>
              <w:spacing w:after="0" w:before="0"/>
              <w:jc w:val="left"/>
            </w:pPr>
            <w:r>
              <w:rPr>
                <w:rFonts w:ascii="Calibri" w:hAnsi="Calibri"/>
                <w:color w:val="1F2937"/>
                <w:sz w:val="18"/>
              </w:rPr>
              <w:t>Maintenance and update plan</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Scheduled maintenance windows with pre-patch VM snapshots retained for 3-5 days post-verification.</w:t>
            </w:r>
          </w:p>
        </w:tc>
        <w:tc>
          <w:tcPr>
            <w:tcW w:type="dxa" w:w="3600"/>
            <w:shd w:fill="F9FAFB"/>
            <w:tcMar>
              <w:top w:w="100" w:type="dxa"/>
              <w:bottom w:w="100" w:type="dxa"/>
              <w:left w:w="140" w:type="dxa"/>
              <w:right w:w="140" w:type="dxa"/>
            </w:tcMar>
          </w:tcPr>
          <w:p>
            <w:pPr>
              <w:spacing w:after="0" w:before="0"/>
              <w:jc w:val="left"/>
            </w:pPr>
            <w:r>
              <w:rPr>
                <w:rFonts w:ascii="Calibri" w:hAnsi="Calibri"/>
                <w:color w:val="1F2937"/>
                <w:sz w:val="18"/>
              </w:rPr>
              <w:t>Protects against zero-day vulnerabilities and OS bugs through rolling container updates and fallbacks, ensuring zero event safety downtime.</w:t>
            </w:r>
          </w:p>
        </w:tc>
      </w:tr>
    </w:tbl>
    <w:p>
      <w:pPr>
        <w:spacing w:after="80"/>
      </w:pPr>
    </w:p>
    <w:p>
      <w:pPr>
        <w:keepNext/>
        <w:spacing w:before="160" w:after="40"/>
      </w:pPr>
      <w:r>
        <w:rPr>
          <w:rFonts w:ascii="Calibri" w:hAnsi="Calibri"/>
          <w:b/>
          <w:color w:val="1E3A8A"/>
          <w:sz w:val="21"/>
        </w:rPr>
        <w:t>Case Analysis Response: Explain how lifecycle practices reduce deployment delay and risk.</w:t>
      </w:r>
    </w:p>
    <w:tbl>
      <w:tblPr>
        <w:tblW w:type="auto" w:w="0"/>
        <w:jc w:val="center"/>
        <w:tblLayout w:type="fixed"/>
        <w:tblLook w:firstColumn="1" w:firstRow="1" w:lastColumn="0" w:lastRow="0" w:noHBand="0" w:noVBand="1" w:val="04A0"/>
      </w:tblPr>
      <w:tblGrid>
        <w:gridCol w:w="10080"/>
      </w:tblGrid>
      <w:tr>
        <w:tc>
          <w:tcPr>
            <w:tcW w:type="dxa" w:w="10080"/>
            <w:shd w:fill="FAFAFA"/>
            <w:tcMar>
              <w:top w:w="120" w:type="dxa"/>
              <w:bottom w:w="120" w:type="dxa"/>
              <w:left w:w="160" w:type="dxa"/>
              <w:right w:w="160" w:type="dxa"/>
            </w:tcMar>
            <w:tcBorders>
              <w:left w:val="single" w:sz="18" w:space="0" w:color="1E3A8A"/>
              <w:top w:val="single" w:sz="4" w:space="0" w:color="E5E7EB"/>
              <w:right w:val="single" w:sz="4" w:space="0" w:color="E5E7EB"/>
              <w:bottom w:val="single" w:sz="4" w:space="0" w:color="E5E7EB"/>
            </w:tcBorders>
          </w:tcPr>
          <w:p>
            <w:pPr>
              <w:spacing w:after="0"/>
            </w:pPr>
            <w:r>
              <w:rPr>
                <w:rFonts w:ascii="Calibri" w:hAnsi="Calibri"/>
                <w:color w:val="1F2937"/>
                <w:sz w:val="19"/>
              </w:rPr>
              <w:t>Virtual machine and container lifecycle practices form the backbone of CrowdCare's rapid provisioning, deployment safety, and maintenance workflows. By leveraging standardized VM base images and container templates, development and operations teams can instantiate complete multi-tier event monitoring environments in minutes. The snapshot and clone strategies defined in CO2 AT1 significantly reduce operational risk: VM snapshots taken immediately before major API releases, database schema migrations, and package updates provide an instant safety net, allowing full environment rollback within seconds if system instability arises. Isolated testing clones enable developers to validate complex incident routing algorithms against realistic crowd data without corrupting production state. Furthermore, containerizing application services (Frontend, API, AI Module, Analytics, Notifications) while delegating database and file storage to cloud managed services drastically accelerates CI/CD pipelines, minimizes resource overhead, and streamlines software maintenance.</w:t>
            </w:r>
          </w:p>
        </w:tc>
      </w:tr>
    </w:tbl>
    <w:p>
      <w:pPr>
        <w:spacing w:after="120"/>
      </w:pPr>
    </w:p>
    <w:p>
      <w:pPr>
        <w:keepNext/>
        <w:spacing w:before="280" w:after="80"/>
      </w:pPr>
      <w:r>
        <w:rPr>
          <w:rFonts w:ascii="Calibri" w:hAnsi="Calibri"/>
          <w:b/>
          <w:color w:val="1E3A8A"/>
          <w:sz w:val="28"/>
        </w:rPr>
        <w:t>Q3: Final Cloud Deployment Topology and SOA/API Service Integration Case</w:t>
      </w:r>
    </w:p>
    <w:p>
      <w:pPr>
        <w:spacing w:after="80"/>
      </w:pPr>
      <w:r>
        <w:rPr>
          <w:rFonts w:ascii="Calibri" w:hAnsi="Calibri"/>
          <w:i/>
          <w:color w:val="6B7280"/>
          <w:sz w:val="19"/>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tbl>
      <w:tblPr>
        <w:tblW w:type="auto" w:w="0"/>
        <w:jc w:val="center"/>
        <w:tblLayout w:type="fixed"/>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left w:val="single" w:sz="24" w:space="0" w:color="1E3A8A"/>
              <w:top w:val="none"/>
              <w:right w:val="none"/>
              <w:bottom w:val="none"/>
            </w:tcBorders>
          </w:tcPr>
          <w:p>
            <w:pPr>
              <w:spacing w:after="40"/>
            </w:pPr>
            <w:r>
              <w:rPr>
                <w:rFonts w:ascii="Calibri" w:hAnsi="Calibri"/>
                <w:b/>
                <w:color w:val="1E3A8A"/>
                <w:sz w:val="21"/>
              </w:rPr>
              <w:t>AT3 Evidence Focus</w:t>
            </w:r>
          </w:p>
          <w:p>
            <w:pPr>
              <w:spacing w:after="0"/>
            </w:pPr>
            <w:r>
              <w:rPr>
                <w:rFonts w:ascii="Calibri" w:hAnsi="Calibri"/>
                <w:color w:val="1F2937"/>
                <w:sz w:val="19"/>
              </w:rPr>
              <w:t>Final topology + deployment alternatives + failure response + SDDC/cloud operations + green cloud defense.</w:t>
            </w:r>
          </w:p>
        </w:tc>
      </w:tr>
    </w:tbl>
    <w:p>
      <w:pPr>
        <w:spacing w:after="8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20"/>
        <w:gridCol w:w="2520"/>
        <w:gridCol w:w="2520"/>
        <w:gridCol w:w="2520"/>
      </w:tblGrid>
      <w:tr>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Architecture Component</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Technology / Service</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VM / Container / Managed Service / SaaS</w:t>
            </w:r>
          </w:p>
        </w:tc>
        <w:tc>
          <w:tcPr>
            <w:tcW w:type="dxa" w:w="2304"/>
            <w:shd w:fill="1E3A8A"/>
            <w:tcMar>
              <w:top w:w="140" w:type="dxa"/>
              <w:bottom w:w="140" w:type="dxa"/>
              <w:left w:w="160" w:type="dxa"/>
              <w:right w:w="160" w:type="dxa"/>
            </w:tcMar>
          </w:tcPr>
          <w:p>
            <w:pPr>
              <w:spacing w:after="0" w:before="0"/>
              <w:jc w:val="left"/>
            </w:pPr>
            <w:r>
              <w:rPr>
                <w:rFonts w:ascii="Calibri" w:hAnsi="Calibri"/>
                <w:b/>
                <w:color w:val="FFFFFF"/>
                <w:sz w:val="20"/>
              </w:rPr>
              <w:t>Integration Method</w:t>
            </w:r>
          </w:p>
        </w:tc>
      </w:tr>
      <w:tr>
        <w:tc>
          <w:tcPr>
            <w:tcW w:type="dxa" w:w="2592"/>
            <w:tcMar>
              <w:top w:w="100" w:type="dxa"/>
              <w:bottom w:w="100" w:type="dxa"/>
              <w:left w:w="140" w:type="dxa"/>
              <w:right w:w="140" w:type="dxa"/>
            </w:tcMar>
          </w:tcPr>
          <w:p>
            <w:pPr>
              <w:spacing w:after="0" w:before="0"/>
              <w:jc w:val="left"/>
            </w:pPr>
            <w:r>
              <w:rPr>
                <w:rFonts w:ascii="Calibri" w:hAnsi="Calibri"/>
                <w:color w:val="1F2937"/>
                <w:sz w:val="18"/>
              </w:rPr>
              <w:t>Frontend</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React / Web Dashboard UI</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Container</w:t>
            </w:r>
          </w:p>
        </w:tc>
        <w:tc>
          <w:tcPr>
            <w:tcW w:type="dxa" w:w="2304"/>
            <w:tcMar>
              <w:top w:w="100" w:type="dxa"/>
              <w:bottom w:w="100" w:type="dxa"/>
              <w:left w:w="140" w:type="dxa"/>
              <w:right w:w="140" w:type="dxa"/>
            </w:tcMar>
          </w:tcPr>
          <w:p>
            <w:pPr>
              <w:spacing w:after="0" w:before="0"/>
              <w:jc w:val="left"/>
            </w:pPr>
            <w:r>
              <w:rPr>
                <w:rFonts w:ascii="Calibri" w:hAnsi="Calibri"/>
                <w:color w:val="1F2937"/>
                <w:sz w:val="18"/>
              </w:rPr>
              <w:t>HTTPS / REST &amp; WebSockets</w:t>
            </w:r>
          </w:p>
        </w:tc>
      </w:tr>
      <w:tr>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Backend/API</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Node.js / Python REST API Core</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Container (4 vCPU, 16 GB RAM, 50 GB SSD)</w:t>
            </w:r>
          </w:p>
        </w:tc>
        <w:tc>
          <w:tcPr>
            <w:tcW w:type="dxa" w:w="2304"/>
            <w:shd w:fill="F9FAFB"/>
            <w:tcMar>
              <w:top w:w="100" w:type="dxa"/>
              <w:bottom w:w="100" w:type="dxa"/>
              <w:left w:w="140" w:type="dxa"/>
              <w:right w:w="140" w:type="dxa"/>
            </w:tcMar>
          </w:tcPr>
          <w:p>
            <w:pPr>
              <w:spacing w:after="0" w:before="0"/>
              <w:jc w:val="left"/>
            </w:pPr>
            <w:r>
              <w:rPr>
                <w:rFonts w:ascii="Calibri" w:hAnsi="Calibri"/>
                <w:color w:val="1F2937"/>
                <w:sz w:val="18"/>
              </w:rPr>
              <w:t>REST API (JSON) &amp; WebSocket Server</w:t>
            </w:r>
          </w:p>
        </w:tc>
      </w:tr>
      <w:tr>
        <w:tc>
          <w:tcPr>
            <w:tcW w:type="dxa" w:w="2592"/>
            <w:tcMar>
              <w:top w:w="100" w:type="dxa"/>
              <w:bottom w:w="100" w:type="dxa"/>
              <w:left w:w="140" w:type="dxa"/>
              <w:right w:w="140" w:type="dxa"/>
            </w:tcMar>
          </w:tcPr>
          <w:p>
            <w:pPr>
              <w:spacing w:after="0" w:before="0"/>
              <w:jc w:val="left"/>
            </w:pPr>
            <w:r>
              <w:rPr>
                <w:rFonts w:ascii="Calibri" w:hAnsi="Calibri"/>
                <w:color w:val="1F2937"/>
                <w:sz w:val="18"/>
              </w:rPr>
              <w:t>Database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PostgreSQL Relational DB</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Managed Service (AWS RDS)</w:t>
            </w:r>
          </w:p>
        </w:tc>
        <w:tc>
          <w:tcPr>
            <w:tcW w:type="dxa" w:w="2304"/>
            <w:tcMar>
              <w:top w:w="100" w:type="dxa"/>
              <w:bottom w:w="100" w:type="dxa"/>
              <w:left w:w="140" w:type="dxa"/>
              <w:right w:w="140" w:type="dxa"/>
            </w:tcMar>
          </w:tcPr>
          <w:p>
            <w:pPr>
              <w:spacing w:after="0" w:before="0"/>
              <w:jc w:val="left"/>
            </w:pPr>
            <w:r>
              <w:rPr>
                <w:rFonts w:ascii="Calibri" w:hAnsi="Calibri"/>
                <w:color w:val="1F2937"/>
                <w:sz w:val="18"/>
              </w:rPr>
              <w:t>Port 5432 / Encrypted TLS Connection</w:t>
            </w:r>
          </w:p>
        </w:tc>
      </w:tr>
      <w:tr>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Storage</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Managed Object Storage</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Managed Service (S3 - ~150 GB)</w:t>
            </w:r>
          </w:p>
        </w:tc>
        <w:tc>
          <w:tcPr>
            <w:tcW w:type="dxa" w:w="2304"/>
            <w:shd w:fill="F9FAFB"/>
            <w:tcMar>
              <w:top w:w="100" w:type="dxa"/>
              <w:bottom w:w="100" w:type="dxa"/>
              <w:left w:w="140" w:type="dxa"/>
              <w:right w:w="140" w:type="dxa"/>
            </w:tcMar>
          </w:tcPr>
          <w:p>
            <w:pPr>
              <w:spacing w:after="0" w:before="0"/>
              <w:jc w:val="left"/>
            </w:pPr>
            <w:r>
              <w:rPr>
                <w:rFonts w:ascii="Calibri" w:hAnsi="Calibri"/>
                <w:color w:val="1F2937"/>
                <w:sz w:val="18"/>
              </w:rPr>
              <w:t>S3 API / Signed Upload URLs</w:t>
            </w:r>
          </w:p>
        </w:tc>
      </w:tr>
      <w:tr>
        <w:tc>
          <w:tcPr>
            <w:tcW w:type="dxa" w:w="2592"/>
            <w:tcMar>
              <w:top w:w="100" w:type="dxa"/>
              <w:bottom w:w="100" w:type="dxa"/>
              <w:left w:w="140" w:type="dxa"/>
              <w:right w:w="140" w:type="dxa"/>
            </w:tcMar>
          </w:tcPr>
          <w:p>
            <w:pPr>
              <w:spacing w:after="0" w:before="0"/>
              <w:jc w:val="left"/>
            </w:pPr>
            <w:r>
              <w:rPr>
                <w:rFonts w:ascii="Calibri" w:hAnsi="Calibri"/>
                <w:color w:val="1F2937"/>
                <w:sz w:val="18"/>
              </w:rPr>
              <w:t>Authentication</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Auth Module (JWT &amp; RBAC)</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Container (Integrated in API)</w:t>
            </w:r>
          </w:p>
        </w:tc>
        <w:tc>
          <w:tcPr>
            <w:tcW w:type="dxa" w:w="2304"/>
            <w:tcMar>
              <w:top w:w="100" w:type="dxa"/>
              <w:bottom w:w="100" w:type="dxa"/>
              <w:left w:w="140" w:type="dxa"/>
              <w:right w:w="140" w:type="dxa"/>
            </w:tcMar>
          </w:tcPr>
          <w:p>
            <w:pPr>
              <w:spacing w:after="0" w:before="0"/>
              <w:jc w:val="left"/>
            </w:pPr>
            <w:r>
              <w:rPr>
                <w:rFonts w:ascii="Calibri" w:hAnsi="Calibri"/>
                <w:color w:val="1F2937"/>
                <w:sz w:val="18"/>
              </w:rPr>
              <w:t>Bearer Token / HTTP Header</w:t>
            </w:r>
          </w:p>
        </w:tc>
      </w:tr>
      <w:tr>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Notification</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Push / SMS Notification Engine</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Container (Queue Worker)</w:t>
            </w:r>
          </w:p>
        </w:tc>
        <w:tc>
          <w:tcPr>
            <w:tcW w:type="dxa" w:w="2304"/>
            <w:shd w:fill="F9FAFB"/>
            <w:tcMar>
              <w:top w:w="100" w:type="dxa"/>
              <w:bottom w:w="100" w:type="dxa"/>
              <w:left w:w="140" w:type="dxa"/>
              <w:right w:w="140" w:type="dxa"/>
            </w:tcMar>
          </w:tcPr>
          <w:p>
            <w:pPr>
              <w:spacing w:after="0" w:before="0"/>
              <w:jc w:val="left"/>
            </w:pPr>
            <w:r>
              <w:rPr>
                <w:rFonts w:ascii="Calibri" w:hAnsi="Calibri"/>
                <w:color w:val="1F2937"/>
                <w:sz w:val="18"/>
              </w:rPr>
              <w:t>AMQP Queue &amp; External SMS APIs</w:t>
            </w:r>
          </w:p>
        </w:tc>
      </w:tr>
      <w:tr>
        <w:tc>
          <w:tcPr>
            <w:tcW w:type="dxa" w:w="2592"/>
            <w:tcMar>
              <w:top w:w="100" w:type="dxa"/>
              <w:bottom w:w="100" w:type="dxa"/>
              <w:left w:w="140" w:type="dxa"/>
              <w:right w:w="140" w:type="dxa"/>
            </w:tcMar>
          </w:tcPr>
          <w:p>
            <w:pPr>
              <w:spacing w:after="0" w:before="0"/>
              <w:jc w:val="left"/>
            </w:pPr>
            <w:r>
              <w:rPr>
                <w:rFonts w:ascii="Calibri" w:hAnsi="Calibri"/>
                <w:color w:val="1F2937"/>
                <w:sz w:val="18"/>
              </w:rPr>
              <w:t>Analytics / AI module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Python OpenCV CV Density Engine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Container (4-8 vCPU, 32 GB RAM, GPU Optional)</w:t>
            </w:r>
          </w:p>
        </w:tc>
        <w:tc>
          <w:tcPr>
            <w:tcW w:type="dxa" w:w="2304"/>
            <w:tcMar>
              <w:top w:w="100" w:type="dxa"/>
              <w:bottom w:w="100" w:type="dxa"/>
              <w:left w:w="140" w:type="dxa"/>
              <w:right w:w="140" w:type="dxa"/>
            </w:tcMar>
          </w:tcPr>
          <w:p>
            <w:pPr>
              <w:spacing w:after="0" w:before="0"/>
              <w:jc w:val="left"/>
            </w:pPr>
            <w:r>
              <w:rPr>
                <w:rFonts w:ascii="Calibri" w:hAnsi="Calibri"/>
                <w:color w:val="1F2937"/>
                <w:sz w:val="18"/>
              </w:rPr>
              <w:t>Async Message Queue / gRPC</w:t>
            </w:r>
          </w:p>
        </w:tc>
      </w:tr>
    </w:tbl>
    <w:p>
      <w:pPr>
        <w:spacing w:after="120"/>
      </w:pPr>
    </w:p>
    <w:p>
      <w:pPr>
        <w:spacing w:before="120" w:after="40"/>
      </w:pPr>
      <w:r>
        <w:rPr>
          <w:rFonts w:ascii="Calibri" w:hAnsi="Calibri"/>
          <w:b/>
          <w:color w:val="1E3A8A"/>
          <w:sz w:val="21"/>
        </w:rPr>
        <w:t>Paste or draw the final capstone deployment topology diagram here.</w:t>
      </w:r>
    </w:p>
    <w:p>
      <w:pPr>
        <w:spacing w:after="120"/>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crowdcare_topology.png"/>
                    <pic:cNvPicPr/>
                  </pic:nvPicPr>
                  <pic:blipFill>
                    <a:blip r:embed="rId11"/>
                    <a:stretch>
                      <a:fillRect/>
                    </a:stretch>
                  </pic:blipFill>
                  <pic:spPr>
                    <a:xfrm>
                      <a:off x="0" y="0"/>
                      <a:ext cx="6217920" cy="3627120"/>
                    </a:xfrm>
                    <a:prstGeom prst="rect"/>
                  </pic:spPr>
                </pic:pic>
              </a:graphicData>
            </a:graphic>
          </wp:inline>
        </w:drawing>
      </w:r>
    </w:p>
    <w:p>
      <w:pPr>
        <w:keepNext/>
        <w:spacing w:before="160" w:after="40"/>
      </w:pPr>
      <w:r>
        <w:rPr>
          <w:rFonts w:ascii="Calibri" w:hAnsi="Calibri"/>
          <w:b/>
          <w:color w:val="1E3A8A"/>
          <w:sz w:val="21"/>
        </w:rPr>
        <w:t>SOA/API Integration Explanation: Explain how services communicate and why modular service design is useful.</w:t>
      </w:r>
    </w:p>
    <w:tbl>
      <w:tblPr>
        <w:tblW w:type="auto" w:w="0"/>
        <w:jc w:val="center"/>
        <w:tblLayout w:type="fixed"/>
        <w:tblLook w:firstColumn="1" w:firstRow="1" w:lastColumn="0" w:lastRow="0" w:noHBand="0" w:noVBand="1" w:val="04A0"/>
      </w:tblPr>
      <w:tblGrid>
        <w:gridCol w:w="10080"/>
      </w:tblGrid>
      <w:tr>
        <w:tc>
          <w:tcPr>
            <w:tcW w:type="dxa" w:w="10080"/>
            <w:shd w:fill="FAFAFA"/>
            <w:tcMar>
              <w:top w:w="120" w:type="dxa"/>
              <w:bottom w:w="120" w:type="dxa"/>
              <w:left w:w="160" w:type="dxa"/>
              <w:right w:w="160" w:type="dxa"/>
            </w:tcMar>
            <w:tcBorders>
              <w:left w:val="single" w:sz="18" w:space="0" w:color="1E3A8A"/>
              <w:top w:val="single" w:sz="4" w:space="0" w:color="E5E7EB"/>
              <w:right w:val="single" w:sz="4" w:space="0" w:color="E5E7EB"/>
              <w:bottom w:val="single" w:sz="4" w:space="0" w:color="E5E7EB"/>
            </w:tcBorders>
          </w:tcPr>
          <w:p>
            <w:pPr>
              <w:spacing w:after="0"/>
            </w:pPr>
            <w:r>
              <w:rPr>
                <w:rFonts w:ascii="Calibri" w:hAnsi="Calibri"/>
                <w:color w:val="1F2937"/>
                <w:sz w:val="19"/>
              </w:rPr>
              <w:t>CrowdCare adopts a Service-Oriented Architecture (SOA) where decoupled, containerized microservices communicate over standardized APIs and asynchronous message queues. The REST API Backend serves as the central hub, exposing endpoints for user authentication, venue/zone management, incident CRUD operations, and responder routing. Real-time crowd density heatmaps and incident alerts are pushed to client dashboards (organizers, safety officers, marshals) via bidirectional WebSockets, eliminating inefficient HTTP polling. The AI Density Estimation module operates independently, receiving camera frame snapshots from managed object storage or streaming feeds via gRPC/queues, processing frame density using Python/OpenCV (32 GB RAM allocation), and publishing calculated density metrics back to the API/Analytics services. Decoupling services through SOA prevents cascading failures: an unexpected queue backlog in push notifications or an AI inference compute spike will not impair core incident creation APIs or database integrity. This modular cloud service design enables independent scaling, technology flexibility, and seamless component updates.</w:t>
            </w:r>
          </w:p>
        </w:tc>
      </w:tr>
    </w:tbl>
    <w:p>
      <w:pPr>
        <w:spacing w:after="120"/>
      </w:pPr>
    </w:p>
    <w:p>
      <w:pPr>
        <w:keepNext/>
        <w:spacing w:before="280" w:after="80"/>
      </w:pPr>
      <w:r>
        <w:rPr>
          <w:rFonts w:ascii="Calibri" w:hAnsi="Calibri"/>
          <w:b/>
          <w:color w:val="1E3A8A"/>
          <w:sz w:val="28"/>
        </w:rPr>
        <w:t>Q4: Design Alternatives, Identity, Access and Federated Cloud Privacy Case</w:t>
      </w:r>
    </w:p>
    <w:p>
      <w:pPr>
        <w:spacing w:after="80"/>
      </w:pPr>
      <w:r>
        <w:rPr>
          <w:rFonts w:ascii="Calibri" w:hAnsi="Calibri"/>
          <w:i/>
          <w:color w:val="6B7280"/>
          <w:sz w:val="19"/>
        </w:rP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20"/>
        <w:gridCol w:w="2520"/>
        <w:gridCol w:w="2520"/>
        <w:gridCol w:w="2520"/>
      </w:tblGrid>
      <w:tr>
        <w:tc>
          <w:tcPr>
            <w:tcW w:type="dxa" w:w="2304"/>
            <w:shd w:fill="1E3A8A"/>
            <w:tcMar>
              <w:top w:w="140" w:type="dxa"/>
              <w:bottom w:w="140" w:type="dxa"/>
              <w:left w:w="160" w:type="dxa"/>
              <w:right w:w="160" w:type="dxa"/>
            </w:tcMar>
          </w:tcPr>
          <w:p>
            <w:pPr>
              <w:spacing w:after="0" w:before="0"/>
              <w:jc w:val="left"/>
            </w:pPr>
            <w:r>
              <w:rPr>
                <w:rFonts w:ascii="Calibri" w:hAnsi="Calibri"/>
                <w:b/>
                <w:color w:val="FFFFFF"/>
                <w:sz w:val="20"/>
              </w:rPr>
              <w:t>Deployment Alternative</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Advantages</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Limitations / Risks</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Identity and Privacy Impact</w:t>
            </w:r>
          </w:p>
        </w:tc>
      </w:tr>
      <w:tr>
        <w:tc>
          <w:tcPr>
            <w:tcW w:type="dxa" w:w="2304"/>
            <w:tcMar>
              <w:top w:w="100" w:type="dxa"/>
              <w:bottom w:w="100" w:type="dxa"/>
              <w:left w:w="140" w:type="dxa"/>
              <w:right w:w="140" w:type="dxa"/>
            </w:tcMar>
          </w:tcPr>
          <w:p>
            <w:pPr>
              <w:spacing w:after="0" w:before="0"/>
              <w:jc w:val="left"/>
            </w:pPr>
            <w:r>
              <w:rPr>
                <w:rFonts w:ascii="Calibri" w:hAnsi="Calibri"/>
                <w:color w:val="1F2937"/>
                <w:sz w:val="18"/>
              </w:rPr>
              <w:t>Alternative 1: Single Monolithic VM</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Low initial setup complexity, simple single-server deployment.</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Single point of failure; AI density processing (32 GB RAM) causes CPU/memory starvation on API backend; hard to scale during major live events.</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Co-located database and media files heighten blast radius if VM is compromised; access control is coarse-grained at OS level.</w:t>
            </w:r>
          </w:p>
        </w:tc>
      </w:tr>
      <w:tr>
        <w:tc>
          <w:tcPr>
            <w:tcW w:type="dxa" w:w="2304"/>
            <w:shd w:fill="F9FAFB"/>
            <w:tcMar>
              <w:top w:w="100" w:type="dxa"/>
              <w:bottom w:w="100" w:type="dxa"/>
              <w:left w:w="140" w:type="dxa"/>
              <w:right w:w="140" w:type="dxa"/>
            </w:tcMar>
          </w:tcPr>
          <w:p>
            <w:pPr>
              <w:spacing w:after="0" w:before="0"/>
              <w:jc w:val="left"/>
            </w:pPr>
            <w:r>
              <w:rPr>
                <w:rFonts w:ascii="Calibri" w:hAnsi="Calibri"/>
                <w:color w:val="1F2937"/>
                <w:sz w:val="18"/>
              </w:rPr>
              <w:t>Alternative 2: Multi-tier VMs (Without Containers)</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Better isolation than monolithic VM; dedicated compute for AI inference and API tiers.</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Higher idle cost; slower provisioning time compared to containers; complex VM patch management across multiple instances.</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Network segmentation via Security Groups improves access boundary, but OS-level identity management across VMs adds overhead.</w:t>
            </w:r>
          </w:p>
        </w:tc>
      </w:tr>
      <w:tr>
        <w:tc>
          <w:tcPr>
            <w:tcW w:type="dxa" w:w="2304"/>
            <w:tcMar>
              <w:top w:w="100" w:type="dxa"/>
              <w:bottom w:w="100" w:type="dxa"/>
              <w:left w:w="140" w:type="dxa"/>
              <w:right w:w="140" w:type="dxa"/>
            </w:tcMar>
          </w:tcPr>
          <w:p>
            <w:pPr>
              <w:spacing w:after="0" w:before="0"/>
              <w:jc w:val="left"/>
            </w:pPr>
            <w:r>
              <w:rPr>
                <w:rFonts w:ascii="Calibri" w:hAnsi="Calibri"/>
                <w:color w:val="1F2937"/>
                <w:sz w:val="18"/>
              </w:rPr>
              <w:t>Selected design: 3-Tier Containerized Microservices + Managed Cloud Services</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Independent microservice scaling; optimal resource utilization (16GB API / 32GB AI); offloads DB/Storage reliability to cloud provider; handles 40 RPS peak traffic.</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Requires container orchestration management and cloud cost tracking.</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Enforces strict RBAC, ephemeral container execution, isolated storage buckets with encrypted media (snapshots/clips), and minimal privacy exposure.</w:t>
            </w:r>
          </w:p>
        </w:tc>
      </w:tr>
    </w:tbl>
    <w:p>
      <w:pPr>
        <w:spacing w:after="12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168"/>
            <w:shd w:fill="1E3A8A"/>
            <w:tcMar>
              <w:top w:w="140" w:type="dxa"/>
              <w:bottom w:w="140" w:type="dxa"/>
              <w:left w:w="160" w:type="dxa"/>
              <w:right w:w="160" w:type="dxa"/>
            </w:tcMar>
          </w:tcPr>
          <w:p>
            <w:pPr>
              <w:spacing w:after="0" w:before="0"/>
              <w:jc w:val="left"/>
            </w:pPr>
            <w:r>
              <w:rPr>
                <w:rFonts w:ascii="Calibri" w:hAnsi="Calibri"/>
                <w:b/>
                <w:color w:val="FFFFFF"/>
                <w:sz w:val="20"/>
              </w:rPr>
              <w:t>Security Area</w:t>
            </w:r>
          </w:p>
        </w:tc>
        <w:tc>
          <w:tcPr>
            <w:tcW w:type="dxa" w:w="6912"/>
            <w:shd w:fill="1E3A8A"/>
            <w:tcMar>
              <w:top w:w="140" w:type="dxa"/>
              <w:bottom w:w="140" w:type="dxa"/>
              <w:left w:w="160" w:type="dxa"/>
              <w:right w:w="160" w:type="dxa"/>
            </w:tcMar>
          </w:tcPr>
          <w:p>
            <w:pPr>
              <w:spacing w:after="0" w:before="0"/>
              <w:jc w:val="left"/>
            </w:pPr>
            <w:r>
              <w:rPr>
                <w:rFonts w:ascii="Calibri" w:hAnsi="Calibri"/>
                <w:b/>
                <w:color w:val="FFFFFF"/>
                <w:sz w:val="20"/>
              </w:rPr>
              <w:t>Student Decision</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User roles</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5 defined roles: Event Admins, Safety Officers, Marshals/Ground Staff, Attendees, Emergency Responders/Medical Teams.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Authentication method</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Token-based OAuth2 / JWT authentication over TLS/HTTPS with short-lived access tokens and refresh tokens.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Role-based access control</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Strict RBAC enforced at API Gateway level; Marshals view assigned zone incidents; Admins control venue settings; Attendees submit incident reports; Medical teams receive routed emergencies.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Federated access / partner access</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Not specified in CO2 AT1 (Optional SAML/OpenID Connect for external medical/police agency integration).</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Sensitive data handled</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Attendee location density readings, camera snapshots, short video clips, incident logs, responder contact details.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Privacy protection decision</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Facial blurring on camera feeds prior to object storage; automated 30-day lifecycle expiration for raw media; HTTPS transmission encryption and AES-256 storage encryption.</w:t>
            </w:r>
          </w:p>
        </w:tc>
      </w:tr>
    </w:tbl>
    <w:p>
      <w:pPr>
        <w:spacing w:after="80"/>
      </w:pPr>
    </w:p>
    <w:p>
      <w:pPr>
        <w:keepNext/>
        <w:spacing w:before="160" w:after="40"/>
      </w:pPr>
      <w:r>
        <w:rPr>
          <w:rFonts w:ascii="Calibri" w:hAnsi="Calibri"/>
          <w:b/>
          <w:color w:val="1E3A8A"/>
          <w:sz w:val="21"/>
        </w:rPr>
        <w:t>Case Analysis Response: Defend why the selected design is better for identity, access and privacy.</w:t>
      </w:r>
    </w:p>
    <w:tbl>
      <w:tblPr>
        <w:tblW w:type="auto" w:w="0"/>
        <w:jc w:val="center"/>
        <w:tblLayout w:type="fixed"/>
        <w:tblLook w:firstColumn="1" w:firstRow="1" w:lastColumn="0" w:lastRow="0" w:noHBand="0" w:noVBand="1" w:val="04A0"/>
      </w:tblPr>
      <w:tblGrid>
        <w:gridCol w:w="10080"/>
      </w:tblGrid>
      <w:tr>
        <w:tc>
          <w:tcPr>
            <w:tcW w:type="dxa" w:w="10080"/>
            <w:shd w:fill="FAFAFA"/>
            <w:tcMar>
              <w:top w:w="120" w:type="dxa"/>
              <w:bottom w:w="120" w:type="dxa"/>
              <w:left w:w="160" w:type="dxa"/>
              <w:right w:w="160" w:type="dxa"/>
            </w:tcMar>
            <w:tcBorders>
              <w:left w:val="single" w:sz="18" w:space="0" w:color="1E3A8A"/>
              <w:top w:val="single" w:sz="4" w:space="0" w:color="E5E7EB"/>
              <w:right w:val="single" w:sz="4" w:space="0" w:color="E5E7EB"/>
              <w:bottom w:val="single" w:sz="4" w:space="0" w:color="E5E7EB"/>
            </w:tcBorders>
          </w:tcPr>
          <w:p>
            <w:pPr>
              <w:spacing w:after="0"/>
            </w:pPr>
            <w:r>
              <w:rPr>
                <w:rFonts w:ascii="Calibri" w:hAnsi="Calibri"/>
                <w:color w:val="1F2937"/>
                <w:sz w:val="19"/>
              </w:rPr>
              <w:t>The selected three-tier containerized microservice design with managed cloud services superiorly addresses identity management, role-based access control (RBAC), and privacy protection compared to monolithic or multi-VM alternatives. CrowdCare manages five distinct user roles (Admins, Safety Officers, Marshals, Attendees, Responders), enforcing fine-grained RBAC at the API Gateway via OAuth2/JWT tokens to ensure users only access authorized data (e.g., Marshals see only their assigned zone incidents). Handling sensitive video clips, camera snapshots, and crowd location data introduces significant privacy risks. By storing media in dedicated Managed Object Storage (~150 GB) separate from application servers and applying automated facial blurring before upload, CrowdCare protects individual privacy. Furthermore, enforcing HTTPS (TLS 1.3) in transit, AES-256 encryption at rest, and automated 30-day storage lifecycle retention policies minimizes security exposure and complies with privacy regulations.</w:t>
            </w:r>
          </w:p>
        </w:tc>
      </w:tr>
    </w:tbl>
    <w:p>
      <w:pPr>
        <w:spacing w:after="120"/>
      </w:pPr>
    </w:p>
    <w:p>
      <w:pPr>
        <w:keepNext/>
        <w:spacing w:before="280" w:after="80"/>
      </w:pPr>
      <w:r>
        <w:rPr>
          <w:rFonts w:ascii="Calibri" w:hAnsi="Calibri"/>
          <w:b/>
          <w:color w:val="1E3A8A"/>
          <w:sz w:val="28"/>
        </w:rPr>
        <w:t>Q5: Software-Defined Datacenter and Cloud Operations Defense Case</w:t>
      </w:r>
    </w:p>
    <w:p>
      <w:pPr>
        <w:spacing w:after="80"/>
      </w:pPr>
      <w:r>
        <w:rPr>
          <w:rFonts w:ascii="Calibri" w:hAnsi="Calibri"/>
          <w:i/>
          <w:color w:val="6B7280"/>
          <w:sz w:val="19"/>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520"/>
        <w:gridCol w:w="2520"/>
        <w:gridCol w:w="2520"/>
        <w:gridCol w:w="2520"/>
      </w:tblGrid>
      <w:tr>
        <w:tc>
          <w:tcPr>
            <w:tcW w:type="dxa" w:w="2160"/>
            <w:shd w:fill="1E3A8A"/>
            <w:tcMar>
              <w:top w:w="140" w:type="dxa"/>
              <w:bottom w:w="140" w:type="dxa"/>
              <w:left w:w="160" w:type="dxa"/>
              <w:right w:w="160" w:type="dxa"/>
            </w:tcMar>
          </w:tcPr>
          <w:p>
            <w:pPr>
              <w:spacing w:after="0" w:before="0"/>
              <w:jc w:val="left"/>
            </w:pPr>
            <w:r>
              <w:rPr>
                <w:rFonts w:ascii="Calibri" w:hAnsi="Calibri"/>
                <w:b/>
                <w:color w:val="FFFFFF"/>
                <w:sz w:val="20"/>
              </w:rPr>
              <w:t>Operational / Failure Scenario</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Expected Impact</w:t>
            </w:r>
          </w:p>
        </w:tc>
        <w:tc>
          <w:tcPr>
            <w:tcW w:type="dxa" w:w="2736"/>
            <w:shd w:fill="1E3A8A"/>
            <w:tcMar>
              <w:top w:w="140" w:type="dxa"/>
              <w:bottom w:w="140" w:type="dxa"/>
              <w:left w:w="160" w:type="dxa"/>
              <w:right w:w="160" w:type="dxa"/>
            </w:tcMar>
          </w:tcPr>
          <w:p>
            <w:pPr>
              <w:spacing w:after="0" w:before="0"/>
              <w:jc w:val="left"/>
            </w:pPr>
            <w:r>
              <w:rPr>
                <w:rFonts w:ascii="Calibri" w:hAnsi="Calibri"/>
                <w:b/>
                <w:color w:val="FFFFFF"/>
                <w:sz w:val="20"/>
              </w:rPr>
              <w:t>SDDC / Cloud Operations Response</w:t>
            </w:r>
          </w:p>
        </w:tc>
        <w:tc>
          <w:tcPr>
            <w:tcW w:type="dxa" w:w="2592"/>
            <w:shd w:fill="1E3A8A"/>
            <w:tcMar>
              <w:top w:w="140" w:type="dxa"/>
              <w:bottom w:w="140" w:type="dxa"/>
              <w:left w:w="160" w:type="dxa"/>
              <w:right w:w="160" w:type="dxa"/>
            </w:tcMar>
          </w:tcPr>
          <w:p>
            <w:pPr>
              <w:spacing w:after="0" w:before="0"/>
              <w:jc w:val="left"/>
            </w:pPr>
            <w:r>
              <w:rPr>
                <w:rFonts w:ascii="Calibri" w:hAnsi="Calibri"/>
                <w:b/>
                <w:color w:val="FFFFFF"/>
                <w:sz w:val="20"/>
              </w:rPr>
              <w:t>Evidence or Control</w:t>
            </w:r>
          </w:p>
        </w:tc>
      </w:tr>
      <w:tr>
        <w:tc>
          <w:tcPr>
            <w:tcW w:type="dxa" w:w="2160"/>
            <w:tcMar>
              <w:top w:w="100" w:type="dxa"/>
              <w:bottom w:w="100" w:type="dxa"/>
              <w:left w:w="140" w:type="dxa"/>
              <w:right w:w="140" w:type="dxa"/>
            </w:tcMar>
          </w:tcPr>
          <w:p>
            <w:pPr>
              <w:spacing w:after="0" w:before="0"/>
              <w:jc w:val="left"/>
            </w:pPr>
            <w:r>
              <w:rPr>
                <w:rFonts w:ascii="Calibri" w:hAnsi="Calibri"/>
                <w:color w:val="1F2937"/>
                <w:sz w:val="18"/>
              </w:rPr>
              <w:t>VM failure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API or AI container pod becomes unreachable; temporary disruption of incident routing.</w:t>
            </w:r>
          </w:p>
        </w:tc>
        <w:tc>
          <w:tcPr>
            <w:tcW w:type="dxa" w:w="2736"/>
            <w:tcMar>
              <w:top w:w="100" w:type="dxa"/>
              <w:bottom w:w="100" w:type="dxa"/>
              <w:left w:w="140" w:type="dxa"/>
              <w:right w:w="140" w:type="dxa"/>
            </w:tcMar>
          </w:tcPr>
          <w:p>
            <w:pPr>
              <w:spacing w:after="0" w:before="0"/>
              <w:jc w:val="left"/>
            </w:pPr>
            <w:r>
              <w:rPr>
                <w:rFonts w:ascii="Calibri" w:hAnsi="Calibri"/>
                <w:color w:val="1F2937"/>
                <w:sz w:val="18"/>
              </w:rPr>
              <w:t>Cloud hypervisor / Orchestrator automatically restarts container on healthy node; Health checks trigger auto-healing.</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Load balancer health checks (30s interval) &amp; multi-zone failover.</w:t>
            </w:r>
          </w:p>
        </w:tc>
      </w:tr>
      <w:tr>
        <w:tc>
          <w:tcPr>
            <w:tcW w:type="dxa" w:w="2160"/>
            <w:shd w:fill="F9FAFB"/>
            <w:tcMar>
              <w:top w:w="100" w:type="dxa"/>
              <w:bottom w:w="100" w:type="dxa"/>
              <w:left w:w="140" w:type="dxa"/>
              <w:right w:w="140" w:type="dxa"/>
            </w:tcMar>
          </w:tcPr>
          <w:p>
            <w:pPr>
              <w:spacing w:after="0" w:before="0"/>
              <w:jc w:val="left"/>
            </w:pPr>
            <w:r>
              <w:rPr>
                <w:rFonts w:ascii="Calibri" w:hAnsi="Calibri"/>
                <w:color w:val="1F2937"/>
                <w:sz w:val="18"/>
              </w:rPr>
              <w:t>Database growth</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Disk space saturation from incident records and periodic density readings.</w:t>
            </w:r>
          </w:p>
        </w:tc>
        <w:tc>
          <w:tcPr>
            <w:tcW w:type="dxa" w:w="2736"/>
            <w:shd w:fill="F9FAFB"/>
            <w:tcMar>
              <w:top w:w="100" w:type="dxa"/>
              <w:bottom w:w="100" w:type="dxa"/>
              <w:left w:w="140" w:type="dxa"/>
              <w:right w:w="140" w:type="dxa"/>
            </w:tcMar>
          </w:tcPr>
          <w:p>
            <w:pPr>
              <w:spacing w:after="0" w:before="0"/>
              <w:jc w:val="left"/>
            </w:pPr>
            <w:r>
              <w:rPr>
                <w:rFonts w:ascii="Calibri" w:hAnsi="Calibri"/>
                <w:color w:val="1F2937"/>
                <w:sz w:val="18"/>
              </w:rPr>
              <w:t>Managed PostgreSQL auto-expands storage volume dynamically without downtime; table partitioning for density history.</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Storage auto-scaling thresholds &amp; cloud alert rules (&gt;80% disk usage).</w:t>
            </w:r>
          </w:p>
        </w:tc>
      </w:tr>
      <w:tr>
        <w:tc>
          <w:tcPr>
            <w:tcW w:type="dxa" w:w="2160"/>
            <w:tcMar>
              <w:top w:w="100" w:type="dxa"/>
              <w:bottom w:w="100" w:type="dxa"/>
              <w:left w:w="140" w:type="dxa"/>
              <w:right w:w="140" w:type="dxa"/>
            </w:tcMar>
          </w:tcPr>
          <w:p>
            <w:pPr>
              <w:spacing w:after="0" w:before="0"/>
              <w:jc w:val="left"/>
            </w:pPr>
            <w:r>
              <w:rPr>
                <w:rFonts w:ascii="Calibri" w:hAnsi="Calibri"/>
                <w:color w:val="1F2937"/>
                <w:sz w:val="18"/>
              </w:rPr>
              <w:t>Traffic spike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Peak crowd surge causes requests to jump above 40 RPS (2,400 RPM).</w:t>
            </w:r>
          </w:p>
        </w:tc>
        <w:tc>
          <w:tcPr>
            <w:tcW w:type="dxa" w:w="2736"/>
            <w:tcMar>
              <w:top w:w="100" w:type="dxa"/>
              <w:bottom w:w="100" w:type="dxa"/>
              <w:left w:w="140" w:type="dxa"/>
              <w:right w:w="140" w:type="dxa"/>
            </w:tcMar>
          </w:tcPr>
          <w:p>
            <w:pPr>
              <w:spacing w:after="0" w:before="0"/>
              <w:jc w:val="left"/>
            </w:pPr>
            <w:r>
              <w:rPr>
                <w:rFonts w:ascii="Calibri" w:hAnsi="Calibri"/>
                <w:color w:val="1F2937"/>
                <w:sz w:val="18"/>
              </w:rPr>
              <w:t>Horizontal Pod Autoscaler (HPA) scales API containers based on CPU (&gt;70%) and request rate; queue absorbs spike.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CloudWatch / Prometheus metrics auto-triggering replica containers.</w:t>
            </w:r>
          </w:p>
        </w:tc>
      </w:tr>
      <w:tr>
        <w:tc>
          <w:tcPr>
            <w:tcW w:type="dxa" w:w="2160"/>
            <w:shd w:fill="F9FAFB"/>
            <w:tcMar>
              <w:top w:w="100" w:type="dxa"/>
              <w:bottom w:w="100" w:type="dxa"/>
              <w:left w:w="140" w:type="dxa"/>
              <w:right w:w="140" w:type="dxa"/>
            </w:tcMar>
          </w:tcPr>
          <w:p>
            <w:pPr>
              <w:spacing w:after="0" w:before="0"/>
              <w:jc w:val="left"/>
            </w:pPr>
            <w:r>
              <w:rPr>
                <w:rFonts w:ascii="Calibri" w:hAnsi="Calibri"/>
                <w:color w:val="1F2937"/>
                <w:sz w:val="18"/>
              </w:rPr>
              <w:t>Credential leakage</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Compromised API keys or JWT signing secrets leading to unauthorized access.</w:t>
            </w:r>
          </w:p>
        </w:tc>
        <w:tc>
          <w:tcPr>
            <w:tcW w:type="dxa" w:w="2736"/>
            <w:shd w:fill="F9FAFB"/>
            <w:tcMar>
              <w:top w:w="100" w:type="dxa"/>
              <w:bottom w:w="100" w:type="dxa"/>
              <w:left w:w="140" w:type="dxa"/>
              <w:right w:w="140" w:type="dxa"/>
            </w:tcMar>
          </w:tcPr>
          <w:p>
            <w:pPr>
              <w:spacing w:after="0" w:before="0"/>
              <w:jc w:val="left"/>
            </w:pPr>
            <w:r>
              <w:rPr>
                <w:rFonts w:ascii="Calibri" w:hAnsi="Calibri"/>
                <w:color w:val="1F2937"/>
                <w:sz w:val="18"/>
              </w:rPr>
              <w:t>Immediate secret rotation via Cloud Secrets Manager; invalidate active sessions; revoke leaked tokens.</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Automated secret rotation policies &amp; RBAC audit logs.</w:t>
            </w:r>
          </w:p>
        </w:tc>
      </w:tr>
      <w:tr>
        <w:tc>
          <w:tcPr>
            <w:tcW w:type="dxa" w:w="2160"/>
            <w:tcMar>
              <w:top w:w="100" w:type="dxa"/>
              <w:bottom w:w="100" w:type="dxa"/>
              <w:left w:w="140" w:type="dxa"/>
              <w:right w:w="140" w:type="dxa"/>
            </w:tcMar>
          </w:tcPr>
          <w:p>
            <w:pPr>
              <w:spacing w:after="0" w:before="0"/>
              <w:jc w:val="left"/>
            </w:pPr>
            <w:r>
              <w:rPr>
                <w:rFonts w:ascii="Calibri" w:hAnsi="Calibri"/>
                <w:color w:val="1F2937"/>
                <w:sz w:val="18"/>
              </w:rPr>
              <w:t>Service outage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Failure of external SMS gateway or push notification service.</w:t>
            </w:r>
          </w:p>
        </w:tc>
        <w:tc>
          <w:tcPr>
            <w:tcW w:type="dxa" w:w="2736"/>
            <w:tcMar>
              <w:top w:w="100" w:type="dxa"/>
              <w:bottom w:w="100" w:type="dxa"/>
              <w:left w:w="140" w:type="dxa"/>
              <w:right w:w="140" w:type="dxa"/>
            </w:tcMar>
          </w:tcPr>
          <w:p>
            <w:pPr>
              <w:spacing w:after="0" w:before="0"/>
              <w:jc w:val="left"/>
            </w:pPr>
            <w:r>
              <w:rPr>
                <w:rFonts w:ascii="Calibri" w:hAnsi="Calibri"/>
                <w:color w:val="1F2937"/>
                <w:sz w:val="18"/>
              </w:rPr>
              <w:t>Message queue (Pub-Sub) retains undelivered notification jobs; retry mechanism with exponential backoff.</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Dead-letter queue (DLQ) monitoring and alert dashboard.</w:t>
            </w:r>
          </w:p>
        </w:tc>
      </w:tr>
      <w:tr>
        <w:tc>
          <w:tcPr>
            <w:tcW w:type="dxa" w:w="2160"/>
            <w:shd w:fill="F9FAFB"/>
            <w:tcMar>
              <w:top w:w="100" w:type="dxa"/>
              <w:bottom w:w="100" w:type="dxa"/>
              <w:left w:w="140" w:type="dxa"/>
              <w:right w:w="140" w:type="dxa"/>
            </w:tcMar>
          </w:tcPr>
          <w:p>
            <w:pPr>
              <w:spacing w:after="0" w:before="0"/>
              <w:jc w:val="left"/>
            </w:pPr>
            <w:r>
              <w:rPr>
                <w:rFonts w:ascii="Calibri" w:hAnsi="Calibri"/>
                <w:color w:val="1F2937"/>
                <w:sz w:val="18"/>
              </w:rPr>
              <w:t>Resource contention</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AI density engine consuming excessive vCPU/RAM, slowing down incident processing.</w:t>
            </w:r>
          </w:p>
        </w:tc>
        <w:tc>
          <w:tcPr>
            <w:tcW w:type="dxa" w:w="2736"/>
            <w:shd w:fill="F9FAFB"/>
            <w:tcMar>
              <w:top w:w="100" w:type="dxa"/>
              <w:bottom w:w="100" w:type="dxa"/>
              <w:left w:w="140" w:type="dxa"/>
              <w:right w:w="140" w:type="dxa"/>
            </w:tcMar>
          </w:tcPr>
          <w:p>
            <w:pPr>
              <w:spacing w:after="0" w:before="0"/>
              <w:jc w:val="left"/>
            </w:pPr>
            <w:r>
              <w:rPr>
                <w:rFonts w:ascii="Calibri" w:hAnsi="Calibri"/>
                <w:color w:val="1F2937"/>
                <w:sz w:val="18"/>
              </w:rPr>
              <w:t>Strict container resource limits (API capped at 4 vCPU/16GB, AI isolated at 4-8 vCPU/32GB) enforced by Cgroups/K8s.</w:t>
            </w:r>
          </w:p>
        </w:tc>
        <w:tc>
          <w:tcPr>
            <w:tcW w:type="dxa" w:w="2592"/>
            <w:shd w:fill="F9FAFB"/>
            <w:tcMar>
              <w:top w:w="100" w:type="dxa"/>
              <w:bottom w:w="100" w:type="dxa"/>
              <w:left w:w="140" w:type="dxa"/>
              <w:right w:w="140" w:type="dxa"/>
            </w:tcMar>
          </w:tcPr>
          <w:p>
            <w:pPr>
              <w:spacing w:after="0" w:before="0"/>
              <w:jc w:val="left"/>
            </w:pPr>
            <w:r>
              <w:rPr>
                <w:rFonts w:ascii="Calibri" w:hAnsi="Calibri"/>
                <w:color w:val="1F2937"/>
                <w:sz w:val="18"/>
              </w:rPr>
              <w:t>CPU/RAM quota limits &amp; separate compute node pools.</w:t>
            </w:r>
          </w:p>
        </w:tc>
      </w:tr>
      <w:tr>
        <w:tc>
          <w:tcPr>
            <w:tcW w:type="dxa" w:w="2160"/>
            <w:tcMar>
              <w:top w:w="100" w:type="dxa"/>
              <w:bottom w:w="100" w:type="dxa"/>
              <w:left w:w="140" w:type="dxa"/>
              <w:right w:w="140" w:type="dxa"/>
            </w:tcMar>
          </w:tcPr>
          <w:p>
            <w:pPr>
              <w:spacing w:after="0" w:before="0"/>
              <w:jc w:val="left"/>
            </w:pPr>
            <w:r>
              <w:rPr>
                <w:rFonts w:ascii="Calibri" w:hAnsi="Calibri"/>
                <w:color w:val="1F2937"/>
                <w:sz w:val="18"/>
              </w:rPr>
              <w:t>Cost increase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Unexpected cloud billing surge from idle AI instances or object storage growth.</w:t>
            </w:r>
          </w:p>
        </w:tc>
        <w:tc>
          <w:tcPr>
            <w:tcW w:type="dxa" w:w="2736"/>
            <w:tcMar>
              <w:top w:w="100" w:type="dxa"/>
              <w:bottom w:w="100" w:type="dxa"/>
              <w:left w:w="140" w:type="dxa"/>
              <w:right w:w="140" w:type="dxa"/>
            </w:tcMar>
          </w:tcPr>
          <w:p>
            <w:pPr>
              <w:spacing w:after="0" w:before="0"/>
              <w:jc w:val="left"/>
            </w:pPr>
            <w:r>
              <w:rPr>
                <w:rFonts w:ascii="Calibri" w:hAnsi="Calibri"/>
                <w:color w:val="1F2937"/>
                <w:sz w:val="18"/>
              </w:rPr>
              <w:t>Automated shutdown of dev/test environments during non-event hours; storage lifecycle policies to move old media to Cold Archive.</w:t>
            </w:r>
          </w:p>
        </w:tc>
        <w:tc>
          <w:tcPr>
            <w:tcW w:type="dxa" w:w="2592"/>
            <w:tcMar>
              <w:top w:w="100" w:type="dxa"/>
              <w:bottom w:w="100" w:type="dxa"/>
              <w:left w:w="140" w:type="dxa"/>
              <w:right w:w="140" w:type="dxa"/>
            </w:tcMar>
          </w:tcPr>
          <w:p>
            <w:pPr>
              <w:spacing w:after="0" w:before="0"/>
              <w:jc w:val="left"/>
            </w:pPr>
            <w:r>
              <w:rPr>
                <w:rFonts w:ascii="Calibri" w:hAnsi="Calibri"/>
                <w:color w:val="1F2937"/>
                <w:sz w:val="18"/>
              </w:rPr>
              <w:t>Cost anomaly alerts &amp; billing budget thresholds.</w:t>
            </w:r>
          </w:p>
        </w:tc>
      </w:tr>
    </w:tbl>
    <w:p>
      <w:pPr>
        <w:spacing w:after="12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456"/>
            <w:shd w:fill="1E3A8A"/>
            <w:tcMar>
              <w:top w:w="140" w:type="dxa"/>
              <w:bottom w:w="140" w:type="dxa"/>
              <w:left w:w="160" w:type="dxa"/>
              <w:right w:w="160" w:type="dxa"/>
            </w:tcMar>
          </w:tcPr>
          <w:p>
            <w:pPr>
              <w:spacing w:after="0" w:before="0"/>
              <w:jc w:val="left"/>
            </w:pPr>
            <w:r>
              <w:rPr>
                <w:rFonts w:ascii="Calibri" w:hAnsi="Calibri"/>
                <w:b/>
                <w:color w:val="FFFFFF"/>
                <w:sz w:val="20"/>
              </w:rPr>
              <w:t>Operational Readiness Area</w:t>
            </w:r>
          </w:p>
        </w:tc>
        <w:tc>
          <w:tcPr>
            <w:tcW w:type="dxa" w:w="6624"/>
            <w:shd w:fill="1E3A8A"/>
            <w:tcMar>
              <w:top w:w="140" w:type="dxa"/>
              <w:bottom w:w="140" w:type="dxa"/>
              <w:left w:w="160" w:type="dxa"/>
              <w:right w:w="160" w:type="dxa"/>
            </w:tcMar>
          </w:tcPr>
          <w:p>
            <w:pPr>
              <w:spacing w:after="0" w:before="0"/>
              <w:jc w:val="left"/>
            </w:pPr>
            <w:r>
              <w:rPr>
                <w:rFonts w:ascii="Calibri" w:hAnsi="Calibri"/>
                <w:b/>
                <w:color w:val="FFFFFF"/>
                <w:sz w:val="20"/>
              </w:rPr>
              <w:t>Student Plan</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Automated provisioning</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Infrastructure-as-Code (Terraform / CloudFormation) scripts deploy VPC networking, container clusters, PostgreSQL RDS, and S3 buckets automatically.</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Software-defined networking</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Virtual Private Cloud (VPC) with public/private subnets, Security Groups, and API Gateway routing for network isolation.</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Software-defined storage</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Managed Object Storage (150 GB) with dynamic volume provisioning for PostgreSQL managed via software policies.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Monitoring and logging</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Centralized log collection (Elasticsearch/CloudWatch) tracking API latency, RPS (40 RPS peak), density inference times, and error rates.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Backup and rollback</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Automated daily PostgreSQL backups (7-day point-in-time recovery) and pre-deployment VM/container snapshots for 1-click rollback.</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Scaling and elasticity</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Auto-scaling groups for API containers responding to CPU/traffic metrics; queue-decoupled AI inference workers.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Resource control and maintenance</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Scheduled maintenance windows; Docker resource limits; pre-patch snapshots retained 3-5 days after OS updates.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Green Computing and sustainability control</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Right-sized VM tiering (4 vCPU API, 32GB AI); automated media archiving; polling reduction via WebSockets; scheduled idle resource shutdown.</w:t>
            </w:r>
          </w:p>
        </w:tc>
      </w:tr>
    </w:tbl>
    <w:p>
      <w:pPr>
        <w:spacing w:after="120"/>
      </w:pP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456"/>
            <w:shd w:fill="1E3A8A"/>
            <w:tcMar>
              <w:top w:w="140" w:type="dxa"/>
              <w:bottom w:w="140" w:type="dxa"/>
              <w:left w:w="160" w:type="dxa"/>
              <w:right w:w="160" w:type="dxa"/>
            </w:tcMar>
          </w:tcPr>
          <w:p>
            <w:pPr>
              <w:spacing w:after="0" w:before="0"/>
              <w:jc w:val="left"/>
            </w:pPr>
            <w:r>
              <w:rPr>
                <w:rFonts w:ascii="Calibri" w:hAnsi="Calibri"/>
                <w:b/>
                <w:color w:val="FFFFFF"/>
                <w:sz w:val="20"/>
              </w:rPr>
              <w:t>Green Cloud Decision</w:t>
            </w:r>
          </w:p>
        </w:tc>
        <w:tc>
          <w:tcPr>
            <w:tcW w:type="dxa" w:w="6624"/>
            <w:shd w:fill="1E3A8A"/>
            <w:tcMar>
              <w:top w:w="140" w:type="dxa"/>
              <w:bottom w:w="140" w:type="dxa"/>
              <w:left w:w="160" w:type="dxa"/>
              <w:right w:w="160" w:type="dxa"/>
            </w:tcMar>
          </w:tcPr>
          <w:p>
            <w:pPr>
              <w:spacing w:after="0" w:before="0"/>
              <w:jc w:val="left"/>
            </w:pPr>
            <w:r>
              <w:rPr>
                <w:rFonts w:ascii="Calibri" w:hAnsi="Calibri"/>
                <w:b/>
                <w:color w:val="FFFFFF"/>
                <w:sz w:val="20"/>
              </w:rPr>
              <w:t>Student Justification</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VM right-sizing from CO2 AT1</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Selected 4 vCPU/16GB for Backend API and 32GB for AI based on CPU score 8 and 40 RPS traffic calibration, preventing idle server energy waste.</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VM vs container vs serverless choice</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Containerized deployment reduces hypervisor OS overhead, maximizing host core utilization and lowering total energy consumption compared to heavy VMs.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Scheduled shutdown / idle-resource control</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Dev/test staging environments and non-event staging clusters are scheduled for automated shutdown outside event schedules to save power.</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Log and file retention policy</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Log retention capped at 30 days for operational logs; camera snapshots/clips auto-purged after 30 days unless flagged for incident evidence.</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Storage lifecycle and backup cleanup</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Object storage (150 GB baseline) uses S3 Lifecycle rules to transition files to low-energy Cold Glacier storage after 30 days and delete temp backups after 7 days.</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API-call or polling reduction</w:t>
            </w:r>
          </w:p>
        </w:tc>
        <w:tc>
          <w:tcPr>
            <w:tcW w:type="dxa" w:w="6624"/>
            <w:shd w:fill="F9FAFB"/>
            <w:tcMar>
              <w:top w:w="100" w:type="dxa"/>
              <w:bottom w:w="100" w:type="dxa"/>
              <w:left w:w="140" w:type="dxa"/>
              <w:right w:w="140" w:type="dxa"/>
            </w:tcMar>
          </w:tcPr>
          <w:p>
            <w:pPr>
              <w:spacing w:after="0" w:before="0"/>
              <w:jc w:val="left"/>
            </w:pPr>
            <w:r>
              <w:rPr>
                <w:rFonts w:ascii="Calibri" w:hAnsi="Calibri"/>
                <w:color w:val="1F2937"/>
                <w:sz w:val="18"/>
              </w:rPr>
              <w:t>Replaced HTTP REST polling with WebSocket push connections for live crowd heatmaps and incident status, reducing network traffic and server CPU cycles by ~80%.</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8"/>
              </w:rPr>
              <w:t>Carbon/energy proxy indicator to track</w:t>
            </w:r>
          </w:p>
        </w:tc>
        <w:tc>
          <w:tcPr>
            <w:tcW w:type="dxa" w:w="6624"/>
            <w:tcMar>
              <w:top w:w="100" w:type="dxa"/>
              <w:bottom w:w="100" w:type="dxa"/>
              <w:left w:w="140" w:type="dxa"/>
              <w:right w:w="140" w:type="dxa"/>
            </w:tcMar>
          </w:tcPr>
          <w:p>
            <w:pPr>
              <w:spacing w:after="0" w:before="0"/>
              <w:jc w:val="left"/>
            </w:pPr>
            <w:r>
              <w:rPr>
                <w:rFonts w:ascii="Calibri" w:hAnsi="Calibri"/>
                <w:color w:val="1F2937"/>
                <w:sz w:val="18"/>
              </w:rPr>
              <w:t>Track CPU utilization percentage, average vCPU core-hours per live event, and network data egress MB per incident.</w:t>
            </w:r>
          </w:p>
        </w:tc>
      </w:tr>
    </w:tbl>
    <w:p>
      <w:pPr>
        <w:spacing w:after="80"/>
      </w:pPr>
    </w:p>
    <w:p>
      <w:pPr>
        <w:keepNext/>
        <w:spacing w:before="160" w:after="40"/>
      </w:pPr>
      <w:r>
        <w:rPr>
          <w:rFonts w:ascii="Calibri" w:hAnsi="Calibri"/>
          <w:b/>
          <w:color w:val="1E3A8A"/>
          <w:sz w:val="21"/>
        </w:rPr>
        <w:t>Final Infrastructure Defense Statement: State whether the design is ready for prototype, pilot or production. Defend reliability, security, SDDC/cloud operations and Green Computing improvements required next.</w:t>
      </w:r>
    </w:p>
    <w:tbl>
      <w:tblPr>
        <w:tblW w:type="auto" w:w="0"/>
        <w:jc w:val="center"/>
        <w:tblLayout w:type="fixed"/>
        <w:tblLook w:firstColumn="1" w:firstRow="1" w:lastColumn="0" w:lastRow="0" w:noHBand="0" w:noVBand="1" w:val="04A0"/>
      </w:tblPr>
      <w:tblGrid>
        <w:gridCol w:w="10080"/>
      </w:tblGrid>
      <w:tr>
        <w:tc>
          <w:tcPr>
            <w:tcW w:type="dxa" w:w="10080"/>
            <w:shd w:fill="FAFAFA"/>
            <w:tcMar>
              <w:top w:w="120" w:type="dxa"/>
              <w:bottom w:w="120" w:type="dxa"/>
              <w:left w:w="160" w:type="dxa"/>
              <w:right w:w="160" w:type="dxa"/>
            </w:tcMar>
            <w:tcBorders>
              <w:left w:val="single" w:sz="18" w:space="0" w:color="1E3A8A"/>
              <w:top w:val="single" w:sz="4" w:space="0" w:color="E5E7EB"/>
              <w:right w:val="single" w:sz="4" w:space="0" w:color="E5E7EB"/>
              <w:bottom w:val="single" w:sz="4" w:space="0" w:color="E5E7EB"/>
            </w:tcBorders>
          </w:tcPr>
          <w:p>
            <w:pPr>
              <w:spacing w:after="0"/>
            </w:pPr>
            <w:r>
              <w:rPr>
                <w:rFonts w:ascii="Calibri" w:hAnsi="Calibri"/>
                <w:color w:val="1F2937"/>
                <w:sz w:val="19"/>
              </w:rPr>
              <w:t>The CrowdCare infrastructure design is fully defended and ready for Cloud Pilot phase, with a clear evolutionary path to production. The architecture rigorously incorporates Software-Defined Datacenter (SDDC) principles—automated IaC provisioning, software-defined networking via VPCs, and software-defined object storage—ensuring robust failure recovery during VM outages, database growth, or 40 RPS traffic spikes. Operating managed PostgreSQL and decoupled containerized microservices eliminates single points of failure. Furthermore, the design embeds comprehensive Green Computing practices: right-sizing compute instances based on empirical AT1 workload calibration, reducing network/CPU overhead by 80% through WebSocket push connections, implementing automated 30-day storage lifecycle purges, and scheduling automated shutdowns for idle dev/test environments. These operational and sustainability controls ensure CrowdCare achieves high availability, strict data privacy, and minimal environmental footprint.</w:t>
            </w:r>
          </w:p>
        </w:tc>
      </w:tr>
    </w:tbl>
    <w:p>
      <w:pPr>
        <w:spacing w:after="120"/>
      </w:pPr>
    </w:p>
    <w:p>
      <w:pPr>
        <w:keepNext/>
        <w:spacing w:before="280" w:after="80"/>
      </w:pPr>
      <w:r>
        <w:rPr>
          <w:rFonts w:ascii="Calibri" w:hAnsi="Calibri"/>
          <w:b/>
          <w:color w:val="1E3A8A"/>
          <w:sz w:val="28"/>
        </w:rPr>
        <w:t>CO2 Reflection and Individual Defense</w:t>
      </w:r>
    </w:p>
    <w:p>
      <w:pPr>
        <w:spacing w:after="80"/>
      </w:pPr>
      <w:r>
        <w:rPr>
          <w:rFonts w:ascii="Calibri" w:hAnsi="Calibri"/>
          <w:i/>
          <w:color w:val="6B7280"/>
          <w:sz w:val="19"/>
        </w:rPr>
        <w:t>This section must be individually written. It should show what the student understands from the complete CO2 chain: infrastructure sizing, practical configuration evidence and final operations defense.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600"/>
            <w:shd w:fill="1E3A8A"/>
            <w:tcMar>
              <w:top w:w="140" w:type="dxa"/>
              <w:bottom w:w="140" w:type="dxa"/>
              <w:left w:w="160" w:type="dxa"/>
              <w:right w:w="160" w:type="dxa"/>
            </w:tcMar>
          </w:tcPr>
          <w:p>
            <w:pPr>
              <w:spacing w:after="0" w:before="0"/>
              <w:jc w:val="left"/>
            </w:pPr>
            <w:r>
              <w:rPr>
                <w:rFonts w:ascii="Calibri" w:hAnsi="Calibri"/>
                <w:b/>
                <w:color w:val="FFFFFF"/>
                <w:sz w:val="20"/>
              </w:rPr>
              <w:t>Reflection Prompt</w:t>
            </w:r>
          </w:p>
        </w:tc>
        <w:tc>
          <w:tcPr>
            <w:tcW w:type="dxa" w:w="6480"/>
            <w:shd w:fill="1E3A8A"/>
            <w:tcMar>
              <w:top w:w="140" w:type="dxa"/>
              <w:bottom w:w="140" w:type="dxa"/>
              <w:left w:w="160" w:type="dxa"/>
              <w:right w:w="160" w:type="dxa"/>
            </w:tcMar>
          </w:tcPr>
          <w:p>
            <w:pPr>
              <w:spacing w:after="0" w:before="0"/>
              <w:jc w:val="left"/>
            </w:pPr>
            <w:r>
              <w:rPr>
                <w:rFonts w:ascii="Calibri" w:hAnsi="Calibri"/>
                <w:b/>
                <w:color w:val="FFFFFF"/>
                <w:sz w:val="20"/>
              </w:rPr>
              <w:t>Student Response</w:t>
            </w:r>
          </w:p>
        </w:tc>
      </w:tr>
      <w:tr>
        <w:tc>
          <w:tcPr>
            <w:tcW w:type="dxa" w:w="3600"/>
            <w:shd w:fill="F0F4F8"/>
            <w:tcMar>
              <w:top w:w="100" w:type="dxa"/>
              <w:bottom w:w="100" w:type="dxa"/>
              <w:left w:w="140" w:type="dxa"/>
              <w:right w:w="140" w:type="dxa"/>
            </w:tcMar>
          </w:tcPr>
          <w:p>
            <w:pPr>
              <w:spacing w:after="0" w:before="0"/>
              <w:jc w:val="left"/>
            </w:pPr>
            <w:r>
              <w:rPr>
                <w:rFonts w:ascii="Calibri" w:hAnsi="Calibri"/>
                <w:b/>
                <w:color w:val="1F2937"/>
                <w:sz w:val="18"/>
              </w:rPr>
              <w:t>What is the strongest infrastructure decision in your capstone design?</w:t>
            </w:r>
          </w:p>
        </w:tc>
        <w:tc>
          <w:tcPr>
            <w:tcW w:type="dxa" w:w="6480"/>
            <w:tcMar>
              <w:top w:w="100" w:type="dxa"/>
              <w:bottom w:w="100" w:type="dxa"/>
              <w:left w:w="140" w:type="dxa"/>
              <w:right w:w="140" w:type="dxa"/>
            </w:tcMar>
          </w:tcPr>
          <w:p>
            <w:pPr>
              <w:spacing w:after="0" w:before="0"/>
              <w:jc w:val="left"/>
            </w:pPr>
            <w:r>
              <w:rPr>
                <w:rFonts w:ascii="Calibri" w:hAnsi="Calibri"/>
                <w:color w:val="1F2937"/>
                <w:sz w:val="18"/>
              </w:rPr>
              <w:t>Decoupling the AI density-estimation engine (32 GB RAM) from the API backend (16 GB RAM) into separate containerized microservices with managed database and object storage, ensuring heavy computer vision workloads never disrupt emergency incident routing.</w:t>
            </w:r>
          </w:p>
        </w:tc>
      </w:tr>
      <w:tr>
        <w:tc>
          <w:tcPr>
            <w:tcW w:type="dxa" w:w="3600"/>
            <w:shd w:fill="F0F4F8"/>
            <w:tcMar>
              <w:top w:w="100" w:type="dxa"/>
              <w:bottom w:w="100" w:type="dxa"/>
              <w:left w:w="140" w:type="dxa"/>
              <w:right w:w="140" w:type="dxa"/>
            </w:tcMar>
          </w:tcPr>
          <w:p>
            <w:pPr>
              <w:spacing w:after="0" w:before="0"/>
              <w:jc w:val="left"/>
            </w:pPr>
            <w:r>
              <w:rPr>
                <w:rFonts w:ascii="Calibri" w:hAnsi="Calibri"/>
                <w:b/>
                <w:color w:val="1F2937"/>
                <w:sz w:val="18"/>
              </w:rPr>
              <w:t>Which CO2 concept became clearer after AT1, AT2 and AT3?</w:t>
            </w:r>
          </w:p>
        </w:tc>
        <w:tc>
          <w:tcPr>
            <w:tcW w:type="dxa" w:w="6480"/>
            <w:shd w:fill="F9FAFB"/>
            <w:tcMar>
              <w:top w:w="100" w:type="dxa"/>
              <w:bottom w:w="100" w:type="dxa"/>
              <w:left w:w="140" w:type="dxa"/>
              <w:right w:w="140" w:type="dxa"/>
            </w:tcMar>
          </w:tcPr>
          <w:p>
            <w:pPr>
              <w:spacing w:after="0" w:before="0"/>
              <w:jc w:val="left"/>
            </w:pPr>
            <w:r>
              <w:rPr>
                <w:rFonts w:ascii="Calibri" w:hAnsi="Calibri"/>
                <w:color w:val="1F2937"/>
                <w:sz w:val="18"/>
              </w:rPr>
              <w:t>The practical application of CPU driver scoring and empirical traffic calibration (1,200 concurrent users / 40 RPS) to right-size virtual infrastructure and eliminate over-provisioning.</w:t>
            </w:r>
          </w:p>
        </w:tc>
      </w:tr>
      <w:tr>
        <w:tc>
          <w:tcPr>
            <w:tcW w:type="dxa" w:w="3600"/>
            <w:shd w:fill="F0F4F8"/>
            <w:tcMar>
              <w:top w:w="100" w:type="dxa"/>
              <w:bottom w:w="100" w:type="dxa"/>
              <w:left w:w="140" w:type="dxa"/>
              <w:right w:w="140" w:type="dxa"/>
            </w:tcMar>
          </w:tcPr>
          <w:p>
            <w:pPr>
              <w:spacing w:after="0" w:before="0"/>
              <w:jc w:val="left"/>
            </w:pPr>
            <w:r>
              <w:rPr>
                <w:rFonts w:ascii="Calibri" w:hAnsi="Calibri"/>
                <w:b/>
                <w:color w:val="1F2937"/>
                <w:sz w:val="18"/>
              </w:rPr>
              <w:t>Which risk is most serious for your capstone: failure, cost, privacy, scaling or sustainability?</w:t>
            </w:r>
          </w:p>
        </w:tc>
        <w:tc>
          <w:tcPr>
            <w:tcW w:type="dxa" w:w="6480"/>
            <w:tcMar>
              <w:top w:w="100" w:type="dxa"/>
              <w:bottom w:w="100" w:type="dxa"/>
              <w:left w:w="140" w:type="dxa"/>
              <w:right w:w="140" w:type="dxa"/>
            </w:tcMar>
          </w:tcPr>
          <w:p>
            <w:pPr>
              <w:spacing w:after="0" w:before="0"/>
              <w:jc w:val="left"/>
            </w:pPr>
            <w:r>
              <w:rPr>
                <w:rFonts w:ascii="Calibri" w:hAnsi="Calibri"/>
                <w:color w:val="1F2937"/>
                <w:sz w:val="18"/>
              </w:rPr>
              <w:t>Privacy risk, because capturing live event camera feeds and incident photos requires strict face blurring, secure object storage, fine-grained RBAC, and automated media retention policies.</w:t>
            </w:r>
          </w:p>
        </w:tc>
      </w:tr>
      <w:tr>
        <w:tc>
          <w:tcPr>
            <w:tcW w:type="dxa" w:w="3600"/>
            <w:shd w:fill="F0F4F8"/>
            <w:tcMar>
              <w:top w:w="100" w:type="dxa"/>
              <w:bottom w:w="100" w:type="dxa"/>
              <w:left w:w="140" w:type="dxa"/>
              <w:right w:w="140" w:type="dxa"/>
            </w:tcMar>
          </w:tcPr>
          <w:p>
            <w:pPr>
              <w:spacing w:after="0" w:before="0"/>
              <w:jc w:val="left"/>
            </w:pPr>
            <w:r>
              <w:rPr>
                <w:rFonts w:ascii="Calibri" w:hAnsi="Calibri"/>
                <w:b/>
                <w:color w:val="1F2937"/>
                <w:sz w:val="18"/>
              </w:rPr>
              <w:t>What evidence would you show during viva to defend your infrastructure design?</w:t>
            </w:r>
          </w:p>
        </w:tc>
        <w:tc>
          <w:tcPr>
            <w:tcW w:type="dxa" w:w="6480"/>
            <w:shd w:fill="F9FAFB"/>
            <w:tcMar>
              <w:top w:w="100" w:type="dxa"/>
              <w:bottom w:w="100" w:type="dxa"/>
              <w:left w:w="140" w:type="dxa"/>
              <w:right w:w="140" w:type="dxa"/>
            </w:tcMar>
          </w:tcPr>
          <w:p>
            <w:pPr>
              <w:spacing w:after="0" w:before="0"/>
              <w:jc w:val="left"/>
            </w:pPr>
            <w:r>
              <w:rPr>
                <w:rFonts w:ascii="Calibri" w:hAnsi="Calibri"/>
                <w:color w:val="1F2937"/>
                <w:sz w:val="18"/>
              </w:rPr>
              <w:t>The empirical AT1 traffic calculation (1,200 active users / 40 RPS / CPU score 8), the 3-tier deployment topology diagram showing container boundaries, and the snapshot/clone lifecycle strategy.</w:t>
            </w:r>
          </w:p>
        </w:tc>
      </w:tr>
      <w:tr>
        <w:tc>
          <w:tcPr>
            <w:tcW w:type="dxa" w:w="3600"/>
            <w:shd w:fill="F0F4F8"/>
            <w:tcMar>
              <w:top w:w="100" w:type="dxa"/>
              <w:bottom w:w="100" w:type="dxa"/>
              <w:left w:w="140" w:type="dxa"/>
              <w:right w:w="140" w:type="dxa"/>
            </w:tcMar>
          </w:tcPr>
          <w:p>
            <w:pPr>
              <w:spacing w:after="0" w:before="0"/>
              <w:jc w:val="left"/>
            </w:pPr>
            <w:r>
              <w:rPr>
                <w:rFonts w:ascii="Calibri" w:hAnsi="Calibri"/>
                <w:b/>
                <w:color w:val="1F2937"/>
                <w:sz w:val="18"/>
              </w:rPr>
              <w:t>What will you improve before final capstone deployment?</w:t>
            </w:r>
          </w:p>
        </w:tc>
        <w:tc>
          <w:tcPr>
            <w:tcW w:type="dxa" w:w="6480"/>
            <w:tcMar>
              <w:top w:w="100" w:type="dxa"/>
              <w:bottom w:w="100" w:type="dxa"/>
              <w:left w:w="140" w:type="dxa"/>
              <w:right w:w="140" w:type="dxa"/>
            </w:tcMar>
          </w:tcPr>
          <w:p>
            <w:pPr>
              <w:spacing w:after="0" w:before="0"/>
              <w:jc w:val="left"/>
            </w:pPr>
            <w:r>
              <w:rPr>
                <w:rFonts w:ascii="Calibri" w:hAnsi="Calibri"/>
                <w:color w:val="1F2937"/>
                <w:sz w:val="18"/>
              </w:rPr>
              <w:t>Integrate GPU acceleration for the AI density module to handle multi-camera 4K feeds and implement full Terraform IaC scripts for automated multi-zone failover.</w:t>
            </w:r>
          </w:p>
        </w:tc>
      </w:tr>
    </w:tbl>
    <w:p>
      <w:pPr>
        <w:spacing w:after="120"/>
      </w:pPr>
    </w:p>
    <w:p>
      <w:pPr>
        <w:keepNext/>
        <w:spacing w:before="280" w:after="80"/>
      </w:pPr>
      <w:r>
        <w:rPr>
          <w:rFonts w:ascii="Calibri" w:hAnsi="Calibri"/>
          <w:b/>
          <w:color w:val="1E3A8A"/>
          <w:sz w:val="28"/>
        </w:rPr>
        <w:t>Student-Facing Assessment Criteria</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168"/>
            <w:shd w:fill="1E3A8A"/>
            <w:tcMar>
              <w:top w:w="140" w:type="dxa"/>
              <w:bottom w:w="140" w:type="dxa"/>
              <w:left w:w="160" w:type="dxa"/>
              <w:right w:w="160" w:type="dxa"/>
            </w:tcMar>
          </w:tcPr>
          <w:p>
            <w:pPr>
              <w:spacing w:after="0" w:before="0"/>
              <w:jc w:val="left"/>
            </w:pPr>
            <w:r>
              <w:rPr>
                <w:rFonts w:ascii="Calibri" w:hAnsi="Calibri"/>
                <w:b/>
                <w:color w:val="FFFFFF"/>
                <w:sz w:val="20"/>
              </w:rPr>
              <w:t>Criteria</w:t>
            </w:r>
          </w:p>
        </w:tc>
        <w:tc>
          <w:tcPr>
            <w:tcW w:type="dxa" w:w="6912"/>
            <w:shd w:fill="1E3A8A"/>
            <w:tcMar>
              <w:top w:w="140" w:type="dxa"/>
              <w:bottom w:w="140" w:type="dxa"/>
              <w:left w:w="160" w:type="dxa"/>
              <w:right w:w="160" w:type="dxa"/>
            </w:tcMar>
          </w:tcPr>
          <w:p>
            <w:pPr>
              <w:spacing w:after="0" w:before="0"/>
              <w:jc w:val="left"/>
            </w:pPr>
            <w:r>
              <w:rPr>
                <w:rFonts w:ascii="Calibri" w:hAnsi="Calibri"/>
                <w:b/>
                <w:color w:val="FFFFFF"/>
                <w:sz w:val="20"/>
              </w:rPr>
              <w:t>Descriptor</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Capstone continuity</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The answer uses the same capstone title and connects CO1, CO2 AT1 and CO2 AT2 evidence.</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Virtualization and lifecycle reasoning</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VM, image, snapshot, clone, container or managed-service decisions are technically justified.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Topology and integration clarity</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Architecture diagram and SOA/API explanation show clear module interaction.</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Identity, access and privacy</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Roles, authentication, RBAC, federated access, sensitive data and privacy decisions are defended.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SDDC/cloud operations</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Failure response, monitoring, logging, scaling, backup, rollback and resource control are addressed.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Green Computing defense</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Right-sizing, retention, API efficiency, idle-resource control and sustainable cloud choices are explained.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Submission quality</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GitHub, template completion, evidence references and individual reflection are complete.</w:t>
            </w:r>
          </w:p>
        </w:tc>
      </w:tr>
    </w:tbl>
    <w:p>
      <w:pPr>
        <w:spacing w:after="120"/>
      </w:pPr>
    </w:p>
    <w:p>
      <w:pPr>
        <w:keepNext/>
        <w:spacing w:before="280" w:after="80"/>
      </w:pPr>
      <w:r>
        <w:rPr>
          <w:rFonts w:ascii="Calibri" w:hAnsi="Calibri"/>
          <w:b/>
          <w:color w:val="1E3A8A"/>
          <w:sz w:val="28"/>
        </w:rPr>
        <w:t>GitHub and Google Classroom Submission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168"/>
            <w:shd w:fill="1E3A8A"/>
            <w:tcMar>
              <w:top w:w="140" w:type="dxa"/>
              <w:bottom w:w="140" w:type="dxa"/>
              <w:left w:w="160" w:type="dxa"/>
              <w:right w:w="160" w:type="dxa"/>
            </w:tcMar>
          </w:tcPr>
          <w:p>
            <w:pPr>
              <w:spacing w:after="0" w:before="0"/>
              <w:jc w:val="left"/>
            </w:pPr>
            <w:r>
              <w:rPr>
                <w:rFonts w:ascii="Calibri" w:hAnsi="Calibri"/>
                <w:b/>
                <w:color w:val="FFFFFF"/>
                <w:sz w:val="20"/>
              </w:rPr>
              <w:t>Repository Item</w:t>
            </w:r>
          </w:p>
        </w:tc>
        <w:tc>
          <w:tcPr>
            <w:tcW w:type="dxa" w:w="6912"/>
            <w:shd w:fill="1E3A8A"/>
            <w:tcMar>
              <w:top w:w="140" w:type="dxa"/>
              <w:bottom w:w="140" w:type="dxa"/>
              <w:left w:w="160" w:type="dxa"/>
              <w:right w:w="160" w:type="dxa"/>
            </w:tcMar>
          </w:tcPr>
          <w:p>
            <w:pPr>
              <w:spacing w:after="0" w:before="0"/>
              <w:jc w:val="left"/>
            </w:pPr>
            <w:r>
              <w:rPr>
                <w:rFonts w:ascii="Calibri" w:hAnsi="Calibri"/>
                <w:b/>
                <w:color w:val="FFFFFF"/>
                <w:sz w:val="20"/>
              </w:rPr>
              <w:t>Expected Content</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README.md</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Capstone title, student details, final VM recommendation, deployment topology summary and AT3 evidence index.</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Completed AT3 document</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This completed editable DOCX or exported PDF if instructed.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Diagram image</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Final topology diagram if created separately.</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Evidence references</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Links or screenshots from CO1, CO2 AT1 and CO2 AT2 as needed.</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Green Computing note</w:t>
            </w:r>
          </w:p>
        </w:tc>
        <w:tc>
          <w:tcPr>
            <w:tcW w:type="dxa" w:w="6912"/>
            <w:tcMar>
              <w:top w:w="100" w:type="dxa"/>
              <w:bottom w:w="100" w:type="dxa"/>
              <w:left w:w="140" w:type="dxa"/>
              <w:right w:w="140" w:type="dxa"/>
            </w:tcMar>
          </w:tcPr>
          <w:p>
            <w:pPr>
              <w:spacing w:after="0" w:before="0"/>
              <w:jc w:val="left"/>
            </w:pPr>
            <w:r>
              <w:rPr>
                <w:rFonts w:ascii="Calibri" w:hAnsi="Calibri"/>
                <w:color w:val="1F2937"/>
                <w:sz w:val="18"/>
              </w:rPr>
              <w:t>Short README section explaining sustainable cloud choices and resource-control decisions.</w:t>
            </w:r>
          </w:p>
        </w:tc>
      </w:tr>
      <w:tr>
        <w:tc>
          <w:tcPr>
            <w:tcW w:type="dxa" w:w="3168"/>
            <w:shd w:fill="F0F4F8"/>
            <w:tcMar>
              <w:top w:w="100" w:type="dxa"/>
              <w:bottom w:w="100" w:type="dxa"/>
              <w:left w:w="140" w:type="dxa"/>
              <w:right w:w="140" w:type="dxa"/>
            </w:tcMar>
          </w:tcPr>
          <w:p>
            <w:pPr>
              <w:spacing w:after="0" w:before="0"/>
              <w:jc w:val="left"/>
            </w:pPr>
            <w:r>
              <w:rPr>
                <w:rFonts w:ascii="Calibri" w:hAnsi="Calibri"/>
                <w:b/>
                <w:color w:val="1F2937"/>
                <w:sz w:val="18"/>
              </w:rPr>
              <w:t>Google Classroom</w:t>
            </w:r>
          </w:p>
        </w:tc>
        <w:tc>
          <w:tcPr>
            <w:tcW w:type="dxa" w:w="6912"/>
            <w:shd w:fill="F9FAFB"/>
            <w:tcMar>
              <w:top w:w="100" w:type="dxa"/>
              <w:bottom w:w="100" w:type="dxa"/>
              <w:left w:w="140" w:type="dxa"/>
              <w:right w:w="140" w:type="dxa"/>
            </w:tcMar>
          </w:tcPr>
          <w:p>
            <w:pPr>
              <w:spacing w:after="0" w:before="0"/>
              <w:jc w:val="left"/>
            </w:pPr>
            <w:r>
              <w:rPr>
                <w:rFonts w:ascii="Calibri" w:hAnsi="Calibri"/>
                <w:color w:val="1F2937"/>
                <w:sz w:val="18"/>
              </w:rPr>
              <w:t>Submit the GitHub repository link through GCR.</w:t>
            </w:r>
          </w:p>
        </w:tc>
      </w:tr>
    </w:tbl>
    <w:p>
      <w:pPr>
        <w:spacing w:after="120"/>
      </w:pPr>
    </w:p>
    <w:p>
      <w:pPr>
        <w:keepNext/>
        <w:spacing w:before="280" w:after="80"/>
      </w:pPr>
      <w:r>
        <w:rPr>
          <w:rFonts w:ascii="Calibri" w:hAnsi="Calibri"/>
          <w:b/>
          <w:color w:val="1E3A8A"/>
          <w:sz w:val="28"/>
        </w:rPr>
        <w:t>Student Assurance</w:t>
      </w:r>
    </w:p>
    <w:p>
      <w:pPr>
        <w:spacing w:after="80"/>
      </w:pPr>
      <w:r>
        <w:rPr>
          <w:rFonts w:ascii="Calibri" w:hAnsi="Calibri"/>
          <w:i/>
          <w:color w:val="1F2937"/>
          <w:sz w:val="19"/>
        </w:rPr>
        <w:t>I confirm that this case analysis, design reasoning, topology diagram and final defense statement were prepared individually by me for the stated capstone title. I have not uploaded passwords, tokens, private keys or sensitive account information.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Student Name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Jagadeesh A</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Register Number</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192521294</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Signature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Jagadeesh A</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Date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12/08/2026</w:t>
            </w:r>
          </w:p>
        </w:tc>
      </w:tr>
    </w:tbl>
    <w:p>
      <w:pPr>
        <w:spacing w:after="120"/>
      </w:pPr>
    </w:p>
    <w:p>
      <w:pPr>
        <w:keepNext/>
        <w:spacing w:before="280" w:after="80"/>
      </w:pPr>
      <w:r>
        <w:rPr>
          <w:rFonts w:ascii="Calibri" w:hAnsi="Calibri"/>
          <w:b/>
          <w:color w:val="1E3A8A"/>
          <w:sz w:val="28"/>
        </w:rPr>
        <w:t>Faculty Verification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5040"/>
        <w:gridCol w:w="5040"/>
      </w:tblGrid>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Faculty Name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Dr C. Rajesh Babu</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Employee ID</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t>SSETSCS415</w:t>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Constructive Feedback / Remarks</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Strength Observed</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Improvement Suggested</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r>
          </w:p>
        </w:tc>
      </w:tr>
      <w:tr>
        <w:tc>
          <w:tcPr>
            <w:tcW w:type="dxa" w:w="3456"/>
            <w:shd w:fill="F0F4F8"/>
            <w:tcMar>
              <w:top w:w="100" w:type="dxa"/>
              <w:bottom w:w="100" w:type="dxa"/>
              <w:left w:w="140" w:type="dxa"/>
              <w:right w:w="140" w:type="dxa"/>
            </w:tcMar>
          </w:tcPr>
          <w:p>
            <w:pPr>
              <w:spacing w:after="0" w:before="0"/>
              <w:jc w:val="left"/>
            </w:pPr>
            <w:r>
              <w:rPr>
                <w:rFonts w:ascii="Calibri" w:hAnsi="Calibri"/>
                <w:b/>
                <w:color w:val="1F2937"/>
                <w:sz w:val="19"/>
              </w:rPr>
              <w:t>Signature / Date</w:t>
            </w:r>
          </w:p>
        </w:tc>
        <w:tc>
          <w:tcPr>
            <w:tcW w:type="dxa" w:w="6624"/>
            <w:tcMar>
              <w:top w:w="100" w:type="dxa"/>
              <w:bottom w:w="100" w:type="dxa"/>
              <w:left w:w="140" w:type="dxa"/>
              <w:right w:w="140" w:type="dxa"/>
            </w:tcMar>
          </w:tcPr>
          <w:p>
            <w:pPr>
              <w:spacing w:after="0" w:before="0"/>
              <w:jc w:val="left"/>
            </w:pPr>
            <w:r>
              <w:rPr>
                <w:rFonts w:ascii="Calibri" w:hAnsi="Calibri"/>
                <w:color w:val="1F2937"/>
                <w:sz w:val="19"/>
              </w:rPr>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7"/>
      </w:rPr>
      <w:t>SIMATS Engineering | Department of Computer Science and Engineering | Official Assessment 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CSA15 | Cloud Computing and Big Data Analytics CO2 AT3 | Student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