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Times New Roman" w:cs="Times New Roman" w:eastAsia="Times New Roman" w:hAnsi="Times New Roman"/>
          <w:b/>
          <w:bCs/>
          <w:sz w:val="32"/>
          <w:szCs w:val="32"/>
        </w:rPr>
        <w:t xml:space="preserve">State-to-Action Attestation (S2A):</w:t>
      </w:r>
    </w:p>
    <w:p>
      <w:pPr>
        <w:spacing w:after="260"/>
        <w:jc w:val="center"/>
      </w:pPr>
      <w:r>
        <w:rPr>
          <w:rFonts w:ascii="Times New Roman" w:cs="Times New Roman" w:eastAsia="Times New Roman" w:hAnsi="Times New Roman"/>
          <w:b/>
          <w:bCs/>
          <w:sz w:val="28"/>
          <w:szCs w:val="28"/>
        </w:rPr>
        <w:t xml:space="preserve">Freshness-Aware Proof-Carrying Authorization for Confidential CXL Memory Orchestration</w:t>
      </w:r>
    </w:p>
    <w:p>
      <w:pPr>
        <w:spacing w:after="40"/>
        <w:jc w:val="center"/>
      </w:pPr>
      <w:r>
        <w:rPr>
          <w:rFonts w:ascii="Times New Roman" w:cs="Times New Roman" w:eastAsia="Times New Roman" w:hAnsi="Times New Roman"/>
          <w:b/>
          <w:bCs/>
          <w:sz w:val="24"/>
          <w:szCs w:val="24"/>
        </w:rPr>
        <w:t xml:space="preserve">Maddi Jagadeesh</w:t>
      </w:r>
    </w:p>
    <w:p>
      <w:pPr>
        <w:spacing w:after="40"/>
        <w:jc w:val="center"/>
      </w:pPr>
      <w:r>
        <w:rPr>
          <w:rFonts w:ascii="Times New Roman" w:cs="Times New Roman" w:eastAsia="Times New Roman" w:hAnsi="Times New Roman"/>
          <w:i/>
          <w:iCs/>
          <w:sz w:val="20"/>
          <w:szCs w:val="20"/>
        </w:rPr>
        <w:t xml:space="preserve">Department of Artificial Intelligence and Machine Learning</w:t>
      </w:r>
    </w:p>
    <w:p>
      <w:pPr>
        <w:spacing w:after="40"/>
        <w:jc w:val="center"/>
      </w:pPr>
      <w:r>
        <w:rPr>
          <w:rFonts w:ascii="Times New Roman" w:cs="Times New Roman" w:eastAsia="Times New Roman" w:hAnsi="Times New Roman"/>
          <w:i/>
          <w:iCs/>
          <w:sz w:val="20"/>
          <w:szCs w:val="20"/>
        </w:rPr>
        <w:t xml:space="preserve">Acharya Nagarjuna University, Guntur, Andhra Pradesh, India</w:t>
      </w:r>
    </w:p>
    <w:p>
      <w:pPr>
        <w:spacing w:after="300"/>
        <w:jc w:val="center"/>
      </w:pPr>
      <w:r>
        <w:rPr>
          <w:rFonts w:ascii="Times New Roman" w:cs="Times New Roman" w:eastAsia="Times New Roman" w:hAnsi="Times New Roman"/>
          <w:i/>
          <w:iCs/>
          <w:color w:val="555555"/>
          <w:sz w:val="20"/>
          <w:szCs w:val="20"/>
        </w:rPr>
        <w:t xml:space="preserve">Email: Jeevan.as.official@gmail.com</w:t>
      </w:r>
    </w:p>
    <w:p>
      <w:pPr>
        <w:pStyle w:val="Heading1"/>
        <w:spacing w:after="160" w:before="320"/>
      </w:pPr>
      <w:r>
        <w:rPr>
          <w:rFonts w:ascii="Times New Roman" w:cs="Times New Roman" w:eastAsia="Times New Roman" w:hAnsi="Times New Roman"/>
          <w:b/>
          <w:bCs/>
          <w:color w:val="1F3864"/>
          <w:sz w:val="26"/>
          <w:szCs w:val="26"/>
        </w:rPr>
        <w:t xml:space="preserve">Abstract</w:t>
      </w:r>
    </w:p>
    <w:p>
      <w:pPr>
        <w:spacing w:after="160" w:line="276"/>
        <w:jc w:val="both"/>
      </w:pPr>
      <w:r>
        <w:rPr>
          <w:rFonts w:ascii="Times New Roman" w:cs="Times New Roman" w:eastAsia="Times New Roman" w:hAnsi="Times New Roman"/>
          <w:sz w:val="22"/>
          <w:szCs w:val="22"/>
        </w:rPr>
        <w:t xml:space="preserve">Autonomous datacenter infrastructure is increasingly expected to make fine-grained resource-management decisions — CXL memory allocation, reclamation, migration, and pooled-memory assignment — using continuous telemetry such as memory pressure, thermal state, ECC health, and workload behavior. In confidential and multi-tenant environments, however, exposing this telemetry to an orchestration layer, a cloud operator, or a scheduler creates a privacy and security liability: telemetry itself leaks tenant behavior, topology, and resource ownership. This paper presents State-to-Action Attestation (S2A), a lightweight verification layer that sits between hardware telemetry and resource orchestration. Rather than exposing raw telemetry, S2A produces a compact, freshness-bound cryptographic proof that a proposed resource action was authorized by a trusted, policy-compliant evaluation of infrastructure state, without revealing the underlying measurements. We position S2A precisely against the two bodies of prior work it draws on and must be distinguished from: proof-carrying authorization, a two-decade-old line of work on request-time, requester-constructed proofs of policy compliance; and Intel TDX Connect, which secures the CXL device and link within the trust-domain boundary but does not itself produce evidence that a downstream resource-management decision was authorized. S2A's contribution is a specialization of proof-carrying authorization to continuously-updating, machine-generated infrastructure telemetry, adding the freshness and action-binding guarantees that request-time PCA does not need and that TDX Connect does not provide. We formalize these properties, present a protocol and reference architecture built entirely from existing primitives (digital signatures, hash commitments, monotonic epoch counters, and a policy engine such as Open Policy Agent), and describe a software-only prototype that requires no new Intel silicon and composes with — rather than replaces — the existing Intel TDX, TDX Connect, and Intel Trust Authority attestation chain. We outline a threat model, a security and privacy analysis, and an evaluation methodology covering proof generation and verification latency, orchestration overhead, telemetry-disclosure reduction, and resistance to replay and forgery. S2A reframes the question answered by datacenter trust infrastructure from "can I trust this machine, and can I trust this device?" to "can I trust this specific infrastructure action, right now?", and is intended as a conservative, implementable building block for confidential resource orchestration in future CXL-attached, multi-tenant AI infrastructure. The key contribution of S2A is an action-bound attestation mechanism that binds resource actions to policy evaluation, resource identity, and freshness constraints while minimizing telemetry disclosure.</w:t>
      </w:r>
    </w:p>
    <w:p>
      <w:pPr>
        <w:pStyle w:val="Heading2"/>
        <w:spacing w:after="120" w:before="220"/>
      </w:pPr>
      <w:r>
        <w:rPr>
          <w:rFonts w:ascii="Times New Roman" w:cs="Times New Roman" w:eastAsia="Times New Roman" w:hAnsi="Times New Roman"/>
          <w:b/>
          <w:bCs/>
          <w:i/>
          <w:iCs/>
          <w:color w:val="2E4E7A"/>
          <w:sz w:val="23"/>
          <w:szCs w:val="23"/>
        </w:rPr>
        <w:t xml:space="preserve">Keywords</w:t>
      </w:r>
    </w:p>
    <w:p>
      <w:pPr>
        <w:spacing w:after="160" w:line="276"/>
        <w:jc w:val="both"/>
      </w:pPr>
      <w:r>
        <w:rPr>
          <w:rFonts w:ascii="Times New Roman" w:cs="Times New Roman" w:eastAsia="Times New Roman" w:hAnsi="Times New Roman"/>
          <w:sz w:val="22"/>
          <w:szCs w:val="22"/>
        </w:rPr>
        <w:t xml:space="preserve">CXL memory pooling; confidential computing; Intel TDX; Intel TDX Connect; Intel Trust Authority; remote attestation; proof-carrying authorization; policy verification; freshness guarantees; datacenter orchestration; multi-tenant infrastructure.</w:t>
      </w:r>
    </w:p>
    <w:p>
      <w:pPr>
        <w:pStyle w:val="Heading1"/>
        <w:spacing w:after="160" w:before="320"/>
      </w:pPr>
      <w:r>
        <w:rPr>
          <w:rFonts w:ascii="Times New Roman" w:cs="Times New Roman" w:eastAsia="Times New Roman" w:hAnsi="Times New Roman"/>
          <w:b/>
          <w:bCs/>
          <w:color w:val="1F3864"/>
          <w:sz w:val="26"/>
          <w:szCs w:val="26"/>
        </w:rPr>
        <w:t xml:space="preserve">1. Introduction</w:t>
      </w:r>
    </w:p>
    <w:p>
      <w:pPr>
        <w:spacing w:after="160" w:line="276"/>
        <w:jc w:val="both"/>
      </w:pPr>
      <w:r>
        <w:rPr>
          <w:rFonts w:ascii="Times New Roman" w:cs="Times New Roman" w:eastAsia="Times New Roman" w:hAnsi="Times New Roman"/>
          <w:sz w:val="22"/>
          <w:szCs w:val="22"/>
        </w:rPr>
        <w:t xml:space="preserve">Modern datacenters are moving toward disaggregated, CXL-attached memory pools that can be dynamically allocated, reclaimed, and migrated across hosts and tenants. To make these decisions well, orchestration software needs visibility into infrastructure state: memory pressure, queue occupancy, thermal margins, ECC error rates, and workload behavior. In a single-tenant, fully trusted environment this visibility is unremarkable — the orchestrator is simply another trusted component. In confidential, multi-tenant infrastructure, the same visibility becomes a liability. An orchestrator, a cloud operator's control plane, or a network observer that can see raw telemetry can often infer far more than the resource decision requires: which tenants are memory-bound, when a workload is scaling, how infrastructure is physically laid out, and which resources are co-located with which customers.</w:t>
      </w:r>
    </w:p>
    <w:p>
      <w:pPr>
        <w:spacing w:after="160" w:line="276"/>
        <w:jc w:val="both"/>
      </w:pPr>
      <w:r>
        <w:rPr>
          <w:rFonts w:ascii="Times New Roman" w:cs="Times New Roman" w:eastAsia="Times New Roman" w:hAnsi="Times New Roman"/>
          <w:sz w:val="22"/>
          <w:szCs w:val="22"/>
        </w:rPr>
        <w:t xml:space="preserve">This paper starts from a simple observation: resource-management decisions do not need to expose the telemetry that justified them. What the orchestrator actually needs is confidence that a proposed action — for example, "migrate CXL region R from host A to host B" — was authorized by a correct, fresh, policy-compliant evaluation of infrastructure state. That confidence can be delivered as a compact cryptographic proof accompanying the action, rather than as the raw measurements themselves. We call this proof a State-to-Action Attestation (S2A).</w:t>
      </w:r>
    </w:p>
    <w:p>
      <w:pPr>
        <w:spacing w:after="160" w:line="276"/>
        <w:jc w:val="both"/>
      </w:pPr>
      <w:r>
        <w:rPr>
          <w:rFonts w:ascii="Times New Roman" w:cs="Times New Roman" w:eastAsia="Times New Roman" w:hAnsi="Times New Roman"/>
          <w:sz w:val="22"/>
          <w:szCs w:val="22"/>
        </w:rPr>
        <w:t xml:space="preserve">S2A is deliberately narrow in scope. It does not propose new cryptography, a new CXL protocol extension, or new Intel silicon. It does not replace Intel TDX, Intel TDX Connect, Intel Trust Authority, or existing remote-attestation infrastructure. Instead, S2A is a verification layer that consumes existing attestation and policy-evaluation primitives and produces a new artifact — an action-bound, freshness-bound proof — that today's attestation stacks do not produce. Existing attestation answers "can I trust this machine, and can I trust this device?"; S2A answers "can I trust this specific infrastructure action, right now?" Existing attestation mechanisms establish trust in platforms, devices, and software stacks, but, as Section 3.2 details for Intel TDX Connect specifically, they do not provide verifiable evidence that a specific infrastructure action was authorized by a valid and recent evaluation of policy over hardware state.</w:t>
      </w:r>
    </w:p>
    <w:p>
      <w:pPr>
        <w:spacing w:after="160" w:line="276"/>
        <w:jc w:val="both"/>
      </w:pPr>
      <w:r>
        <w:rPr>
          <w:rFonts w:ascii="Times New Roman" w:cs="Times New Roman" w:eastAsia="Times New Roman" w:hAnsi="Times New Roman"/>
          <w:sz w:val="22"/>
          <w:szCs w:val="22"/>
        </w:rPr>
        <w:t xml:space="preserve">The contributions of this paper are: (1) the S2A architecture and threat model for proof-carrying CXL resource decisions, presented as a specialization of the established proof-carrying authorization paradigm to continuously-updating infrastructure telemetry; (2) an action-bound evidence format that binds a proof to a resource identifier, action type, policy identifier, infrastructure epoch, timestamp, and nonce; (3) a freshness mechanism that makes replay and stale-telemetry attacks detectable by construction — a guarantee that request-time proof-carrying authorization does not need to provide; (4) a software-only reference prototype built from commodity components (a policy engine, a proof generator, and an independent verifier); and (5) an evaluation methodology for measuring the privacy, security, and performance properties of the design.</w:t>
      </w:r>
    </w:p>
    <w:p>
      <w:pPr>
        <w:pStyle w:val="Heading1"/>
        <w:spacing w:after="160" w:before="320"/>
      </w:pPr>
      <w:r>
        <w:rPr>
          <w:rFonts w:ascii="Times New Roman" w:cs="Times New Roman" w:eastAsia="Times New Roman" w:hAnsi="Times New Roman"/>
          <w:b/>
          <w:bCs/>
          <w:color w:val="1F3864"/>
          <w:sz w:val="26"/>
          <w:szCs w:val="26"/>
        </w:rPr>
        <w:t xml:space="preserve">2. Motivation</w:t>
      </w:r>
    </w:p>
    <w:p>
      <w:pPr>
        <w:spacing w:after="160" w:line="276"/>
        <w:jc w:val="both"/>
      </w:pPr>
      <w:r>
        <w:rPr>
          <w:rFonts w:ascii="Times New Roman" w:cs="Times New Roman" w:eastAsia="Times New Roman" w:hAnsi="Times New Roman"/>
          <w:sz w:val="22"/>
          <w:szCs w:val="22"/>
        </w:rPr>
        <w:t xml:space="preserve">Consider a confidential AI infrastructure operator running CXL-pooled memory shared across multiple tenants. A scheduler periodically evaluates whether to reclaim an idle CXL region from tenant A and reassign it to a memory-starved training job belonging to tenant B. To make this decision defensibly, the scheduler currently needs telemetry such as tenant A's recent memory-access pattern and tenant B's pressure metrics. Exposing this telemetry to the orchestration layer — which in many deployments is operated or observable by the cloud provider rather than the tenants themselves — discloses tenant behavior that neither tenant consented to share.</w:t>
      </w:r>
    </w:p>
    <w:p>
      <w:pPr>
        <w:spacing w:after="160" w:line="276"/>
        <w:jc w:val="both"/>
      </w:pPr>
      <w:r>
        <w:rPr>
          <w:rFonts w:ascii="Times New Roman" w:cs="Times New Roman" w:eastAsia="Times New Roman" w:hAnsi="Times New Roman"/>
          <w:sz w:val="22"/>
          <w:szCs w:val="22"/>
        </w:rPr>
        <w:t xml:space="preserve">Existing attestation systems can establish trust in a platform or, via Intel TDX Connect, in a CXL device and the link to it; existing policy engines can evaluate infrastructure policies. Neither provides a mechanism for proving that a specific resource-management action was authorized by a recent policy evaluation while minimizing telemetry disclosure to the entity that ultimately executes the action.</w:t>
      </w:r>
    </w:p>
    <w:p>
      <w:pPr>
        <w:spacing w:after="160" w:line="276"/>
        <w:jc w:val="both"/>
      </w:pPr>
      <w:r>
        <w:rPr>
          <w:rFonts w:ascii="Times New Roman" w:cs="Times New Roman" w:eastAsia="Times New Roman" w:hAnsi="Times New Roman"/>
          <w:sz w:val="22"/>
          <w:szCs w:val="22"/>
        </w:rPr>
        <w:t xml:space="preserve">Three properties are missing from today's stack. First, minimal disclosure: the orchestrator should learn only that a policy was satisfied, not the values that satisfied it. Second, action binding: a policy decision must be cryptographically tied to the specific action it authorizes — otherwise, evidence generated for one action could be replayed to justify a different, unauthorized action. Third, freshness: infrastructure state changes continuously, so a proof must expire or be tied to a verifiable epoch, or a stale but validly signed proof could authorize an action against outdated conditions. S2A is designed to supply exactly these three properties using only existing, deployable building blocks.</w:t>
      </w:r>
    </w:p>
    <w:p>
      <w:pPr>
        <w:pStyle w:val="Heading1"/>
        <w:spacing w:after="160" w:before="320"/>
      </w:pPr>
      <w:r>
        <w:rPr>
          <w:rFonts w:ascii="Times New Roman" w:cs="Times New Roman" w:eastAsia="Times New Roman" w:hAnsi="Times New Roman"/>
          <w:b/>
          <w:bCs/>
          <w:color w:val="1F3864"/>
          <w:sz w:val="26"/>
          <w:szCs w:val="26"/>
        </w:rPr>
        <w:t xml:space="preserve">3. Background</w:t>
      </w:r>
    </w:p>
    <w:p>
      <w:pPr>
        <w:pStyle w:val="Heading2"/>
        <w:spacing w:after="120" w:before="220"/>
      </w:pPr>
      <w:r>
        <w:rPr>
          <w:rFonts w:ascii="Times New Roman" w:cs="Times New Roman" w:eastAsia="Times New Roman" w:hAnsi="Times New Roman"/>
          <w:b/>
          <w:bCs/>
          <w:i/>
          <w:iCs/>
          <w:color w:val="2E4E7A"/>
          <w:sz w:val="23"/>
          <w:szCs w:val="23"/>
        </w:rPr>
        <w:t xml:space="preserve">3.1 Intel TDX and Intel Trust Authority</w:t>
      </w:r>
    </w:p>
    <w:p>
      <w:pPr>
        <w:spacing w:after="160" w:line="276"/>
        <w:jc w:val="both"/>
      </w:pPr>
      <w:r>
        <w:rPr>
          <w:rFonts w:ascii="Times New Roman" w:cs="Times New Roman" w:eastAsia="Times New Roman" w:hAnsi="Times New Roman"/>
          <w:sz w:val="22"/>
          <w:szCs w:val="22"/>
        </w:rPr>
        <w:t xml:space="preserve">Intel Trust Domain Extensions (TDX) provide hardware-isolated trust domains (TDs) with memory encryption and a measured boot and launch process, allowing a relying party to obtain a hardware-rooted attestation of a TD's initial state and measurement. Intel Trust Authority (and the underlying Data Center Attestation Primitives, DCAP, quote-verification flow) allows a relying party to verify such attestations against Intel's root of trust without operating its own verification infrastructure. These mechanisms establish trust in a platform or a workload's execution environment at a point in time — they answer "is this TD running the code it claims to be running, on genuine Intel hardware?" Attestation reports of this kind describe platform and workload state; they do not, by themselves, authorize or verify a specific dynamic resource-management action.</w:t>
      </w:r>
    </w:p>
    <w:p>
      <w:pPr>
        <w:pStyle w:val="Heading2"/>
        <w:spacing w:after="120" w:before="220"/>
      </w:pPr>
      <w:r>
        <w:rPr>
          <w:rFonts w:ascii="Times New Roman" w:cs="Times New Roman" w:eastAsia="Times New Roman" w:hAnsi="Times New Roman"/>
          <w:b/>
          <w:bCs/>
          <w:i/>
          <w:iCs/>
          <w:color w:val="2E4E7A"/>
          <w:sz w:val="23"/>
          <w:szCs w:val="23"/>
        </w:rPr>
        <w:t xml:space="preserve">3.2 Intel TDX Connect and CXL Device Attestation</w:t>
      </w:r>
    </w:p>
    <w:p>
      <w:pPr>
        <w:spacing w:after="160" w:line="276"/>
        <w:jc w:val="both"/>
      </w:pPr>
      <w:r>
        <w:rPr>
          <w:rFonts w:ascii="Times New Roman" w:cs="Times New Roman" w:eastAsia="Times New Roman" w:hAnsi="Times New Roman"/>
          <w:sz w:val="22"/>
          <w:szCs w:val="22"/>
        </w:rPr>
        <w:t xml:space="preserve">Because S2A's motivating scenario is confidential CXL resource management, it must be positioned precisely against Intel's own published architecture for extending trust-domain guarantees to CXL, rather than against generic TDX alone. The Intel TDX Connect Architecture Specification defines how a TD's trust boundary can be extended to include TDX Connect-capable PCIe and CXL devices, through three cooperating mechanisms: device authentication and attestation using the DMTF Security Protocol and Data Model (SPDM) for runtime authentication and firmware/configuration measurement reporting; the PCIe/CXL Integrity and Data Encryption (IDE) extension, which provides confidentiality, integrity, and replay protection for data transferred to or from the device; and a secure life-cycle management state machine (TDISP) governing how a device enters and leaves the TD's trust boundary.</w:t>
      </w:r>
    </w:p>
    <w:p>
      <w:pPr>
        <w:spacing w:after="160" w:line="276"/>
        <w:jc w:val="both"/>
      </w:pPr>
      <w:r>
        <w:rPr>
          <w:rFonts w:ascii="Times New Roman" w:cs="Times New Roman" w:eastAsia="Times New Roman" w:hAnsi="Times New Roman"/>
          <w:sz w:val="22"/>
          <w:szCs w:val="22"/>
        </w:rPr>
        <w:t xml:space="preserve">TDX Connect is the closest existing Intel mechanism to the problem S2A addresses, and the distinction is worth stating precisely. TDX Connect answers "is this CXL device genuine, and is the data moving between it and the TD protected from tampering and replay?" — a device- and link-level question. It does not answer "was this specific resource-management decision, computed from that device's telemetry, authorized by policy, and is that authorization still fresh?" — a decision-level question. S2A assumes a device and link already secured by TDX Connect (or an equivalent mechanism) and adds one layer above it: portable, freshness-bound evidence that a policy-compliant decision was made using the telemetry that arrived over that now-trusted channel. S2A is therefore designed to compose directly on top of TDX Connect rather than to duplicate or replace any part of it; Section 19 returns to this relationship in the context of Intel's broader confidential-computing roadmap.</w:t>
      </w:r>
    </w:p>
    <w:p>
      <w:pPr>
        <w:pStyle w:val="Heading2"/>
        <w:spacing w:after="120" w:before="220"/>
      </w:pPr>
      <w:r>
        <w:rPr>
          <w:rFonts w:ascii="Times New Roman" w:cs="Times New Roman" w:eastAsia="Times New Roman" w:hAnsi="Times New Roman"/>
          <w:b/>
          <w:bCs/>
          <w:i/>
          <w:iCs/>
          <w:color w:val="2E4E7A"/>
          <w:sz w:val="23"/>
          <w:szCs w:val="23"/>
        </w:rPr>
        <w:t xml:space="preserve">3.3 CXL Memory Pooling</w:t>
      </w:r>
    </w:p>
    <w:p>
      <w:pPr>
        <w:spacing w:after="160" w:line="276"/>
        <w:jc w:val="both"/>
      </w:pPr>
      <w:r>
        <w:rPr>
          <w:rFonts w:ascii="Times New Roman" w:cs="Times New Roman" w:eastAsia="Times New Roman" w:hAnsi="Times New Roman"/>
          <w:sz w:val="22"/>
          <w:szCs w:val="22"/>
        </w:rPr>
        <w:t xml:space="preserve">Compute Express Link (CXL) enables memory to be disaggregated from individual hosts and pooled across a fabric, with dynamic capacity allocation, reclamation, and migration across attached hosts and, in switch-based topologies, across multiple tenants sharing the same pool. This flexibility is what makes CXL attractive for datacenter efficiency, but it also means memory-management decisions increasingly cross trust and tenancy boundaries that were previously contained within a single host. Systems research on CXL pooling for cloud platforms — notably Pond, a production-oriented CXL memory-pooling system for hyperscale cloud platforms, and Equilibria, an operating-system framework for fair, multi-tenant CXL memory tiering at datacenter scale — demonstrates real performance and fairness benefits from dynamic, multi-tenant CXL allocation, while also surfacing new isolation, fairness, and control-plane challenges. A widely discussed counterpoint, "A Case Against CXL Memory Pooling," argues that pooling's benefits are workload-dependent and that naive pooling can introduce contention absent careful policy control. Taken together, this systems literature reinforces, from the performance and fairness side, the premise this paper takes from the security side: policy governance of pooled CXL resources is a first-order design concern for multi-tenant CXL, not an afterthought layered on at the end — and none of this systems literature addresses the confidentiality of the telemetry used to drive those policy decisions, which is the specific gap S2A targets.</w:t>
      </w:r>
    </w:p>
    <w:p>
      <w:pPr>
        <w:pStyle w:val="Heading2"/>
        <w:spacing w:after="120" w:before="220"/>
      </w:pPr>
      <w:r>
        <w:rPr>
          <w:rFonts w:ascii="Times New Roman" w:cs="Times New Roman" w:eastAsia="Times New Roman" w:hAnsi="Times New Roman"/>
          <w:b/>
          <w:bCs/>
          <w:i/>
          <w:iCs/>
          <w:color w:val="2E4E7A"/>
          <w:sz w:val="23"/>
          <w:szCs w:val="23"/>
        </w:rPr>
        <w:t xml:space="preserve">3.4 Policy Engines</w:t>
      </w:r>
    </w:p>
    <w:p>
      <w:pPr>
        <w:spacing w:after="160" w:line="276"/>
        <w:jc w:val="both"/>
      </w:pPr>
      <w:r>
        <w:rPr>
          <w:rFonts w:ascii="Times New Roman" w:cs="Times New Roman" w:eastAsia="Times New Roman" w:hAnsi="Times New Roman"/>
          <w:sz w:val="22"/>
          <w:szCs w:val="22"/>
        </w:rPr>
        <w:t xml:space="preserve">General-purpose policy engines such as Open Policy Agent (OPA) evaluate declarative policies (written in Rego) against structured input and return an allow/deny decision plus, optionally, structured decision metadata. Policy engines are widely used for admission control and authorization decisions in cloud infrastructure, but their outputs are typically consumed locally and are not, by default, packaged as portable, cryptographically verifiable, freshness-bound evidence for a third-party verifier. Policy engines determine whether an action should be permitted; they do not, on their own, provide independently verifiable evidence that the decision was made correctly or from authentic, fresh infrastructure state.</w:t>
      </w:r>
    </w:p>
    <w:p>
      <w:pPr>
        <w:pStyle w:val="Heading2"/>
        <w:spacing w:after="120" w:before="220"/>
      </w:pPr>
      <w:r>
        <w:rPr>
          <w:rFonts w:ascii="Times New Roman" w:cs="Times New Roman" w:eastAsia="Times New Roman" w:hAnsi="Times New Roman"/>
          <w:b/>
          <w:bCs/>
          <w:i/>
          <w:iCs/>
          <w:color w:val="2E4E7A"/>
          <w:sz w:val="23"/>
          <w:szCs w:val="23"/>
        </w:rPr>
        <w:t xml:space="preserve">3.5 Proof-Carrying Code and Proof-Carrying Authorization</w:t>
      </w:r>
    </w:p>
    <w:p>
      <w:pPr>
        <w:spacing w:after="160" w:line="276"/>
        <w:jc w:val="both"/>
      </w:pPr>
      <w:r>
        <w:rPr>
          <w:rFonts w:ascii="Times New Roman" w:cs="Times New Roman" w:eastAsia="Times New Roman" w:hAnsi="Times New Roman"/>
          <w:sz w:val="22"/>
          <w:szCs w:val="22"/>
        </w:rPr>
        <w:t xml:space="preserve">The proof-carrying code (PCC) paradigm established that a producer can attach to an artifact a machine-checkable proof of a safety property, allowing a consumer to verify the property without trusting the producer or re-deriving the proof itself. A closely related and, for this paper, more directly relevant line of work is proof-carrying authorization (PCA), introduced by Appel and Felten and subsequently formalized and extended by Bauer, Garg, and others. In PCA, a requester constructs a formal, machine-checkable proof that a set of logical rules — the access-control policy — grants it the requested permission, and a reference monitor merely checks the proof rather than re-deriving the authorization decision itself. A recognized limitation of classical PCA is that the digital signatures used to witness assumed facts can leak sensitive information to the verifier; privacy-aware proof-carrying authorization, introduced by Maffei and Pecina, addresses this by combining digital signatures with zero-knowledge proofs of knowledge of those signatures, allowing a requester to prove policy compliance while selectively hiding the underlying facts. A related idea appears in confidential attestation for trusted execution environments, where an out-of-enclave generator produces a compliance proof for a lightweight in-enclave verifier to check, again separating expensive proof construction from cheap proof checking.</w:t>
      </w:r>
    </w:p>
    <w:p>
      <w:pPr>
        <w:spacing w:after="160" w:line="276"/>
        <w:jc w:val="both"/>
      </w:pPr>
      <w:r>
        <w:rPr>
          <w:rFonts w:ascii="Times New Roman" w:cs="Times New Roman" w:eastAsia="Times New Roman" w:hAnsi="Times New Roman"/>
          <w:sz w:val="22"/>
          <w:szCs w:val="22"/>
        </w:rPr>
        <w:t xml:space="preserve">S2A's relationship to this literature should be stated precisely rather than implied: S2A does not introduce a new proof paradigm. It is a specialization of proof-carrying authorization to a setting that classical and privacy-aware PCA were not designed for — continuously-updating, machine-generated infrastructure telemetry rather than discrete, requester-driven access requests over comparatively static credentials. This specialization requires one property that request-time PCA does not need to formalize: freshness. A PCA proof is typically evaluated once, at the moment of a request, against credentials that do not drift meaningfully during verification. An S2A proof authorizes an action against physical infrastructure state that changes continuously, so the proof must additionally be bound to a verifiable epoch and reject itself once that state may plausibly have changed. Section 10 develops this freshness mechanism as S2A's central technical departure from PCA; Section 4 positions this distinction against the full landscape of related mechanisms.</w:t>
      </w:r>
    </w:p>
    <w:p>
      <w:pPr>
        <w:pStyle w:val="Heading1"/>
        <w:spacing w:after="160" w:before="320"/>
      </w:pPr>
      <w:r>
        <w:rPr>
          <w:rFonts w:ascii="Times New Roman" w:cs="Times New Roman" w:eastAsia="Times New Roman" w:hAnsi="Times New Roman"/>
          <w:b/>
          <w:bCs/>
          <w:color w:val="1F3864"/>
          <w:sz w:val="26"/>
          <w:szCs w:val="26"/>
        </w:rPr>
        <w:t xml:space="preserve">4. Related Work</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3300"/>
        <w:gridCol w:w="3200"/>
      </w:tblGrid>
      <w:tr>
        <w:tc>
          <w:tcPr>
            <w:tcW w:type="dxa" w:w="2500"/>
            <w:shd w:fill="1F3864" w:val="clear"/>
            <w:tcMar>
              <w:top w:type="dxa" w:w="80"/>
              <w:left w:type="dxa" w:w="100"/>
              <w:bottom w:type="dxa" w:w="80"/>
              <w:right w:type="dxa" w:w="100"/>
            </w:tcMar>
          </w:tcPr>
          <w:p>
            <w:r>
              <w:rPr>
                <w:rFonts w:ascii="Times New Roman" w:cs="Times New Roman" w:eastAsia="Times New Roman" w:hAnsi="Times New Roman"/>
                <w:b/>
                <w:bCs/>
                <w:color w:val="FFFFFF"/>
                <w:sz w:val="20"/>
                <w:szCs w:val="20"/>
              </w:rPr>
              <w:t xml:space="preserve">Category</w:t>
            </w:r>
          </w:p>
        </w:tc>
        <w:tc>
          <w:tcPr>
            <w:tcW w:type="dxa" w:w="3300"/>
            <w:shd w:fill="1F3864" w:val="clear"/>
            <w:tcMar>
              <w:top w:type="dxa" w:w="80"/>
              <w:left w:type="dxa" w:w="100"/>
              <w:bottom w:type="dxa" w:w="80"/>
              <w:right w:type="dxa" w:w="100"/>
            </w:tcMar>
          </w:tcPr>
          <w:p>
            <w:r>
              <w:rPr>
                <w:rFonts w:ascii="Times New Roman" w:cs="Times New Roman" w:eastAsia="Times New Roman" w:hAnsi="Times New Roman"/>
                <w:b/>
                <w:bCs/>
                <w:color w:val="FFFFFF"/>
                <w:sz w:val="20"/>
                <w:szCs w:val="20"/>
              </w:rPr>
              <w:t xml:space="preserve">What it provides</w:t>
            </w:r>
          </w:p>
        </w:tc>
        <w:tc>
          <w:tcPr>
            <w:tcW w:type="dxa" w:w="3200"/>
            <w:shd w:fill="1F3864" w:val="clear"/>
            <w:tcMar>
              <w:top w:type="dxa" w:w="80"/>
              <w:left w:type="dxa" w:w="100"/>
              <w:bottom w:type="dxa" w:w="80"/>
              <w:right w:type="dxa" w:w="100"/>
            </w:tcMar>
          </w:tcPr>
          <w:p>
            <w:r>
              <w:rPr>
                <w:rFonts w:ascii="Times New Roman" w:cs="Times New Roman" w:eastAsia="Times New Roman" w:hAnsi="Times New Roman"/>
                <w:b/>
                <w:bCs/>
                <w:color w:val="FFFFFF"/>
                <w:sz w:val="20"/>
                <w:szCs w:val="20"/>
              </w:rPr>
              <w:t xml:space="preserve">What it does not provide</w:t>
            </w:r>
          </w:p>
        </w:tc>
      </w:tr>
      <w:tr>
        <w:tc>
          <w:tcPr>
            <w:tcW w:type="dxa" w:w="2500"/>
            <w:tcMar>
              <w:top w:type="dxa" w:w="80"/>
              <w:left w:type="dxa" w:w="100"/>
              <w:bottom w:type="dxa" w:w="80"/>
              <w:right w:type="dxa" w:w="100"/>
            </w:tcMar>
          </w:tcPr>
          <w:p>
            <w:r>
              <w:rPr>
                <w:rFonts w:ascii="Times New Roman" w:cs="Times New Roman" w:eastAsia="Times New Roman" w:hAnsi="Times New Roman"/>
                <w:b w:val="false"/>
                <w:bCs w:val="false"/>
                <w:color w:val="000000"/>
                <w:sz w:val="20"/>
                <w:szCs w:val="20"/>
              </w:rPr>
              <w:t xml:space="preserve">Platform attestation (Intel TDX quotes, DCAP)</w:t>
            </w:r>
          </w:p>
        </w:tc>
        <w:tc>
          <w:tcPr>
            <w:tcW w:type="dxa" w:w="3300"/>
            <w:tcMar>
              <w:top w:type="dxa" w:w="80"/>
              <w:left w:type="dxa" w:w="100"/>
              <w:bottom w:type="dxa" w:w="80"/>
              <w:right w:type="dxa" w:w="100"/>
            </w:tcMar>
          </w:tcPr>
          <w:p>
            <w:r>
              <w:rPr>
                <w:rFonts w:ascii="Times New Roman" w:cs="Times New Roman" w:eastAsia="Times New Roman" w:hAnsi="Times New Roman"/>
                <w:b w:val="false"/>
                <w:bCs w:val="false"/>
                <w:color w:val="000000"/>
                <w:sz w:val="20"/>
                <w:szCs w:val="20"/>
              </w:rPr>
              <w:t xml:space="preserve">Hardware-rooted evidence that a platform/TD is genuine and in a measured state</w:t>
            </w:r>
          </w:p>
        </w:tc>
        <w:tc>
          <w:tcPr>
            <w:tcW w:type="dxa" w:w="3200"/>
            <w:tcMar>
              <w:top w:type="dxa" w:w="80"/>
              <w:left w:type="dxa" w:w="100"/>
              <w:bottom w:type="dxa" w:w="80"/>
              <w:right w:type="dxa" w:w="100"/>
            </w:tcMar>
          </w:tcPr>
          <w:p>
            <w:r>
              <w:rPr>
                <w:rFonts w:ascii="Times New Roman" w:cs="Times New Roman" w:eastAsia="Times New Roman" w:hAnsi="Times New Roman"/>
                <w:b w:val="false"/>
                <w:bCs w:val="false"/>
                <w:color w:val="000000"/>
                <w:sz w:val="20"/>
                <w:szCs w:val="20"/>
              </w:rPr>
              <w:t xml:space="preserve">No binding to a specific downstream infrastructure action; answers a machine-level question, not a decision-level question</w:t>
            </w:r>
          </w:p>
        </w:tc>
      </w:tr>
      <w:tr>
        <w:tc>
          <w:tcPr>
            <w:tcW w:type="dxa" w:w="2500"/>
            <w:tcMar>
              <w:top w:type="dxa" w:w="80"/>
              <w:left w:type="dxa" w:w="100"/>
              <w:bottom w:type="dxa" w:w="80"/>
              <w:right w:type="dxa" w:w="100"/>
            </w:tcMar>
          </w:tcPr>
          <w:p>
            <w:r>
              <w:rPr>
                <w:rFonts w:ascii="Times New Roman" w:cs="Times New Roman" w:eastAsia="Times New Roman" w:hAnsi="Times New Roman"/>
                <w:b w:val="false"/>
                <w:bCs w:val="false"/>
                <w:color w:val="000000"/>
                <w:sz w:val="20"/>
                <w:szCs w:val="20"/>
              </w:rPr>
              <w:t xml:space="preserve">Device/link attestation (Intel TDX Connect, SPDM, PCIe/CXL IDE)</w:t>
            </w:r>
          </w:p>
        </w:tc>
        <w:tc>
          <w:tcPr>
            <w:tcW w:type="dxa" w:w="3300"/>
            <w:tcMar>
              <w:top w:type="dxa" w:w="80"/>
              <w:left w:type="dxa" w:w="100"/>
              <w:bottom w:type="dxa" w:w="80"/>
              <w:right w:type="dxa" w:w="100"/>
            </w:tcMar>
          </w:tcPr>
          <w:p>
            <w:r>
              <w:rPr>
                <w:rFonts w:ascii="Times New Roman" w:cs="Times New Roman" w:eastAsia="Times New Roman" w:hAnsi="Times New Roman"/>
                <w:b w:val="false"/>
                <w:bCs w:val="false"/>
                <w:color w:val="000000"/>
                <w:sz w:val="20"/>
                <w:szCs w:val="20"/>
              </w:rPr>
              <w:t xml:space="preserve">Authenticates a CXL device and cryptographically protects data in transit to/from it within the TD trust boundary, with replay protection at the link layer</w:t>
            </w:r>
          </w:p>
        </w:tc>
        <w:tc>
          <w:tcPr>
            <w:tcW w:type="dxa" w:w="3200"/>
            <w:tcMar>
              <w:top w:type="dxa" w:w="80"/>
              <w:left w:type="dxa" w:w="100"/>
              <w:bottom w:type="dxa" w:w="80"/>
              <w:right w:type="dxa" w:w="100"/>
            </w:tcMar>
          </w:tcPr>
          <w:p>
            <w:r>
              <w:rPr>
                <w:rFonts w:ascii="Times New Roman" w:cs="Times New Roman" w:eastAsia="Times New Roman" w:hAnsi="Times New Roman"/>
                <w:b w:val="false"/>
                <w:bCs w:val="false"/>
                <w:color w:val="000000"/>
                <w:sz w:val="20"/>
                <w:szCs w:val="20"/>
              </w:rPr>
              <w:t xml:space="preserve">Does not produce a portable proof that a specific resource-management decision made using that device's telemetry was policy-authorized</w:t>
            </w:r>
          </w:p>
        </w:tc>
      </w:tr>
      <w:tr>
        <w:tc>
          <w:tcPr>
            <w:tcW w:type="dxa" w:w="2500"/>
            <w:tcMar>
              <w:top w:type="dxa" w:w="80"/>
              <w:left w:type="dxa" w:w="100"/>
              <w:bottom w:type="dxa" w:w="80"/>
              <w:right w:type="dxa" w:w="100"/>
            </w:tcMar>
          </w:tcPr>
          <w:p>
            <w:r>
              <w:rPr>
                <w:rFonts w:ascii="Times New Roman" w:cs="Times New Roman" w:eastAsia="Times New Roman" w:hAnsi="Times New Roman"/>
                <w:b w:val="false"/>
                <w:bCs w:val="false"/>
                <w:color w:val="000000"/>
                <w:sz w:val="20"/>
                <w:szCs w:val="20"/>
              </w:rPr>
              <w:t xml:space="preserve">Workload / device attestation (general)</w:t>
            </w:r>
          </w:p>
        </w:tc>
        <w:tc>
          <w:tcPr>
            <w:tcW w:type="dxa" w:w="3300"/>
            <w:tcMar>
              <w:top w:type="dxa" w:w="80"/>
              <w:left w:type="dxa" w:w="100"/>
              <w:bottom w:type="dxa" w:w="80"/>
              <w:right w:type="dxa" w:w="100"/>
            </w:tcMar>
          </w:tcPr>
          <w:p>
            <w:r>
              <w:rPr>
                <w:rFonts w:ascii="Times New Roman" w:cs="Times New Roman" w:eastAsia="Times New Roman" w:hAnsi="Times New Roman"/>
                <w:b w:val="false"/>
                <w:bCs w:val="false"/>
                <w:color w:val="000000"/>
                <w:sz w:val="20"/>
                <w:szCs w:val="20"/>
              </w:rPr>
              <w:t xml:space="preserve">Evidence about the identity or integrity of a specific workload or device</w:t>
            </w:r>
          </w:p>
        </w:tc>
        <w:tc>
          <w:tcPr>
            <w:tcW w:type="dxa" w:w="3200"/>
            <w:tcMar>
              <w:top w:type="dxa" w:w="80"/>
              <w:left w:type="dxa" w:w="100"/>
              <w:bottom w:type="dxa" w:w="80"/>
              <w:right w:type="dxa" w:w="100"/>
            </w:tcMar>
          </w:tcPr>
          <w:p>
            <w:r>
              <w:rPr>
                <w:rFonts w:ascii="Times New Roman" w:cs="Times New Roman" w:eastAsia="Times New Roman" w:hAnsi="Times New Roman"/>
                <w:b w:val="false"/>
                <w:bCs w:val="false"/>
                <w:color w:val="000000"/>
                <w:sz w:val="20"/>
                <w:szCs w:val="20"/>
              </w:rPr>
              <w:t xml:space="preserve">Does not attest to the correctness of a resource-management decision made using that workload's telemetry</w:t>
            </w:r>
          </w:p>
        </w:tc>
      </w:tr>
      <w:tr>
        <w:tc>
          <w:tcPr>
            <w:tcW w:type="dxa" w:w="2500"/>
            <w:tcMar>
              <w:top w:type="dxa" w:w="80"/>
              <w:left w:type="dxa" w:w="100"/>
              <w:bottom w:type="dxa" w:w="80"/>
              <w:right w:type="dxa" w:w="100"/>
            </w:tcMar>
          </w:tcPr>
          <w:p>
            <w:r>
              <w:rPr>
                <w:rFonts w:ascii="Times New Roman" w:cs="Times New Roman" w:eastAsia="Times New Roman" w:hAnsi="Times New Roman"/>
                <w:b w:val="false"/>
                <w:bCs w:val="false"/>
                <w:color w:val="000000"/>
                <w:sz w:val="20"/>
                <w:szCs w:val="20"/>
              </w:rPr>
              <w:t xml:space="preserve">Trusted Execution Environments (TEEs)</w:t>
            </w:r>
          </w:p>
        </w:tc>
        <w:tc>
          <w:tcPr>
            <w:tcW w:type="dxa" w:w="3300"/>
            <w:tcMar>
              <w:top w:type="dxa" w:w="80"/>
              <w:left w:type="dxa" w:w="100"/>
              <w:bottom w:type="dxa" w:w="80"/>
              <w:right w:type="dxa" w:w="100"/>
            </w:tcMar>
          </w:tcPr>
          <w:p>
            <w:r>
              <w:rPr>
                <w:rFonts w:ascii="Times New Roman" w:cs="Times New Roman" w:eastAsia="Times New Roman" w:hAnsi="Times New Roman"/>
                <w:b w:val="false"/>
                <w:bCs w:val="false"/>
                <w:color w:val="000000"/>
                <w:sz w:val="20"/>
                <w:szCs w:val="20"/>
              </w:rPr>
              <w:t xml:space="preserve">Confidential execution and isolation for code and data</w:t>
            </w:r>
          </w:p>
        </w:tc>
        <w:tc>
          <w:tcPr>
            <w:tcW w:type="dxa" w:w="3200"/>
            <w:tcMar>
              <w:top w:type="dxa" w:w="80"/>
              <w:left w:type="dxa" w:w="100"/>
              <w:bottom w:type="dxa" w:w="80"/>
              <w:right w:type="dxa" w:w="100"/>
            </w:tcMar>
          </w:tcPr>
          <w:p>
            <w:r>
              <w:rPr>
                <w:rFonts w:ascii="Times New Roman" w:cs="Times New Roman" w:eastAsia="Times New Roman" w:hAnsi="Times New Roman"/>
                <w:b w:val="false"/>
                <w:bCs w:val="false"/>
                <w:color w:val="000000"/>
                <w:sz w:val="20"/>
                <w:szCs w:val="20"/>
              </w:rPr>
              <w:t xml:space="preserve">Does not itself define an evidence format for external actions taken as a result of computation inside the TEE</w:t>
            </w:r>
          </w:p>
        </w:tc>
      </w:tr>
      <w:tr>
        <w:tc>
          <w:tcPr>
            <w:tcW w:type="dxa" w:w="2500"/>
            <w:tcMar>
              <w:top w:type="dxa" w:w="80"/>
              <w:left w:type="dxa" w:w="100"/>
              <w:bottom w:type="dxa" w:w="80"/>
              <w:right w:type="dxa" w:w="100"/>
            </w:tcMar>
          </w:tcPr>
          <w:p>
            <w:r>
              <w:rPr>
                <w:rFonts w:ascii="Times New Roman" w:cs="Times New Roman" w:eastAsia="Times New Roman" w:hAnsi="Times New Roman"/>
                <w:b w:val="false"/>
                <w:bCs w:val="false"/>
                <w:color w:val="000000"/>
                <w:sz w:val="20"/>
                <w:szCs w:val="20"/>
              </w:rPr>
              <w:t xml:space="preserve">Policy engines (e.g., OPA)</w:t>
            </w:r>
          </w:p>
        </w:tc>
        <w:tc>
          <w:tcPr>
            <w:tcW w:type="dxa" w:w="3300"/>
            <w:tcMar>
              <w:top w:type="dxa" w:w="80"/>
              <w:left w:type="dxa" w:w="100"/>
              <w:bottom w:type="dxa" w:w="80"/>
              <w:right w:type="dxa" w:w="100"/>
            </w:tcMar>
          </w:tcPr>
          <w:p>
            <w:r>
              <w:rPr>
                <w:rFonts w:ascii="Times New Roman" w:cs="Times New Roman" w:eastAsia="Times New Roman" w:hAnsi="Times New Roman"/>
                <w:b w:val="false"/>
                <w:bCs w:val="false"/>
                <w:color w:val="000000"/>
                <w:sz w:val="20"/>
                <w:szCs w:val="20"/>
              </w:rPr>
              <w:t xml:space="preserve">Local, declarative policy evaluation and allow/deny decisions</w:t>
            </w:r>
          </w:p>
        </w:tc>
        <w:tc>
          <w:tcPr>
            <w:tcW w:type="dxa" w:w="3200"/>
            <w:tcMar>
              <w:top w:type="dxa" w:w="80"/>
              <w:left w:type="dxa" w:w="100"/>
              <w:bottom w:type="dxa" w:w="80"/>
              <w:right w:type="dxa" w:w="100"/>
            </w:tcMar>
          </w:tcPr>
          <w:p>
            <w:r>
              <w:rPr>
                <w:rFonts w:ascii="Times New Roman" w:cs="Times New Roman" w:eastAsia="Times New Roman" w:hAnsi="Times New Roman"/>
                <w:b w:val="false"/>
                <w:bCs w:val="false"/>
                <w:color w:val="000000"/>
                <w:sz w:val="20"/>
                <w:szCs w:val="20"/>
              </w:rPr>
              <w:t xml:space="preserve">Decisions are not by default portable, signed, freshness-bound artifacts usable by an independent, less-trusted verifier</w:t>
            </w:r>
          </w:p>
        </w:tc>
      </w:tr>
      <w:tr>
        <w:tc>
          <w:tcPr>
            <w:tcW w:type="dxa" w:w="2500"/>
            <w:tcMar>
              <w:top w:type="dxa" w:w="80"/>
              <w:left w:type="dxa" w:w="100"/>
              <w:bottom w:type="dxa" w:w="80"/>
              <w:right w:type="dxa" w:w="100"/>
            </w:tcMar>
          </w:tcPr>
          <w:p>
            <w:r>
              <w:rPr>
                <w:rFonts w:ascii="Times New Roman" w:cs="Times New Roman" w:eastAsia="Times New Roman" w:hAnsi="Times New Roman"/>
                <w:b w:val="false"/>
                <w:bCs w:val="false"/>
                <w:color w:val="000000"/>
                <w:sz w:val="20"/>
                <w:szCs w:val="20"/>
              </w:rPr>
              <w:t xml:space="preserve">Proof-carrying authorization (PCA / privacy-aware PCA)</w:t>
            </w:r>
          </w:p>
        </w:tc>
        <w:tc>
          <w:tcPr>
            <w:tcW w:type="dxa" w:w="3300"/>
            <w:tcMar>
              <w:top w:type="dxa" w:w="80"/>
              <w:left w:type="dxa" w:w="100"/>
              <w:bottom w:type="dxa" w:w="80"/>
              <w:right w:type="dxa" w:w="100"/>
            </w:tcMar>
          </w:tcPr>
          <w:p>
            <w:r>
              <w:rPr>
                <w:rFonts w:ascii="Times New Roman" w:cs="Times New Roman" w:eastAsia="Times New Roman" w:hAnsi="Times New Roman"/>
                <w:b w:val="false"/>
                <w:bCs w:val="false"/>
                <w:color w:val="000000"/>
                <w:sz w:val="20"/>
                <w:szCs w:val="20"/>
              </w:rPr>
              <w:t xml:space="preserve">Requester-constructed, machine-checkable proofs of policy compliance for discrete access requests; privacy-aware variants hide sensitive facts using zero-knowledge proofs of signature knowledge</w:t>
            </w:r>
          </w:p>
        </w:tc>
        <w:tc>
          <w:tcPr>
            <w:tcW w:type="dxa" w:w="3200"/>
            <w:tcMar>
              <w:top w:type="dxa" w:w="80"/>
              <w:left w:type="dxa" w:w="100"/>
              <w:bottom w:type="dxa" w:w="80"/>
              <w:right w:type="dxa" w:w="100"/>
            </w:tcMar>
          </w:tcPr>
          <w:p>
            <w:r>
              <w:rPr>
                <w:rFonts w:ascii="Times New Roman" w:cs="Times New Roman" w:eastAsia="Times New Roman" w:hAnsi="Times New Roman"/>
                <w:b w:val="false"/>
                <w:bCs w:val="false"/>
                <w:color w:val="000000"/>
                <w:sz w:val="20"/>
                <w:szCs w:val="20"/>
              </w:rPr>
              <w:t xml:space="preserve">Designed for one-shot requests over comparatively static credentials; no formalized notion of freshness against continuously-drifting, machine-generated telemetry</w:t>
            </w:r>
          </w:p>
        </w:tc>
      </w:tr>
      <w:tr>
        <w:tc>
          <w:tcPr>
            <w:tcW w:type="dxa" w:w="2500"/>
            <w:tcMar>
              <w:top w:type="dxa" w:w="80"/>
              <w:left w:type="dxa" w:w="100"/>
              <w:bottom w:type="dxa" w:w="80"/>
              <w:right w:type="dxa" w:w="100"/>
            </w:tcMar>
          </w:tcPr>
          <w:p>
            <w:r>
              <w:rPr>
                <w:rFonts w:ascii="Times New Roman" w:cs="Times New Roman" w:eastAsia="Times New Roman" w:hAnsi="Times New Roman"/>
                <w:b w:val="false"/>
                <w:bCs w:val="false"/>
                <w:color w:val="000000"/>
                <w:sz w:val="20"/>
                <w:szCs w:val="20"/>
              </w:rPr>
              <w:t xml:space="preserve">CXL pooling systems (e.g., Pond, Equilibria)</w:t>
            </w:r>
          </w:p>
        </w:tc>
        <w:tc>
          <w:tcPr>
            <w:tcW w:type="dxa" w:w="3300"/>
            <w:tcMar>
              <w:top w:type="dxa" w:w="80"/>
              <w:left w:type="dxa" w:w="100"/>
              <w:bottom w:type="dxa" w:w="80"/>
              <w:right w:type="dxa" w:w="100"/>
            </w:tcMar>
          </w:tcPr>
          <w:p>
            <w:r>
              <w:rPr>
                <w:rFonts w:ascii="Times New Roman" w:cs="Times New Roman" w:eastAsia="Times New Roman" w:hAnsi="Times New Roman"/>
                <w:b w:val="false"/>
                <w:bCs w:val="false"/>
                <w:color w:val="000000"/>
                <w:sz w:val="20"/>
                <w:szCs w:val="20"/>
              </w:rPr>
              <w:t xml:space="preserve">Performance- and fairness-oriented mechanisms for dynamic, multi-tenant CXL allocation at datacenter scale</w:t>
            </w:r>
          </w:p>
        </w:tc>
        <w:tc>
          <w:tcPr>
            <w:tcW w:type="dxa" w:w="3200"/>
            <w:tcMar>
              <w:top w:type="dxa" w:w="80"/>
              <w:left w:type="dxa" w:w="100"/>
              <w:bottom w:type="dxa" w:w="80"/>
              <w:right w:type="dxa" w:w="100"/>
            </w:tcMar>
          </w:tcPr>
          <w:p>
            <w:r>
              <w:rPr>
                <w:rFonts w:ascii="Times New Roman" w:cs="Times New Roman" w:eastAsia="Times New Roman" w:hAnsi="Times New Roman"/>
                <w:b w:val="false"/>
                <w:bCs w:val="false"/>
                <w:color w:val="000000"/>
                <w:sz w:val="20"/>
                <w:szCs w:val="20"/>
              </w:rPr>
              <w:t xml:space="preserve">Do not address confidentiality of the telemetry used to drive pooling/allocation decisions</w:t>
            </w:r>
          </w:p>
        </w:tc>
      </w:tr>
    </w:tbl>
    <w:p>
      <w:pPr>
        <w:spacing w:after="160" w:line="276"/>
        <w:jc w:val="both"/>
      </w:pPr>
      <w:r>
        <w:rPr>
          <w:rFonts w:ascii="Times New Roman" w:cs="Times New Roman" w:eastAsia="Times New Roman" w:hAnsi="Times New Roman"/>
          <w:sz w:val="22"/>
          <w:szCs w:val="22"/>
        </w:rPr>
        <w:t xml:space="preserve">Across these categories, existing systems do not, to the best of our knowledge, simultaneously provide action binding, freshness guarantees over continuously-updating state, telemetry minimization, and policy-authorized CXL resource decisions within a single verification framework. This is a narrower and more defensible claim than asserting that no related concept exists: the individual ingredients — attestation, device-link security, policy evaluation, and proof-carrying authorization — are each well established. S2A's contribution is their composition and, specifically, the freshness-aware extension of proof-carrying authorization required to apply it safely to physical infrastructure telemetry rather than static credentials.</w:t>
      </w:r>
    </w:p>
    <w:p>
      <w:pPr>
        <w:spacing w:after="160" w:line="276"/>
        <w:jc w:val="both"/>
      </w:pPr>
      <w:r>
        <w:rPr>
          <w:rFonts w:ascii="Times New Roman" w:cs="Times New Roman" w:eastAsia="Times New Roman" w:hAnsi="Times New Roman"/>
          <w:sz w:val="22"/>
          <w:szCs w:val="22"/>
        </w:rPr>
        <w:t xml:space="preserve">S2A does not replace any of the mechanisms above; it composes them. Platform and device attestation establish trust in the source of telemetry, policy engines determine whether an action is permitted, and S2A converts that decision into portable, freshness-aware evidence that can be independently verified before the action is executed.</w:t>
      </w:r>
    </w:p>
    <w:p>
      <w:pPr>
        <w:pStyle w:val="Heading1"/>
        <w:spacing w:after="160" w:before="320"/>
      </w:pPr>
      <w:r>
        <w:rPr>
          <w:rFonts w:ascii="Times New Roman" w:cs="Times New Roman" w:eastAsia="Times New Roman" w:hAnsi="Times New Roman"/>
          <w:b/>
          <w:bCs/>
          <w:color w:val="1F3864"/>
          <w:sz w:val="26"/>
          <w:szCs w:val="26"/>
        </w:rPr>
        <w:t xml:space="preserve">5. Research Gap</w:t>
      </w:r>
    </w:p>
    <w:p>
      <w:pPr>
        <w:spacing w:after="160" w:line="276"/>
        <w:jc w:val="both"/>
      </w:pPr>
      <w:r>
        <w:rPr>
          <w:rFonts w:ascii="Times New Roman" w:cs="Times New Roman" w:eastAsia="Times New Roman" w:hAnsi="Times New Roman"/>
          <w:sz w:val="22"/>
          <w:szCs w:val="22"/>
        </w:rPr>
        <w:t xml:space="preserve">Existing attestation and policy infrastructure answers "can this machine, device, or workload be trusted?" S2A instead answers "can this specific infrastructure action be trusted?" We identify the gap precisely as a compact, freshness-aware, action-bound evidence layer for CXL resource decisions — a specialization of proof-carrying authorization to machine-generated telemetry — that avoids unnecessary telemetry disclosure to the orchestration layer, cloud operator, or network observers, and that composes with, rather than duplicates, Intel's existing TDX, TDX Connect, and DCAP attestation chain.</w:t>
      </w:r>
    </w:p>
    <w:p>
      <w:pPr>
        <w:pStyle w:val="Heading1"/>
        <w:spacing w:after="160" w:before="320"/>
      </w:pPr>
      <w:r>
        <w:rPr>
          <w:rFonts w:ascii="Times New Roman" w:cs="Times New Roman" w:eastAsia="Times New Roman" w:hAnsi="Times New Roman"/>
          <w:b/>
          <w:bCs/>
          <w:color w:val="1F3864"/>
          <w:sz w:val="26"/>
          <w:szCs w:val="26"/>
        </w:rPr>
        <w:t xml:space="preserve">6. Problem Statement</w:t>
      </w:r>
    </w:p>
    <w:p>
      <w:pPr>
        <w:spacing w:after="160" w:line="276"/>
        <w:jc w:val="both"/>
      </w:pPr>
      <w:r>
        <w:rPr>
          <w:rFonts w:ascii="Times New Roman" w:cs="Times New Roman" w:eastAsia="Times New Roman" w:hAnsi="Times New Roman"/>
          <w:sz w:val="22"/>
          <w:szCs w:val="22"/>
        </w:rPr>
        <w:t xml:space="preserve">Given a resource-management action a (for example, allocate, reclaim, or migrate a CXL region), a resource identifier r, and a policy P defined over infrastructure telemetry T, we want a mechanism that produces evidence e such that: (i) e was generated by a trusted measurement and policy-evaluation layer; (ii) e proves that P(T) evaluated to "authorize a on r" as of a verifiable, bounded-freshness infrastructure epoch; (iii) e is cryptographically bound to (r, a, policy-id, epoch, timestamp, nonce) so that it cannot be replayed for a different action, resource, or time window; and (iv) verification of e by an independent, less-trusted verifier does not require access to T. We refer to a system satisfying these properties as freshness-aware and action-bound, and we present S2A as one instantiation of it.</w:t>
      </w:r>
    </w:p>
    <w:p>
      <w:pPr>
        <w:pStyle w:val="Heading1"/>
        <w:spacing w:after="160" w:before="320"/>
      </w:pPr>
      <w:r>
        <w:rPr>
          <w:rFonts w:ascii="Times New Roman" w:cs="Times New Roman" w:eastAsia="Times New Roman" w:hAnsi="Times New Roman"/>
          <w:b/>
          <w:bCs/>
          <w:color w:val="1F3864"/>
          <w:sz w:val="26"/>
          <w:szCs w:val="26"/>
        </w:rPr>
        <w:t xml:space="preserve">7. Threat Model</w:t>
      </w:r>
    </w:p>
    <w:p>
      <w:pPr>
        <w:pStyle w:val="Heading2"/>
        <w:spacing w:after="120" w:before="220"/>
      </w:pPr>
      <w:r>
        <w:rPr>
          <w:rFonts w:ascii="Times New Roman" w:cs="Times New Roman" w:eastAsia="Times New Roman" w:hAnsi="Times New Roman"/>
          <w:b/>
          <w:bCs/>
          <w:i/>
          <w:iCs/>
          <w:color w:val="2E4E7A"/>
          <w:sz w:val="23"/>
          <w:szCs w:val="23"/>
        </w:rPr>
        <w:t xml:space="preserve">7.1 Trusted Components</w:t>
      </w:r>
    </w:p>
    <w:p>
      <w:pPr>
        <w:pStyle w:val="ListParagraph"/>
        <w:numPr>
          <w:ilvl w:val="0"/>
          <w:numId w:val="2"/>
        </w:numPr>
        <w:spacing w:after="80"/>
      </w:pPr>
      <w:r>
        <w:rPr>
          <w:rFonts w:ascii="Times New Roman" w:cs="Times New Roman" w:eastAsia="Times New Roman" w:hAnsi="Times New Roman"/>
          <w:sz w:val="22"/>
          <w:szCs w:val="22"/>
        </w:rPr>
        <w:t xml:space="preserve">The hardware root of trust and the associated TDX/TDX Connect/DCAP attestation chain.</w:t>
      </w:r>
    </w:p>
    <w:p>
      <w:pPr>
        <w:pStyle w:val="ListParagraph"/>
        <w:numPr>
          <w:ilvl w:val="0"/>
          <w:numId w:val="2"/>
        </w:numPr>
        <w:spacing w:after="80"/>
      </w:pPr>
      <w:r>
        <w:rPr>
          <w:rFonts w:ascii="Times New Roman" w:cs="Times New Roman" w:eastAsia="Times New Roman" w:hAnsi="Times New Roman"/>
          <w:sz w:val="22"/>
          <w:szCs w:val="22"/>
        </w:rPr>
        <w:t xml:space="preserve">The trusted state-collection and policy-evaluation layer running inside an attested trust domain.</w:t>
      </w:r>
    </w:p>
    <w:p>
      <w:pPr>
        <w:pStyle w:val="ListParagraph"/>
        <w:numPr>
          <w:ilvl w:val="0"/>
          <w:numId w:val="2"/>
        </w:numPr>
        <w:spacing w:after="80"/>
      </w:pPr>
      <w:r>
        <w:rPr>
          <w:rFonts w:ascii="Times New Roman" w:cs="Times New Roman" w:eastAsia="Times New Roman" w:hAnsi="Times New Roman"/>
          <w:sz w:val="22"/>
          <w:szCs w:val="22"/>
        </w:rPr>
        <w:t xml:space="preserve">The policy definitions themselves, once their integrity has been verified as part of the TD's measured state.</w:t>
      </w:r>
    </w:p>
    <w:p>
      <w:pPr>
        <w:pStyle w:val="Heading2"/>
        <w:spacing w:after="120" w:before="220"/>
      </w:pPr>
      <w:r>
        <w:rPr>
          <w:rFonts w:ascii="Times New Roman" w:cs="Times New Roman" w:eastAsia="Times New Roman" w:hAnsi="Times New Roman"/>
          <w:b/>
          <w:bCs/>
          <w:i/>
          <w:iCs/>
          <w:color w:val="2E4E7A"/>
          <w:sz w:val="23"/>
          <w:szCs w:val="23"/>
        </w:rPr>
        <w:t xml:space="preserve">7.2 Potentially Untrusted Components</w:t>
      </w:r>
    </w:p>
    <w:p>
      <w:pPr>
        <w:pStyle w:val="ListParagraph"/>
        <w:numPr>
          <w:ilvl w:val="0"/>
          <w:numId w:val="2"/>
        </w:numPr>
        <w:spacing w:after="80"/>
      </w:pPr>
      <w:r>
        <w:rPr>
          <w:rFonts w:ascii="Times New Roman" w:cs="Times New Roman" w:eastAsia="Times New Roman" w:hAnsi="Times New Roman"/>
          <w:sz w:val="22"/>
          <w:szCs w:val="22"/>
        </w:rPr>
        <w:t xml:space="preserve">The orchestration / scheduling layer that consumes actions and evidence.</w:t>
      </w:r>
    </w:p>
    <w:p>
      <w:pPr>
        <w:pStyle w:val="ListParagraph"/>
        <w:numPr>
          <w:ilvl w:val="0"/>
          <w:numId w:val="2"/>
        </w:numPr>
        <w:spacing w:after="80"/>
      </w:pPr>
      <w:r>
        <w:rPr>
          <w:rFonts w:ascii="Times New Roman" w:cs="Times New Roman" w:eastAsia="Times New Roman" w:hAnsi="Times New Roman"/>
          <w:sz w:val="22"/>
          <w:szCs w:val="22"/>
        </w:rPr>
        <w:t xml:space="preserve">The cloud operator's control plane and administrative tooling.</w:t>
      </w:r>
    </w:p>
    <w:p>
      <w:pPr>
        <w:pStyle w:val="ListParagraph"/>
        <w:numPr>
          <w:ilvl w:val="0"/>
          <w:numId w:val="2"/>
        </w:numPr>
        <w:spacing w:after="80"/>
      </w:pPr>
      <w:r>
        <w:rPr>
          <w:rFonts w:ascii="Times New Roman" w:cs="Times New Roman" w:eastAsia="Times New Roman" w:hAnsi="Times New Roman"/>
          <w:sz w:val="22"/>
          <w:szCs w:val="22"/>
        </w:rPr>
        <w:t xml:space="preserve">The resource scheduler process and any intermediate message bus.</w:t>
      </w:r>
    </w:p>
    <w:p>
      <w:pPr>
        <w:pStyle w:val="ListParagraph"/>
        <w:numPr>
          <w:ilvl w:val="0"/>
          <w:numId w:val="2"/>
        </w:numPr>
        <w:spacing w:after="80"/>
      </w:pPr>
      <w:r>
        <w:rPr>
          <w:rFonts w:ascii="Times New Roman" w:cs="Times New Roman" w:eastAsia="Times New Roman" w:hAnsi="Times New Roman"/>
          <w:sz w:val="22"/>
          <w:szCs w:val="22"/>
        </w:rPr>
        <w:t xml:space="preserve">Tenant workloads, which may attempt to influence telemetry to trigger favorable actions.</w:t>
      </w:r>
    </w:p>
    <w:p>
      <w:pPr>
        <w:pStyle w:val="ListParagraph"/>
        <w:numPr>
          <w:ilvl w:val="0"/>
          <w:numId w:val="2"/>
        </w:numPr>
        <w:spacing w:after="80"/>
      </w:pPr>
      <w:r>
        <w:rPr>
          <w:rFonts w:ascii="Times New Roman" w:cs="Times New Roman" w:eastAsia="Times New Roman" w:hAnsi="Times New Roman"/>
          <w:sz w:val="22"/>
          <w:szCs w:val="22"/>
        </w:rPr>
        <w:t xml:space="preserve">Network observers positioned between the trusted layer and the orchestrator.</w:t>
      </w:r>
    </w:p>
    <w:p>
      <w:pPr>
        <w:pStyle w:val="Heading2"/>
        <w:spacing w:after="120" w:before="220"/>
      </w:pPr>
      <w:r>
        <w:rPr>
          <w:rFonts w:ascii="Times New Roman" w:cs="Times New Roman" w:eastAsia="Times New Roman" w:hAnsi="Times New Roman"/>
          <w:b/>
          <w:bCs/>
          <w:i/>
          <w:iCs/>
          <w:color w:val="2E4E7A"/>
          <w:sz w:val="23"/>
          <w:szCs w:val="23"/>
        </w:rPr>
        <w:t xml:space="preserve">7.3 Attack Goals Considered</w:t>
      </w:r>
    </w:p>
    <w:p>
      <w:pPr>
        <w:pStyle w:val="ListParagraph"/>
        <w:numPr>
          <w:ilvl w:val="0"/>
          <w:numId w:val="2"/>
        </w:numPr>
        <w:spacing w:after="80"/>
      </w:pPr>
      <w:r>
        <w:rPr>
          <w:rFonts w:ascii="Times New Roman" w:cs="Times New Roman" w:eastAsia="Times New Roman" w:hAnsi="Times New Roman"/>
          <w:sz w:val="22"/>
          <w:szCs w:val="22"/>
        </w:rPr>
        <w:t xml:space="preserve">Replay: resubmitting a previously valid proof to authorize an action after conditions have changed.</w:t>
      </w:r>
    </w:p>
    <w:p>
      <w:pPr>
        <w:pStyle w:val="ListParagraph"/>
        <w:numPr>
          <w:ilvl w:val="0"/>
          <w:numId w:val="2"/>
        </w:numPr>
        <w:spacing w:after="80"/>
      </w:pPr>
      <w:r>
        <w:rPr>
          <w:rFonts w:ascii="Times New Roman" w:cs="Times New Roman" w:eastAsia="Times New Roman" w:hAnsi="Times New Roman"/>
          <w:sz w:val="22"/>
          <w:szCs w:val="22"/>
        </w:rPr>
        <w:t xml:space="preserve">Forgery: constructing an action/evidence pair without going through the trusted policy-evaluation layer.</w:t>
      </w:r>
    </w:p>
    <w:p>
      <w:pPr>
        <w:pStyle w:val="ListParagraph"/>
        <w:numPr>
          <w:ilvl w:val="0"/>
          <w:numId w:val="2"/>
        </w:numPr>
        <w:spacing w:after="80"/>
      </w:pPr>
      <w:r>
        <w:rPr>
          <w:rFonts w:ascii="Times New Roman" w:cs="Times New Roman" w:eastAsia="Times New Roman" w:hAnsi="Times New Roman"/>
          <w:sz w:val="22"/>
          <w:szCs w:val="22"/>
        </w:rPr>
        <w:t xml:space="preserve">Modification: altering an authorized action (different resource, different target host) while reusing valid-looking evidence.</w:t>
      </w:r>
    </w:p>
    <w:p>
      <w:pPr>
        <w:pStyle w:val="ListParagraph"/>
        <w:numPr>
          <w:ilvl w:val="0"/>
          <w:numId w:val="2"/>
        </w:numPr>
        <w:spacing w:after="80"/>
      </w:pPr>
      <w:r>
        <w:rPr>
          <w:rFonts w:ascii="Times New Roman" w:cs="Times New Roman" w:eastAsia="Times New Roman" w:hAnsi="Times New Roman"/>
          <w:sz w:val="22"/>
          <w:szCs w:val="22"/>
        </w:rPr>
        <w:t xml:space="preserve">Stale telemetry: exploiting a delay between measurement and use to justify an action under outdated conditions.</w:t>
      </w:r>
    </w:p>
    <w:p>
      <w:pPr>
        <w:pStyle w:val="ListParagraph"/>
        <w:numPr>
          <w:ilvl w:val="0"/>
          <w:numId w:val="2"/>
        </w:numPr>
        <w:spacing w:after="80"/>
      </w:pPr>
      <w:r>
        <w:rPr>
          <w:rFonts w:ascii="Times New Roman" w:cs="Times New Roman" w:eastAsia="Times New Roman" w:hAnsi="Times New Roman"/>
          <w:sz w:val="22"/>
          <w:szCs w:val="22"/>
        </w:rPr>
        <w:t xml:space="preserve">Unauthorized migration: moving CXL capacity across tenant or trust boundaries without policy authorization.</w:t>
      </w:r>
    </w:p>
    <w:p>
      <w:pPr>
        <w:pStyle w:val="ListParagraph"/>
        <w:numPr>
          <w:ilvl w:val="0"/>
          <w:numId w:val="2"/>
        </w:numPr>
        <w:spacing w:after="80"/>
      </w:pPr>
      <w:r>
        <w:rPr>
          <w:rFonts w:ascii="Times New Roman" w:cs="Times New Roman" w:eastAsia="Times New Roman" w:hAnsi="Times New Roman"/>
          <w:sz w:val="22"/>
          <w:szCs w:val="22"/>
        </w:rPr>
        <w:t xml:space="preserve">Telemetry leakage: extracting or inferring raw infrastructure telemetry from the evidence itself.</w:t>
      </w:r>
    </w:p>
    <w:p>
      <w:pPr>
        <w:spacing w:after="160" w:line="276"/>
        <w:jc w:val="both"/>
      </w:pPr>
      <w:r>
        <w:rPr>
          <w:rFonts w:ascii="Times New Roman" w:cs="Times New Roman" w:eastAsia="Times New Roman" w:hAnsi="Times New Roman"/>
          <w:sz w:val="22"/>
          <w:szCs w:val="22"/>
        </w:rPr>
        <w:t xml:space="preserve">We assume the hardware root of trust and its attestation chain — including the device-level guarantees TDX Connect provides for CXL — are not compromised; attacks on TDX, TDX Connect, or DCAP themselves are out of scope and are the subject of Intel's existing platform security work. We assume the attacker can observe, delay, duplicate, and attempt to modify messages between the trusted layer and the orchestrator, consistent with a standard Dolev–Yao network attacker model.</w:t>
      </w:r>
    </w:p>
    <w:p>
      <w:pPr>
        <w:pStyle w:val="Heading1"/>
        <w:spacing w:after="160" w:before="320"/>
      </w:pPr>
      <w:r>
        <w:rPr>
          <w:rFonts w:ascii="Times New Roman" w:cs="Times New Roman" w:eastAsia="Times New Roman" w:hAnsi="Times New Roman"/>
          <w:b/>
          <w:bCs/>
          <w:color w:val="1F3864"/>
          <w:sz w:val="26"/>
          <w:szCs w:val="26"/>
        </w:rPr>
        <w:t xml:space="preserve">8. System Design</w:t>
      </w:r>
    </w:p>
    <w:p>
      <w:pPr>
        <w:spacing w:after="160" w:line="276"/>
        <w:jc w:val="both"/>
      </w:pPr>
      <w:r>
        <w:rPr>
          <w:rFonts w:ascii="Times New Roman" w:cs="Times New Roman" w:eastAsia="Times New Roman" w:hAnsi="Times New Roman"/>
          <w:sz w:val="22"/>
          <w:szCs w:val="22"/>
        </w:rPr>
        <w:t xml:space="preserve">S2A is structured as a linear evidence pipeline, deployed inside (or alongside) the trusted platform's measured environment, that transforms raw telemetry into a verifiable, action-bound proof before anything leaves the trust boundary. It is designed to sit directly above a TDX Connect-secured device/link, consuming already-authenticated telemetry rather than re-solving device authentication itself.</w:t>
      </w:r>
    </w:p>
    <w:p>
      <w:pPr>
        <w:shd w:fill="F2F2F2" w:val="clear"/>
        <w:spacing w:after="160"/>
      </w:pPr>
      <w:r>
        <w:rPr>
          <w:rFonts w:ascii="Consolas" w:cs="Consolas" w:eastAsia="Consolas" w:hAnsi="Consolas"/>
          <w:sz w:val="19"/>
          <w:szCs w:val="19"/>
        </w:rPr>
        <w:t xml:space="preserve">Hardware Telemetry  (arrives over a TDX Connect-secured CXL link)</w:t>
      </w:r>
      <w:r>
        <w:br/>
        <w:t xml:space="preserve"/>
      </w:r>
      <w:r>
        <w:rPr>
          <w:rFonts w:ascii="Consolas" w:cs="Consolas" w:eastAsia="Consolas" w:hAnsi="Consolas"/>
          <w:sz w:val="19"/>
          <w:szCs w:val="19"/>
        </w:rPr>
        <w:t xml:space="preserve">      |</w:t>
      </w:r>
      <w:r>
        <w:br/>
        <w:t xml:space="preserve"/>
      </w:r>
      <w:r>
        <w:rPr>
          <w:rFonts w:ascii="Consolas" w:cs="Consolas" w:eastAsia="Consolas" w:hAnsi="Consolas"/>
          <w:sz w:val="19"/>
          <w:szCs w:val="19"/>
        </w:rPr>
        <w:t xml:space="preserve">      v</w:t>
      </w:r>
      <w:r>
        <w:br/>
        <w:t xml:space="preserve"/>
      </w:r>
      <w:r>
        <w:rPr>
          <w:rFonts w:ascii="Consolas" w:cs="Consolas" w:eastAsia="Consolas" w:hAnsi="Consolas"/>
          <w:sz w:val="19"/>
          <w:szCs w:val="19"/>
        </w:rPr>
        <w:t xml:space="preserve">Trusted State Collection   (attested measurement agent)</w:t>
      </w:r>
      <w:r>
        <w:br/>
        <w:t xml:space="preserve"/>
      </w:r>
      <w:r>
        <w:rPr>
          <w:rFonts w:ascii="Consolas" w:cs="Consolas" w:eastAsia="Consolas" w:hAnsi="Consolas"/>
          <w:sz w:val="19"/>
          <w:szCs w:val="19"/>
        </w:rPr>
        <w:t xml:space="preserve">      |</w:t>
      </w:r>
      <w:r>
        <w:br/>
        <w:t xml:space="preserve"/>
      </w:r>
      <w:r>
        <w:rPr>
          <w:rFonts w:ascii="Consolas" w:cs="Consolas" w:eastAsia="Consolas" w:hAnsi="Consolas"/>
          <w:sz w:val="19"/>
          <w:szCs w:val="19"/>
        </w:rPr>
        <w:t xml:space="preserve">      v</w:t>
      </w:r>
      <w:r>
        <w:br/>
        <w:t xml:space="preserve"/>
      </w:r>
      <w:r>
        <w:rPr>
          <w:rFonts w:ascii="Consolas" w:cs="Consolas" w:eastAsia="Consolas" w:hAnsi="Consolas"/>
          <w:sz w:val="19"/>
          <w:szCs w:val="19"/>
        </w:rPr>
        <w:t xml:space="preserve">Policy Evaluation Engine   (e.g., OPA / Rego)</w:t>
      </w:r>
      <w:r>
        <w:br/>
        <w:t xml:space="preserve"/>
      </w:r>
      <w:r>
        <w:rPr>
          <w:rFonts w:ascii="Consolas" w:cs="Consolas" w:eastAsia="Consolas" w:hAnsi="Consolas"/>
          <w:sz w:val="19"/>
          <w:szCs w:val="19"/>
        </w:rPr>
        <w:t xml:space="preserve">      |</w:t>
      </w:r>
      <w:r>
        <w:br/>
        <w:t xml:space="preserve"/>
      </w:r>
      <w:r>
        <w:rPr>
          <w:rFonts w:ascii="Consolas" w:cs="Consolas" w:eastAsia="Consolas" w:hAnsi="Consolas"/>
          <w:sz w:val="19"/>
          <w:szCs w:val="19"/>
        </w:rPr>
        <w:t xml:space="preserve">      v</w:t>
      </w:r>
      <w:r>
        <w:br/>
        <w:t xml:space="preserve"/>
      </w:r>
      <w:r>
        <w:rPr>
          <w:rFonts w:ascii="Consolas" w:cs="Consolas" w:eastAsia="Consolas" w:hAnsi="Consolas"/>
          <w:sz w:val="19"/>
          <w:szCs w:val="19"/>
        </w:rPr>
        <w:t xml:space="preserve">Freshness Binding          (epoch, timestamp, nonce)</w:t>
      </w:r>
      <w:r>
        <w:br/>
        <w:t xml:space="preserve"/>
      </w:r>
      <w:r>
        <w:rPr>
          <w:rFonts w:ascii="Consolas" w:cs="Consolas" w:eastAsia="Consolas" w:hAnsi="Consolas"/>
          <w:sz w:val="19"/>
          <w:szCs w:val="19"/>
        </w:rPr>
        <w:t xml:space="preserve">      |</w:t>
      </w:r>
      <w:r>
        <w:br/>
        <w:t xml:space="preserve"/>
      </w:r>
      <w:r>
        <w:rPr>
          <w:rFonts w:ascii="Consolas" w:cs="Consolas" w:eastAsia="Consolas" w:hAnsi="Consolas"/>
          <w:sz w:val="19"/>
          <w:szCs w:val="19"/>
        </w:rPr>
        <w:t xml:space="preserve">      v</w:t>
      </w:r>
      <w:r>
        <w:br/>
        <w:t xml:space="preserve"/>
      </w:r>
      <w:r>
        <w:rPr>
          <w:rFonts w:ascii="Consolas" w:cs="Consolas" w:eastAsia="Consolas" w:hAnsi="Consolas"/>
          <w:sz w:val="19"/>
          <w:szCs w:val="19"/>
        </w:rPr>
        <w:t xml:space="preserve">Proof Generator            (commitment + signature)</w:t>
      </w:r>
      <w:r>
        <w:br/>
        <w:t xml:space="preserve"/>
      </w:r>
      <w:r>
        <w:rPr>
          <w:rFonts w:ascii="Consolas" w:cs="Consolas" w:eastAsia="Consolas" w:hAnsi="Consolas"/>
          <w:sz w:val="19"/>
          <w:szCs w:val="19"/>
        </w:rPr>
        <w:t xml:space="preserve">      |</w:t>
      </w:r>
      <w:r>
        <w:br/>
        <w:t xml:space="preserve"/>
      </w:r>
      <w:r>
        <w:rPr>
          <w:rFonts w:ascii="Consolas" w:cs="Consolas" w:eastAsia="Consolas" w:hAnsi="Consolas"/>
          <w:sz w:val="19"/>
          <w:szCs w:val="19"/>
        </w:rPr>
        <w:t xml:space="preserve">      v</w:t>
      </w:r>
      <w:r>
        <w:br/>
        <w:t xml:space="preserve"/>
      </w:r>
      <w:r>
        <w:rPr>
          <w:rFonts w:ascii="Consolas" w:cs="Consolas" w:eastAsia="Consolas" w:hAnsi="Consolas"/>
          <w:sz w:val="19"/>
          <w:szCs w:val="19"/>
        </w:rPr>
        <w:t xml:space="preserve">Action + Evidence   ----&gt;  Independent Verifier  ----&gt;  Execute / Reject</w:t>
      </w:r>
    </w:p>
    <w:p>
      <w:pPr>
        <w:spacing w:after="200" w:before="80"/>
        <w:jc w:val="center"/>
      </w:pPr>
      <w:r>
        <w:rPr>
          <w:rFonts w:ascii="Times New Roman" w:cs="Times New Roman" w:eastAsia="Times New Roman" w:hAnsi="Times New Roman"/>
          <w:i/>
          <w:iCs/>
          <w:sz w:val="20"/>
          <w:szCs w:val="20"/>
        </w:rPr>
        <w:t xml:space="preserve">Figure 1. The S2A evidence pipeline, from telemetry to a verified orchestration decision.</w:t>
      </w:r>
    </w:p>
    <w:p>
      <w:pPr>
        <w:pStyle w:val="Heading2"/>
        <w:spacing w:after="120" w:before="220"/>
      </w:pPr>
      <w:r>
        <w:rPr>
          <w:rFonts w:ascii="Times New Roman" w:cs="Times New Roman" w:eastAsia="Times New Roman" w:hAnsi="Times New Roman"/>
          <w:b/>
          <w:bCs/>
          <w:i/>
          <w:iCs/>
          <w:color w:val="2E4E7A"/>
          <w:sz w:val="23"/>
          <w:szCs w:val="23"/>
        </w:rPr>
        <w:t xml:space="preserve">8.1 Trusted State Collection</w:t>
      </w:r>
    </w:p>
    <w:p>
      <w:pPr>
        <w:spacing w:after="160" w:line="276"/>
        <w:jc w:val="both"/>
      </w:pPr>
      <w:r>
        <w:rPr>
          <w:rFonts w:ascii="Times New Roman" w:cs="Times New Roman" w:eastAsia="Times New Roman" w:hAnsi="Times New Roman"/>
          <w:sz w:val="22"/>
          <w:szCs w:val="22"/>
        </w:rPr>
        <w:t xml:space="preserve">A measurement agent, running inside an attested TD, reads infrastructure telemetry (memory pressure, ECC counters, thermal margins, queue occupancy, workload behavior summaries) at a fixed cadence and produces a structured state snapshot. The snapshot hash is securely recorded and linked to the attestation evidence generated by the TD, so the integrity of the snapshot itself is anchored to the existing TDX attestation chain rather than to any new trust mechanism.</w:t>
      </w:r>
    </w:p>
    <w:p>
      <w:pPr>
        <w:pStyle w:val="Heading2"/>
        <w:spacing w:after="120" w:before="220"/>
      </w:pPr>
      <w:r>
        <w:rPr>
          <w:rFonts w:ascii="Times New Roman" w:cs="Times New Roman" w:eastAsia="Times New Roman" w:hAnsi="Times New Roman"/>
          <w:b/>
          <w:bCs/>
          <w:i/>
          <w:iCs/>
          <w:color w:val="2E4E7A"/>
          <w:sz w:val="23"/>
          <w:szCs w:val="23"/>
        </w:rPr>
        <w:t xml:space="preserve">8.2 Policy Evaluation Engine</w:t>
      </w:r>
    </w:p>
    <w:p>
      <w:pPr>
        <w:spacing w:after="160" w:line="276"/>
        <w:jc w:val="both"/>
      </w:pPr>
      <w:r>
        <w:rPr>
          <w:rFonts w:ascii="Times New Roman" w:cs="Times New Roman" w:eastAsia="Times New Roman" w:hAnsi="Times New Roman"/>
          <w:sz w:val="22"/>
          <w:szCs w:val="22"/>
        </w:rPr>
        <w:t xml:space="preserve">The state snapshot is passed as input to a policy engine evaluating a declarative policy relevant to the candidate action (allocate, reclaim, or migrate). The policy engine returns a boolean authorization decision and, internally, the specific policy identifier and rule version that were evaluated. Only the boolean decision and identifiers cross into the evidence layer; the snapshot itself does not.</w:t>
      </w:r>
    </w:p>
    <w:p>
      <w:pPr>
        <w:pStyle w:val="Heading2"/>
        <w:spacing w:after="120" w:before="220"/>
      </w:pPr>
      <w:r>
        <w:rPr>
          <w:rFonts w:ascii="Times New Roman" w:cs="Times New Roman" w:eastAsia="Times New Roman" w:hAnsi="Times New Roman"/>
          <w:b/>
          <w:bCs/>
          <w:i/>
          <w:iCs/>
          <w:color w:val="2E4E7A"/>
          <w:sz w:val="23"/>
          <w:szCs w:val="23"/>
        </w:rPr>
        <w:t xml:space="preserve">8.3 Freshness Binding</w:t>
      </w:r>
    </w:p>
    <w:p>
      <w:pPr>
        <w:spacing w:after="160" w:line="276"/>
        <w:jc w:val="both"/>
      </w:pPr>
      <w:r>
        <w:rPr>
          <w:rFonts w:ascii="Times New Roman" w:cs="Times New Roman" w:eastAsia="Times New Roman" w:hAnsi="Times New Roman"/>
          <w:sz w:val="22"/>
          <w:szCs w:val="22"/>
        </w:rPr>
        <w:t xml:space="preserve">The authorization decision is combined with a freshness context: a monotonically increasing infrastructure epoch counter, a wall-clock timestamp, and a verifier-supplied or locally generated nonce, together with the resource identifier and action type under consideration. This binding step is what converts a generic "policy satisfied" result into an action-specific, replay-resistant claim, and is the property that distinguishes S2A from request-time proof-carrying authorization (Section 3.5).</w:t>
      </w:r>
    </w:p>
    <w:p>
      <w:pPr>
        <w:pStyle w:val="Heading2"/>
        <w:spacing w:after="120" w:before="220"/>
      </w:pPr>
      <w:r>
        <w:rPr>
          <w:rFonts w:ascii="Times New Roman" w:cs="Times New Roman" w:eastAsia="Times New Roman" w:hAnsi="Times New Roman"/>
          <w:b/>
          <w:bCs/>
          <w:i/>
          <w:iCs/>
          <w:color w:val="2E4E7A"/>
          <w:sz w:val="23"/>
          <w:szCs w:val="23"/>
        </w:rPr>
        <w:t xml:space="preserve">8.4 Proof Generator</w:t>
      </w:r>
    </w:p>
    <w:p>
      <w:pPr>
        <w:spacing w:after="160" w:line="276"/>
        <w:jc w:val="both"/>
      </w:pPr>
      <w:r>
        <w:rPr>
          <w:rFonts w:ascii="Times New Roman" w:cs="Times New Roman" w:eastAsia="Times New Roman" w:hAnsi="Times New Roman"/>
          <w:sz w:val="22"/>
          <w:szCs w:val="22"/>
        </w:rPr>
        <w:t xml:space="preserve">The proof generator computes a Merkle-style commitment over the state snapshot (so the evidence can later be tied to a specific snapshot without revealing it) and signs a structured evidence record — containing the action, resource identifier, policy identifier, epoch, timestamp, nonce, and commitment — using a key whose corresponding certificate chains to the platform's attestation root. The output is the Action + Evidence pair that leaves the trust boundary; for example, an evidence record for a reclamation decision might take the schematic form Evidence = { ResourceID, Action, PolicyID, Epoch, Timestamp, Nonce, Commitment, Signature }, with the full field layout given in Section 9.1.</w:t>
      </w:r>
    </w:p>
    <w:p>
      <w:pPr>
        <w:pStyle w:val="Heading2"/>
        <w:spacing w:after="120" w:before="220"/>
      </w:pPr>
      <w:r>
        <w:rPr>
          <w:rFonts w:ascii="Times New Roman" w:cs="Times New Roman" w:eastAsia="Times New Roman" w:hAnsi="Times New Roman"/>
          <w:b/>
          <w:bCs/>
          <w:i/>
          <w:iCs/>
          <w:color w:val="2E4E7A"/>
          <w:sz w:val="23"/>
          <w:szCs w:val="23"/>
        </w:rPr>
        <w:t xml:space="preserve">8.5 Independent Verifier</w:t>
      </w:r>
    </w:p>
    <w:p>
      <w:pPr>
        <w:spacing w:after="160" w:line="276"/>
        <w:jc w:val="both"/>
      </w:pPr>
      <w:r>
        <w:rPr>
          <w:rFonts w:ascii="Times New Roman" w:cs="Times New Roman" w:eastAsia="Times New Roman" w:hAnsi="Times New Roman"/>
          <w:sz w:val="22"/>
          <w:szCs w:val="22"/>
        </w:rPr>
        <w:t xml:space="preserve">The orchestrator (or a dedicated verifier service on its behalf) checks the signature against the platform's attestation chain, checks that the epoch and timestamp fall within an acceptable freshness window, checks that the nonce has not been seen before, and checks that the (resource, action, policy-id) tuple in the evidence matches the action the orchestrator is about to execute. Only if all checks pass is the action executed; otherwise it is rejected and logged.</w:t>
      </w:r>
    </w:p>
    <w:p>
      <w:pPr>
        <w:pStyle w:val="Heading1"/>
        <w:spacing w:after="160" w:before="320"/>
      </w:pPr>
      <w:r>
        <w:rPr>
          <w:rFonts w:ascii="Times New Roman" w:cs="Times New Roman" w:eastAsia="Times New Roman" w:hAnsi="Times New Roman"/>
          <w:b/>
          <w:bCs/>
          <w:color w:val="1F3864"/>
          <w:sz w:val="26"/>
          <w:szCs w:val="26"/>
        </w:rPr>
        <w:t xml:space="preserve">9. Protocol Design</w:t>
      </w:r>
    </w:p>
    <w:p>
      <w:pPr>
        <w:spacing w:after="160" w:line="276"/>
        <w:jc w:val="both"/>
      </w:pPr>
      <w:r>
        <w:rPr>
          <w:rFonts w:ascii="Times New Roman" w:cs="Times New Roman" w:eastAsia="Times New Roman" w:hAnsi="Times New Roman"/>
          <w:sz w:val="22"/>
          <w:szCs w:val="22"/>
        </w:rPr>
        <w:t xml:space="preserve">The S2A protocol defines a single evidence record format and a three-message exchange between the orchestrator and the trusted layer.</w:t>
      </w:r>
    </w:p>
    <w:p>
      <w:pPr>
        <w:pStyle w:val="Heading2"/>
        <w:spacing w:after="120" w:before="220"/>
      </w:pPr>
      <w:r>
        <w:rPr>
          <w:rFonts w:ascii="Times New Roman" w:cs="Times New Roman" w:eastAsia="Times New Roman" w:hAnsi="Times New Roman"/>
          <w:b/>
          <w:bCs/>
          <w:i/>
          <w:iCs/>
          <w:color w:val="2E4E7A"/>
          <w:sz w:val="23"/>
          <w:szCs w:val="23"/>
        </w:rPr>
        <w:t xml:space="preserve">9.1 Evidence Record</w:t>
      </w:r>
    </w:p>
    <w:p>
      <w:pPr>
        <w:shd w:fill="F2F2F2" w:val="clear"/>
        <w:spacing w:after="160"/>
      </w:pPr>
      <w:r>
        <w:rPr>
          <w:rFonts w:ascii="Consolas" w:cs="Consolas" w:eastAsia="Consolas" w:hAnsi="Consolas"/>
          <w:sz w:val="19"/>
          <w:szCs w:val="19"/>
        </w:rPr>
        <w:t xml:space="preserve">EvidenceRecord {</w:t>
      </w:r>
      <w:r>
        <w:br/>
        <w:t xml:space="preserve"/>
      </w:r>
      <w:r>
        <w:rPr>
          <w:rFonts w:ascii="Consolas" w:cs="Consolas" w:eastAsia="Consolas" w:hAnsi="Consolas"/>
          <w:sz w:val="19"/>
          <w:szCs w:val="19"/>
        </w:rPr>
        <w:t xml:space="preserve">  resource_id      : bytes32       // CXL region / device identifier</w:t>
      </w:r>
      <w:r>
        <w:br/>
        <w:t xml:space="preserve"/>
      </w:r>
      <w:r>
        <w:rPr>
          <w:rFonts w:ascii="Consolas" w:cs="Consolas" w:eastAsia="Consolas" w:hAnsi="Consolas"/>
          <w:sz w:val="19"/>
          <w:szCs w:val="19"/>
        </w:rPr>
        <w:t xml:space="preserve">  action            : enum          // ALLOCATE | RECLAIM | MIGRATE</w:t>
      </w:r>
      <w:r>
        <w:br/>
        <w:t xml:space="preserve"/>
      </w:r>
      <w:r>
        <w:rPr>
          <w:rFonts w:ascii="Consolas" w:cs="Consolas" w:eastAsia="Consolas" w:hAnsi="Consolas"/>
          <w:sz w:val="19"/>
          <w:szCs w:val="19"/>
        </w:rPr>
        <w:t xml:space="preserve">  policy_id         : string        // versioned policy identifier</w:t>
      </w:r>
      <w:r>
        <w:br/>
        <w:t xml:space="preserve"/>
      </w:r>
      <w:r>
        <w:rPr>
          <w:rFonts w:ascii="Consolas" w:cs="Consolas" w:eastAsia="Consolas" w:hAnsi="Consolas"/>
          <w:sz w:val="19"/>
          <w:szCs w:val="19"/>
        </w:rPr>
        <w:t xml:space="preserve">  epoch             : uint64        // monotonic infrastructure epoch</w:t>
      </w:r>
      <w:r>
        <w:br/>
        <w:t xml:space="preserve"/>
      </w:r>
      <w:r>
        <w:rPr>
          <w:rFonts w:ascii="Consolas" w:cs="Consolas" w:eastAsia="Consolas" w:hAnsi="Consolas"/>
          <w:sz w:val="19"/>
          <w:szCs w:val="19"/>
        </w:rPr>
        <w:t xml:space="preserve">  timestamp         : uint64        // Unix time, seconds</w:t>
      </w:r>
      <w:r>
        <w:br/>
        <w:t xml:space="preserve"/>
      </w:r>
      <w:r>
        <w:rPr>
          <w:rFonts w:ascii="Consolas" w:cs="Consolas" w:eastAsia="Consolas" w:hAnsi="Consolas"/>
          <w:sz w:val="19"/>
          <w:szCs w:val="19"/>
        </w:rPr>
        <w:t xml:space="preserve">  nonce             : bytes16       // verifier-supplied or self-generated</w:t>
      </w:r>
      <w:r>
        <w:br/>
        <w:t xml:space="preserve"/>
      </w:r>
      <w:r>
        <w:rPr>
          <w:rFonts w:ascii="Consolas" w:cs="Consolas" w:eastAsia="Consolas" w:hAnsi="Consolas"/>
          <w:sz w:val="19"/>
          <w:szCs w:val="19"/>
        </w:rPr>
        <w:t xml:space="preserve">  state_commitment  : bytes32       // Merkle root over telemetry snapshot</w:t>
      </w:r>
      <w:r>
        <w:br/>
        <w:t xml:space="preserve"/>
      </w:r>
      <w:r>
        <w:rPr>
          <w:rFonts w:ascii="Consolas" w:cs="Consolas" w:eastAsia="Consolas" w:hAnsi="Consolas"/>
          <w:sz w:val="19"/>
          <w:szCs w:val="19"/>
        </w:rPr>
        <w:t xml:space="preserve">  decision          : bool          // policy authorization result</w:t>
      </w:r>
      <w:r>
        <w:br/>
        <w:t xml:space="preserve"/>
      </w:r>
      <w:r>
        <w:rPr>
          <w:rFonts w:ascii="Consolas" w:cs="Consolas" w:eastAsia="Consolas" w:hAnsi="Consolas"/>
          <w:sz w:val="19"/>
          <w:szCs w:val="19"/>
        </w:rPr>
        <w:t xml:space="preserve">  signature         : bytes64       // Ed25519 signature over the above fields</w:t>
      </w:r>
      <w:r>
        <w:br/>
        <w:t xml:space="preserve"/>
      </w:r>
      <w:r>
        <w:rPr>
          <w:rFonts w:ascii="Consolas" w:cs="Consolas" w:eastAsia="Consolas" w:hAnsi="Consolas"/>
          <w:sz w:val="19"/>
          <w:szCs w:val="19"/>
        </w:rPr>
        <w:t xml:space="preserve">  attestation_ref    : bytes         // pointer to the TD / TDX Connect quote covering this key</w:t>
      </w:r>
      <w:r>
        <w:br/>
        <w:t xml:space="preserve"/>
      </w:r>
      <w:r>
        <w:rPr>
          <w:rFonts w:ascii="Consolas" w:cs="Consolas" w:eastAsia="Consolas" w:hAnsi="Consolas"/>
          <w:sz w:val="19"/>
          <w:szCs w:val="19"/>
        </w:rPr>
        <w:t xml:space="preserve">}</w:t>
      </w:r>
    </w:p>
    <w:p>
      <w:pPr>
        <w:spacing w:after="160" w:line="276"/>
        <w:jc w:val="both"/>
      </w:pPr>
      <w:r>
        <w:rPr>
          <w:rFonts w:ascii="Times New Roman" w:cs="Times New Roman" w:eastAsia="Times New Roman" w:hAnsi="Times New Roman"/>
          <w:sz w:val="22"/>
          <w:szCs w:val="22"/>
        </w:rPr>
        <w:t xml:space="preserve">In the prototype implementation, Ed25519 is used for its small signature size, fast verification, and widespread software support. In a production deployment, the signing key would instead be generated inside the TD and its public counterpart bound into the TD's attestation quote (or, for a device-adjacent deployment, into the TDX Connect device attestation), so that a verifier's trust in the signature reduces entirely to trust in the existing attestation chain rather than to any new key-management assumption.</w:t>
      </w:r>
    </w:p>
    <w:p>
      <w:pPr>
        <w:pStyle w:val="Heading2"/>
        <w:spacing w:after="120" w:before="220"/>
      </w:pPr>
      <w:r>
        <w:rPr>
          <w:rFonts w:ascii="Times New Roman" w:cs="Times New Roman" w:eastAsia="Times New Roman" w:hAnsi="Times New Roman"/>
          <w:b/>
          <w:bCs/>
          <w:i/>
          <w:iCs/>
          <w:color w:val="2E4E7A"/>
          <w:sz w:val="23"/>
          <w:szCs w:val="23"/>
        </w:rPr>
        <w:t xml:space="preserve">9.2 Message Flow</w:t>
      </w:r>
    </w:p>
    <w:p>
      <w:pPr>
        <w:pStyle w:val="ListParagraph"/>
        <w:numPr>
          <w:ilvl w:val="0"/>
          <w:numId w:val="3"/>
        </w:numPr>
        <w:spacing w:after="80"/>
      </w:pPr>
      <w:r>
        <w:rPr>
          <w:rFonts w:ascii="Times New Roman" w:cs="Times New Roman" w:eastAsia="Times New Roman" w:hAnsi="Times New Roman"/>
          <w:sz w:val="22"/>
          <w:szCs w:val="22"/>
        </w:rPr>
        <w:t xml:space="preserve">Challenge — the orchestrator sends a candidate action (resource_id, action, a freshly generated nonce) to the trusted layer.</w:t>
      </w:r>
    </w:p>
    <w:p>
      <w:pPr>
        <w:pStyle w:val="ListParagraph"/>
        <w:numPr>
          <w:ilvl w:val="0"/>
          <w:numId w:val="3"/>
        </w:numPr>
        <w:spacing w:after="80"/>
      </w:pPr>
      <w:r>
        <w:rPr>
          <w:rFonts w:ascii="Times New Roman" w:cs="Times New Roman" w:eastAsia="Times New Roman" w:hAnsi="Times New Roman"/>
          <w:sz w:val="22"/>
          <w:szCs w:val="22"/>
        </w:rPr>
        <w:t xml:space="preserve">Evidence — the trusted layer collects state, evaluates policy, performs freshness binding, generates the EvidenceRecord, and returns (action, EvidenceRecord) to the orchestrator.</w:t>
      </w:r>
    </w:p>
    <w:p>
      <w:pPr>
        <w:pStyle w:val="ListParagraph"/>
        <w:numPr>
          <w:ilvl w:val="0"/>
          <w:numId w:val="3"/>
        </w:numPr>
        <w:spacing w:after="80"/>
      </w:pPr>
      <w:r>
        <w:rPr>
          <w:rFonts w:ascii="Times New Roman" w:cs="Times New Roman" w:eastAsia="Times New Roman" w:hAnsi="Times New Roman"/>
          <w:sz w:val="22"/>
          <w:szCs w:val="22"/>
        </w:rPr>
        <w:t xml:space="preserve">Verification — the orchestrator (or verifier service) checks that the attestation reference in the record corresponds to a validly attested TD and trusted signing identity, then validates the record as described in Section 8.5, and either executes or rejects the action, recording the outcome for audit.</w:t>
      </w:r>
    </w:p>
    <w:p>
      <w:pPr>
        <w:spacing w:after="160" w:line="276"/>
        <w:jc w:val="both"/>
      </w:pPr>
      <w:r>
        <w:rPr>
          <w:rFonts w:ascii="Times New Roman" w:cs="Times New Roman" w:eastAsia="Times New Roman" w:hAnsi="Times New Roman"/>
          <w:sz w:val="22"/>
          <w:szCs w:val="22"/>
        </w:rPr>
        <w:t xml:space="preserve">This three-message flow keeps the trusted layer stateless with respect to the orchestrator beyond the current epoch, and keeps the orchestrator free of any telemetry-shaped state — it only ever stores actions, evidence records, and verification outcomes.</w:t>
      </w:r>
    </w:p>
    <w:p>
      <w:pPr>
        <w:pStyle w:val="Heading1"/>
        <w:spacing w:after="160" w:before="320"/>
      </w:pPr>
      <w:r>
        <w:rPr>
          <w:rFonts w:ascii="Times New Roman" w:cs="Times New Roman" w:eastAsia="Times New Roman" w:hAnsi="Times New Roman"/>
          <w:b/>
          <w:bCs/>
          <w:color w:val="1F3864"/>
          <w:sz w:val="26"/>
          <w:szCs w:val="26"/>
        </w:rPr>
        <w:t xml:space="preserve">10. Freshness Mechanism</w:t>
      </w:r>
    </w:p>
    <w:p>
      <w:pPr>
        <w:spacing w:after="160" w:line="276"/>
        <w:jc w:val="both"/>
      </w:pPr>
      <w:r>
        <w:rPr>
          <w:rFonts w:ascii="Times New Roman" w:cs="Times New Roman" w:eastAsia="Times New Roman" w:hAnsi="Times New Roman"/>
          <w:sz w:val="22"/>
          <w:szCs w:val="22"/>
        </w:rPr>
        <w:t xml:space="preserve">Freshness is the property that an evidence record reflects infrastructure state that is still representative of current conditions, and that it cannot be reused for a different decision. S2A enforces freshness through three cooperating mechanisms rather than one, because each mechanism addresses a different aspect of freshness and replay resistance; no single mechanism alone provides all of the required guarantees.</w:t>
      </w:r>
    </w:p>
    <w:p>
      <w:pPr>
        <w:pStyle w:val="Heading2"/>
        <w:spacing w:after="120" w:before="220"/>
      </w:pPr>
      <w:r>
        <w:rPr>
          <w:rFonts w:ascii="Times New Roman" w:cs="Times New Roman" w:eastAsia="Times New Roman" w:hAnsi="Times New Roman"/>
          <w:b/>
          <w:bCs/>
          <w:i/>
          <w:iCs/>
          <w:color w:val="2E4E7A"/>
          <w:sz w:val="23"/>
          <w:szCs w:val="23"/>
        </w:rPr>
        <w:t xml:space="preserve">10.1 Epoch Binding</w:t>
      </w:r>
    </w:p>
    <w:p>
      <w:pPr>
        <w:spacing w:after="160" w:line="276"/>
        <w:jc w:val="both"/>
      </w:pPr>
      <w:r>
        <w:rPr>
          <w:rFonts w:ascii="Times New Roman" w:cs="Times New Roman" w:eastAsia="Times New Roman" w:hAnsi="Times New Roman"/>
          <w:sz w:val="22"/>
          <w:szCs w:val="22"/>
        </w:rPr>
        <w:t xml:space="preserve">A monotonically increasing epoch counter is advanced by the trusted layer each time a new state snapshot is committed. Every evidence record carries the epoch it was generated under. The verifier rejects any record whose epoch is more than a configurable number of epochs behind the current one, bounding how stale the underlying telemetry can be.</w:t>
      </w:r>
    </w:p>
    <w:p>
      <w:pPr>
        <w:pStyle w:val="Heading2"/>
        <w:spacing w:after="120" w:before="220"/>
      </w:pPr>
      <w:r>
        <w:rPr>
          <w:rFonts w:ascii="Times New Roman" w:cs="Times New Roman" w:eastAsia="Times New Roman" w:hAnsi="Times New Roman"/>
          <w:b/>
          <w:bCs/>
          <w:i/>
          <w:iCs/>
          <w:color w:val="2E4E7A"/>
          <w:sz w:val="23"/>
          <w:szCs w:val="23"/>
        </w:rPr>
        <w:t xml:space="preserve">10.2 Timestamp Window</w:t>
      </w:r>
    </w:p>
    <w:p>
      <w:pPr>
        <w:spacing w:after="160" w:line="276"/>
        <w:jc w:val="both"/>
      </w:pPr>
      <w:r>
        <w:rPr>
          <w:rFonts w:ascii="Times New Roman" w:cs="Times New Roman" w:eastAsia="Times New Roman" w:hAnsi="Times New Roman"/>
          <w:sz w:val="22"/>
          <w:szCs w:val="22"/>
        </w:rPr>
        <w:t xml:space="preserve">A wall-clock timestamp provides a coarse, human-interpretable freshness bound independent of epoch cadence, and guards against epoch-counter manipulation in deployments where the counter and the clock are maintained by different subsystems.</w:t>
      </w:r>
    </w:p>
    <w:p>
      <w:pPr>
        <w:pStyle w:val="Heading2"/>
        <w:spacing w:after="120" w:before="220"/>
      </w:pPr>
      <w:r>
        <w:rPr>
          <w:rFonts w:ascii="Times New Roman" w:cs="Times New Roman" w:eastAsia="Times New Roman" w:hAnsi="Times New Roman"/>
          <w:b/>
          <w:bCs/>
          <w:i/>
          <w:iCs/>
          <w:color w:val="2E4E7A"/>
          <w:sz w:val="23"/>
          <w:szCs w:val="23"/>
        </w:rPr>
        <w:t xml:space="preserve">10.3 Nonce Binding</w:t>
      </w:r>
    </w:p>
    <w:p>
      <w:pPr>
        <w:spacing w:after="160" w:line="276"/>
        <w:jc w:val="both"/>
      </w:pPr>
      <w:r>
        <w:rPr>
          <w:rFonts w:ascii="Times New Roman" w:cs="Times New Roman" w:eastAsia="Times New Roman" w:hAnsi="Times New Roman"/>
          <w:sz w:val="22"/>
          <w:szCs w:val="22"/>
        </w:rPr>
        <w:t xml:space="preserve">A nonce, unique per challenge, ensures that even a record generated moments ago cannot be replayed for a second, distinct authorization request. The verifier maintains a bounded window of recently seen nonces (sized to the freshness window) and rejects duplicates.</w:t>
      </w:r>
    </w:p>
    <w:p>
      <w:pPr>
        <w:spacing w:after="160" w:line="276"/>
        <w:jc w:val="both"/>
      </w:pPr>
      <w:r>
        <w:rPr>
          <w:rFonts w:ascii="Times New Roman" w:cs="Times New Roman" w:eastAsia="Times New Roman" w:hAnsi="Times New Roman"/>
          <w:sz w:val="22"/>
          <w:szCs w:val="22"/>
        </w:rPr>
        <w:t xml:space="preserve">Binding all three fields, along with the resource identifier and action type, into the signed record is what prevents an attacker from mixing a valid signature with a different action: any change to any bound field invalidates the signature, so forgery requires breaking the signature scheme rather than merely observing network traffic.</w:t>
      </w:r>
    </w:p>
    <w:p>
      <w:pPr>
        <w:pStyle w:val="Heading2"/>
        <w:spacing w:after="120" w:before="220"/>
      </w:pPr>
      <w:r>
        <w:rPr>
          <w:rFonts w:ascii="Times New Roman" w:cs="Times New Roman" w:eastAsia="Times New Roman" w:hAnsi="Times New Roman"/>
          <w:b/>
          <w:bCs/>
          <w:i/>
          <w:iCs/>
          <w:color w:val="2E4E7A"/>
          <w:sz w:val="23"/>
          <w:szCs w:val="23"/>
        </w:rPr>
        <w:t xml:space="preserve">10.4 Freshness Property</w:t>
      </w:r>
    </w:p>
    <w:p>
      <w:pPr>
        <w:spacing w:after="160" w:line="276"/>
        <w:jc w:val="both"/>
      </w:pPr>
      <w:r>
        <w:rPr>
          <w:rFonts w:ascii="Times New Roman" w:cs="Times New Roman" w:eastAsia="Times New Roman" w:hAnsi="Times New Roman"/>
          <w:sz w:val="22"/>
          <w:szCs w:val="22"/>
        </w:rPr>
        <w:t xml:space="preserve">We define an evidence record as fresh if and only if all three of the following hold at verification time: (1) its epoch lies within the accepted epoch window; (2) its timestamp lies within the accepted validity interval; and (3) its nonce has not previously appeared in the verifier's nonce cache. This is the formal freshness property that Section 11.2 shows is sufficient to defeat replay under the Section 7 threat model, and it is precisely the property that distinguishes S2A from request-time proof-carrying authorization, which has no analogous notion because it is evaluated once, at request time, rather than continuously against drifting physical state.</w:t>
      </w:r>
    </w:p>
    <w:p>
      <w:pPr>
        <w:pStyle w:val="Heading1"/>
        <w:spacing w:after="160" w:before="320"/>
      </w:pPr>
      <w:r>
        <w:rPr>
          <w:rFonts w:ascii="Times New Roman" w:cs="Times New Roman" w:eastAsia="Times New Roman" w:hAnsi="Times New Roman"/>
          <w:b/>
          <w:bCs/>
          <w:color w:val="1F3864"/>
          <w:sz w:val="26"/>
          <w:szCs w:val="26"/>
        </w:rPr>
        <w:t xml:space="preserve">11. Security Analysis</w:t>
      </w:r>
    </w:p>
    <w:p>
      <w:pPr>
        <w:spacing w:after="160" w:line="276"/>
        <w:jc w:val="both"/>
      </w:pPr>
      <w:r>
        <w:rPr>
          <w:rFonts w:ascii="Times New Roman" w:cs="Times New Roman" w:eastAsia="Times New Roman" w:hAnsi="Times New Roman"/>
          <w:sz w:val="22"/>
          <w:szCs w:val="22"/>
        </w:rPr>
        <w:t xml:space="preserve">We analyze S2A against the attack goals defined in Section 7.3, under the assumption that the signature scheme is existentially unforgeable under chosen-message attack and that the attestation chain anchoring the signing key is uncompromised.</w:t>
      </w:r>
    </w:p>
    <w:p>
      <w:pPr>
        <w:pStyle w:val="Heading2"/>
        <w:spacing w:after="120" w:before="220"/>
      </w:pPr>
      <w:r>
        <w:rPr>
          <w:rFonts w:ascii="Times New Roman" w:cs="Times New Roman" w:eastAsia="Times New Roman" w:hAnsi="Times New Roman"/>
          <w:b/>
          <w:bCs/>
          <w:i/>
          <w:iCs/>
          <w:color w:val="2E4E7A"/>
          <w:sz w:val="23"/>
          <w:szCs w:val="23"/>
        </w:rPr>
        <w:t xml:space="preserve">11.1 Forgery Resistance</w:t>
      </w:r>
    </w:p>
    <w:p>
      <w:pPr>
        <w:spacing w:after="160" w:line="276"/>
        <w:jc w:val="both"/>
      </w:pPr>
      <w:r>
        <w:rPr>
          <w:rFonts w:ascii="Times New Roman" w:cs="Times New Roman" w:eastAsia="Times New Roman" w:hAnsi="Times New Roman"/>
          <w:sz w:val="22"/>
          <w:szCs w:val="22"/>
        </w:rPr>
        <w:t xml:space="preserve">An attacker without access to the trusted layer's signing key cannot produce a valid signature over an evidence record. Because the signature covers the full record — including resource_id, action, policy_id, epoch, timestamp, and nonce — an attacker also cannot take a validly signed record for one action and relabel it for another; doing so invalidates the signature. Security here reduces entirely to the unforgeability of the signature scheme and the integrity of the attestation-bound signing key; S2A introduces no new cryptographic assumption beyond those already required by the underlying TDX/DCAP attestation chain.</w:t>
      </w:r>
    </w:p>
    <w:p>
      <w:pPr>
        <w:pStyle w:val="Heading2"/>
        <w:spacing w:after="120" w:before="220"/>
      </w:pPr>
      <w:r>
        <w:rPr>
          <w:rFonts w:ascii="Times New Roman" w:cs="Times New Roman" w:eastAsia="Times New Roman" w:hAnsi="Times New Roman"/>
          <w:b/>
          <w:bCs/>
          <w:i/>
          <w:iCs/>
          <w:color w:val="2E4E7A"/>
          <w:sz w:val="23"/>
          <w:szCs w:val="23"/>
        </w:rPr>
        <w:t xml:space="preserve">11.2 Replay Resistance</w:t>
      </w:r>
    </w:p>
    <w:p>
      <w:pPr>
        <w:spacing w:after="160" w:line="276"/>
        <w:jc w:val="both"/>
      </w:pPr>
      <w:r>
        <w:rPr>
          <w:rFonts w:ascii="Times New Roman" w:cs="Times New Roman" w:eastAsia="Times New Roman" w:hAnsi="Times New Roman"/>
          <w:sz w:val="22"/>
          <w:szCs w:val="22"/>
        </w:rPr>
        <w:t xml:space="preserve">A previously valid record fails verification once its epoch falls outside the freshness window, once its timestamp falls outside the timestamp window, or once its nonce is recognized as already consumed. All three checks must independently fail for a replay to succeed, which requires the attacker to act within a narrow freshness window and reuse a nonce the verifier has not yet recorded — the latter is prevented outright by the verifier's nonce cache.</w:t>
      </w:r>
    </w:p>
    <w:p>
      <w:pPr>
        <w:pStyle w:val="Heading2"/>
        <w:spacing w:after="120" w:before="220"/>
      </w:pPr>
      <w:r>
        <w:rPr>
          <w:rFonts w:ascii="Times New Roman" w:cs="Times New Roman" w:eastAsia="Times New Roman" w:hAnsi="Times New Roman"/>
          <w:b/>
          <w:bCs/>
          <w:i/>
          <w:iCs/>
          <w:color w:val="2E4E7A"/>
          <w:sz w:val="23"/>
          <w:szCs w:val="23"/>
        </w:rPr>
        <w:t xml:space="preserve">11.3 Modification Resistance</w:t>
      </w:r>
    </w:p>
    <w:p>
      <w:pPr>
        <w:spacing w:after="160" w:line="276"/>
        <w:jc w:val="both"/>
      </w:pPr>
      <w:r>
        <w:rPr>
          <w:rFonts w:ascii="Times New Roman" w:cs="Times New Roman" w:eastAsia="Times New Roman" w:hAnsi="Times New Roman"/>
          <w:sz w:val="22"/>
          <w:szCs w:val="22"/>
        </w:rPr>
        <w:t xml:space="preserve">Because action and resource_id are part of the signed payload, an attacker who intercepts a valid record cannot redirect it to a different CXL region or a different action type without breaking the signature. This directly prevents the "unauthorized migration" attack goal, since a record authorizing reclamation of region R cannot be presented as authorization to migrate region R′. Together with forgery resistance, this property gives S2A both action integrity and resource integrity: a valid record authorizes exactly one action on exactly one resource, and nothing else.</w:t>
      </w:r>
    </w:p>
    <w:p>
      <w:pPr>
        <w:pStyle w:val="Heading2"/>
        <w:spacing w:after="120" w:before="220"/>
      </w:pPr>
      <w:r>
        <w:rPr>
          <w:rFonts w:ascii="Times New Roman" w:cs="Times New Roman" w:eastAsia="Times New Roman" w:hAnsi="Times New Roman"/>
          <w:b/>
          <w:bCs/>
          <w:i/>
          <w:iCs/>
          <w:color w:val="2E4E7A"/>
          <w:sz w:val="23"/>
          <w:szCs w:val="23"/>
        </w:rPr>
        <w:t xml:space="preserve">11.4 Residual Risks</w:t>
      </w:r>
    </w:p>
    <w:p>
      <w:pPr>
        <w:spacing w:after="160" w:line="276"/>
        <w:jc w:val="both"/>
      </w:pPr>
      <w:r>
        <w:rPr>
          <w:rFonts w:ascii="Times New Roman" w:cs="Times New Roman" w:eastAsia="Times New Roman" w:hAnsi="Times New Roman"/>
          <w:sz w:val="22"/>
          <w:szCs w:val="22"/>
        </w:rPr>
        <w:t xml:space="preserve">S2A does not protect against compromise of the trusted layer itself, compromise of the platform's (or device's, via TDX Connect) attestation root, or a policy that is itself incorrectly specified. These risks are inherited from, and should be mitigated by, the underlying TDX/TDX Connect/DCAP attestation infrastructure and standard policy-review practice; S2A's contribution is specifically the action-binding and freshness layer on top of that trust base. Put precisely: S2A verifies that an action was authorized according to policy, not that the policy itself correctly captures operational intent — the two are independent claims, and only the former is within S2A's scope.</w:t>
      </w:r>
    </w:p>
    <w:p>
      <w:pPr>
        <w:pStyle w:val="Heading1"/>
        <w:spacing w:after="160" w:before="320"/>
      </w:pPr>
      <w:r>
        <w:rPr>
          <w:rFonts w:ascii="Times New Roman" w:cs="Times New Roman" w:eastAsia="Times New Roman" w:hAnsi="Times New Roman"/>
          <w:b/>
          <w:bCs/>
          <w:color w:val="1F3864"/>
          <w:sz w:val="26"/>
          <w:szCs w:val="26"/>
        </w:rPr>
        <w:t xml:space="preserve">12. Privacy Analysis</w:t>
      </w:r>
    </w:p>
    <w:p>
      <w:pPr>
        <w:spacing w:after="160" w:line="276"/>
        <w:jc w:val="both"/>
      </w:pPr>
      <w:r>
        <w:rPr>
          <w:rFonts w:ascii="Times New Roman" w:cs="Times New Roman" w:eastAsia="Times New Roman" w:hAnsi="Times New Roman"/>
          <w:sz w:val="22"/>
          <w:szCs w:val="22"/>
        </w:rPr>
        <w:t xml:space="preserve">The orchestrator and any network observer see only the EvidenceRecord: an action, a resource identifier, a policy identifier, freshness metadata, a state commitment, and a boolean decision. Resource identifiers may be opaque identifiers or pseudonymous handles rather than human-meaningful names, depending on deployment requirements. None of these fields reveal the underlying telemetry values.</w:t>
      </w:r>
    </w:p>
    <w:p>
      <w:pPr>
        <w:pStyle w:val="Heading2"/>
        <w:spacing w:after="120" w:before="220"/>
      </w:pPr>
      <w:r>
        <w:rPr>
          <w:rFonts w:ascii="Times New Roman" w:cs="Times New Roman" w:eastAsia="Times New Roman" w:hAnsi="Times New Roman"/>
          <w:b/>
          <w:bCs/>
          <w:i/>
          <w:iCs/>
          <w:color w:val="2E4E7A"/>
          <w:sz w:val="23"/>
          <w:szCs w:val="23"/>
        </w:rPr>
        <w:t xml:space="preserve">12.1 What the Verifier Learns</w:t>
      </w:r>
    </w:p>
    <w:p>
      <w:pPr>
        <w:pStyle w:val="ListParagraph"/>
        <w:numPr>
          <w:ilvl w:val="0"/>
          <w:numId w:val="2"/>
        </w:numPr>
        <w:spacing w:after="80"/>
      </w:pPr>
      <w:r>
        <w:rPr>
          <w:rFonts w:ascii="Times New Roman" w:cs="Times New Roman" w:eastAsia="Times New Roman" w:hAnsi="Times New Roman"/>
          <w:sz w:val="22"/>
          <w:szCs w:val="22"/>
        </w:rPr>
        <w:t xml:space="preserve">That a named policy was evaluated and returned an authorization decision for a specific action and resource.</w:t>
      </w:r>
    </w:p>
    <w:p>
      <w:pPr>
        <w:pStyle w:val="ListParagraph"/>
        <w:numPr>
          <w:ilvl w:val="0"/>
          <w:numId w:val="2"/>
        </w:numPr>
        <w:spacing w:after="80"/>
      </w:pPr>
      <w:r>
        <w:rPr>
          <w:rFonts w:ascii="Times New Roman" w:cs="Times New Roman" w:eastAsia="Times New Roman" w:hAnsi="Times New Roman"/>
          <w:sz w:val="22"/>
          <w:szCs w:val="22"/>
        </w:rPr>
        <w:t xml:space="preserve">The epoch and time at which that evaluation occurred.</w:t>
      </w:r>
    </w:p>
    <w:p>
      <w:pPr>
        <w:pStyle w:val="ListParagraph"/>
        <w:numPr>
          <w:ilvl w:val="0"/>
          <w:numId w:val="2"/>
        </w:numPr>
        <w:spacing w:after="80"/>
      </w:pPr>
      <w:r>
        <w:rPr>
          <w:rFonts w:ascii="Times New Roman" w:cs="Times New Roman" w:eastAsia="Times New Roman" w:hAnsi="Times New Roman"/>
          <w:sz w:val="22"/>
          <w:szCs w:val="22"/>
        </w:rPr>
        <w:t xml:space="preserve">A commitment to the telemetry snapshot used, which is binding but not revealing — it allows later, authorized audit against the original snapshot without exposing it at verification time.</w:t>
      </w:r>
    </w:p>
    <w:p>
      <w:pPr>
        <w:pStyle w:val="Heading2"/>
        <w:spacing w:after="120" w:before="220"/>
      </w:pPr>
      <w:r>
        <w:rPr>
          <w:rFonts w:ascii="Times New Roman" w:cs="Times New Roman" w:eastAsia="Times New Roman" w:hAnsi="Times New Roman"/>
          <w:b/>
          <w:bCs/>
          <w:i/>
          <w:iCs/>
          <w:color w:val="2E4E7A"/>
          <w:sz w:val="23"/>
          <w:szCs w:val="23"/>
        </w:rPr>
        <w:t xml:space="preserve">12.2 What the Verifier Does Not Learn</w:t>
      </w:r>
    </w:p>
    <w:p>
      <w:pPr>
        <w:pStyle w:val="ListParagraph"/>
        <w:numPr>
          <w:ilvl w:val="0"/>
          <w:numId w:val="2"/>
        </w:numPr>
        <w:spacing w:after="80"/>
      </w:pPr>
      <w:r>
        <w:rPr>
          <w:rFonts w:ascii="Times New Roman" w:cs="Times New Roman" w:eastAsia="Times New Roman" w:hAnsi="Times New Roman"/>
          <w:sz w:val="22"/>
          <w:szCs w:val="22"/>
        </w:rPr>
        <w:t xml:space="preserve">Exact memory-pressure, thermal, ECC, or utilization values.</w:t>
      </w:r>
    </w:p>
    <w:p>
      <w:pPr>
        <w:pStyle w:val="ListParagraph"/>
        <w:numPr>
          <w:ilvl w:val="0"/>
          <w:numId w:val="2"/>
        </w:numPr>
        <w:spacing w:after="80"/>
      </w:pPr>
      <w:r>
        <w:rPr>
          <w:rFonts w:ascii="Times New Roman" w:cs="Times New Roman" w:eastAsia="Times New Roman" w:hAnsi="Times New Roman"/>
          <w:sz w:val="22"/>
          <w:szCs w:val="22"/>
        </w:rPr>
        <w:t xml:space="preserve">Tenant-specific workload behavior.</w:t>
      </w:r>
    </w:p>
    <w:p>
      <w:pPr>
        <w:pStyle w:val="ListParagraph"/>
        <w:numPr>
          <w:ilvl w:val="0"/>
          <w:numId w:val="2"/>
        </w:numPr>
        <w:spacing w:after="80"/>
      </w:pPr>
      <w:r>
        <w:rPr>
          <w:rFonts w:ascii="Times New Roman" w:cs="Times New Roman" w:eastAsia="Times New Roman" w:hAnsi="Times New Roman"/>
          <w:sz w:val="22"/>
          <w:szCs w:val="22"/>
        </w:rPr>
        <w:t xml:space="preserve">Infrastructure topology beyond the identifier of the resource under decision.</w:t>
      </w:r>
    </w:p>
    <w:p>
      <w:pPr>
        <w:spacing w:after="160" w:line="276"/>
        <w:jc w:val="both"/>
      </w:pPr>
      <w:r>
        <w:rPr>
          <w:rFonts w:ascii="Times New Roman" w:cs="Times New Roman" w:eastAsia="Times New Roman" w:hAnsi="Times New Roman"/>
          <w:sz w:val="22"/>
          <w:szCs w:val="22"/>
        </w:rPr>
        <w:t xml:space="preserve">This is a commitment-based minimal-disclosure design rather than a zero-knowledge one: the policy engine's boolean output is disclosed, but the values that produced it are not. A natural extension, discussed in Section 20, is to replace the boolean-disclosure step with a succinct zero-knowledge proof of policy satisfaction — following the same signature-plus-zero-knowledge pattern used in privacy-aware proof-carrying authorization (Section 3.5) — which would additionally hide which rule of a multi-rule policy fired. We treat this as future work rather than a claim of the base design, consistent with the conservative-claims scope of this paper.</w:t>
      </w:r>
    </w:p>
    <w:p>
      <w:pPr>
        <w:pStyle w:val="Heading2"/>
        <w:spacing w:after="120" w:before="220"/>
      </w:pPr>
      <w:r>
        <w:rPr>
          <w:rFonts w:ascii="Times New Roman" w:cs="Times New Roman" w:eastAsia="Times New Roman" w:hAnsi="Times New Roman"/>
          <w:b/>
          <w:bCs/>
          <w:i/>
          <w:iCs/>
          <w:color w:val="2E4E7A"/>
          <w:sz w:val="23"/>
          <w:szCs w:val="23"/>
        </w:rPr>
        <w:t xml:space="preserve">12.3 Residual Disclosure Through Decision Patterns</w:t>
      </w:r>
    </w:p>
    <w:p>
      <w:pPr>
        <w:spacing w:after="160" w:line="276"/>
        <w:jc w:val="both"/>
      </w:pPr>
      <w:r>
        <w:rPr>
          <w:rFonts w:ascii="Times New Roman" w:cs="Times New Roman" w:eastAsia="Times New Roman" w:hAnsi="Times New Roman"/>
          <w:sz w:val="22"/>
          <w:szCs w:val="22"/>
        </w:rPr>
        <w:t xml:space="preserve">Although raw telemetry is hidden, repeated observation of authorization outcomes may still reveal limited behavioral information over time: for example, frequent migration approvals for a given resource may suggest a changing utilization pattern, even without disclosing the utilization values themselves. S2A reduces telemetry disclosure substantially but does not eliminate this class of side-channel inference from decision patterns; Section 18 records this explicitly as a limitation rather than treating it as solved by the base design.</w:t>
      </w:r>
    </w:p>
    <w:p>
      <w:pPr>
        <w:pStyle w:val="Heading1"/>
        <w:spacing w:after="160" w:before="320"/>
      </w:pPr>
      <w:r>
        <w:rPr>
          <w:rFonts w:ascii="Times New Roman" w:cs="Times New Roman" w:eastAsia="Times New Roman" w:hAnsi="Times New Roman"/>
          <w:b/>
          <w:bCs/>
          <w:color w:val="1F3864"/>
          <w:sz w:val="26"/>
          <w:szCs w:val="26"/>
        </w:rPr>
        <w:t xml:space="preserve">13. Prototype Design</w:t>
      </w:r>
    </w:p>
    <w:p>
      <w:pPr>
        <w:spacing w:after="160" w:line="276"/>
        <w:jc w:val="both"/>
      </w:pPr>
      <w:r>
        <w:rPr>
          <w:rFonts w:ascii="Times New Roman" w:cs="Times New Roman" w:eastAsia="Times New Roman" w:hAnsi="Times New Roman"/>
          <w:sz w:val="22"/>
          <w:szCs w:val="22"/>
        </w:rPr>
        <w:t xml:space="preserve">The prototype is intentionally software-only and requires no new Intel silicon, consistent with the scope of this paper. It is designed to be buildable on a commodity Linux host using a CXL-topology simulator and synthetic telemetry, while keeping the evidence format and verification logic identical to what a production deployment inside a TD — composed with TDX Connect for the device/link layer — would use.</w:t>
      </w:r>
    </w:p>
    <w:p>
      <w:pPr>
        <w:pStyle w:val="Heading2"/>
        <w:spacing w:after="120" w:before="220"/>
      </w:pPr>
      <w:r>
        <w:rPr>
          <w:rFonts w:ascii="Times New Roman" w:cs="Times New Roman" w:eastAsia="Times New Roman" w:hAnsi="Times New Roman"/>
          <w:b/>
          <w:bCs/>
          <w:i/>
          <w:iCs/>
          <w:color w:val="2E4E7A"/>
          <w:sz w:val="23"/>
          <w:szCs w:val="23"/>
        </w:rPr>
        <w:t xml:space="preserve">13.1 Component Overview</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3700"/>
        <w:gridCol w:w="3100"/>
      </w:tblGrid>
      <w:tr>
        <w:tc>
          <w:tcPr>
            <w:tcW w:type="dxa" w:w="2200"/>
            <w:shd w:fill="1F3864" w:val="clear"/>
            <w:tcMar>
              <w:top w:type="dxa" w:w="80"/>
              <w:left w:type="dxa" w:w="100"/>
              <w:bottom w:type="dxa" w:w="80"/>
              <w:right w:type="dxa" w:w="100"/>
            </w:tcMar>
          </w:tcPr>
          <w:p>
            <w:r>
              <w:rPr>
                <w:rFonts w:ascii="Times New Roman" w:cs="Times New Roman" w:eastAsia="Times New Roman" w:hAnsi="Times New Roman"/>
                <w:b/>
                <w:bCs/>
                <w:color w:val="FFFFFF"/>
                <w:sz w:val="20"/>
                <w:szCs w:val="20"/>
              </w:rPr>
              <w:t xml:space="preserve">Component</w:t>
            </w:r>
          </w:p>
        </w:tc>
        <w:tc>
          <w:tcPr>
            <w:tcW w:type="dxa" w:w="3700"/>
            <w:shd w:fill="1F3864" w:val="clear"/>
            <w:tcMar>
              <w:top w:type="dxa" w:w="80"/>
              <w:left w:type="dxa" w:w="100"/>
              <w:bottom w:type="dxa" w:w="80"/>
              <w:right w:type="dxa" w:w="100"/>
            </w:tcMar>
          </w:tcPr>
          <w:p>
            <w:r>
              <w:rPr>
                <w:rFonts w:ascii="Times New Roman" w:cs="Times New Roman" w:eastAsia="Times New Roman" w:hAnsi="Times New Roman"/>
                <w:b/>
                <w:bCs/>
                <w:color w:val="FFFFFF"/>
                <w:sz w:val="20"/>
                <w:szCs w:val="20"/>
              </w:rPr>
              <w:t xml:space="preserve">Role</w:t>
            </w:r>
          </w:p>
        </w:tc>
        <w:tc>
          <w:tcPr>
            <w:tcW w:type="dxa" w:w="3100"/>
            <w:shd w:fill="1F3864" w:val="clear"/>
            <w:tcMar>
              <w:top w:type="dxa" w:w="80"/>
              <w:left w:type="dxa" w:w="100"/>
              <w:bottom w:type="dxa" w:w="80"/>
              <w:right w:type="dxa" w:w="100"/>
            </w:tcMar>
          </w:tcPr>
          <w:p>
            <w:r>
              <w:rPr>
                <w:rFonts w:ascii="Times New Roman" w:cs="Times New Roman" w:eastAsia="Times New Roman" w:hAnsi="Times New Roman"/>
                <w:b/>
                <w:bCs/>
                <w:color w:val="FFFFFF"/>
                <w:sz w:val="20"/>
                <w:szCs w:val="20"/>
              </w:rPr>
              <w:t xml:space="preserve">Suggested implementation</w:t>
            </w:r>
          </w:p>
        </w:tc>
      </w:tr>
      <w:tr>
        <w:tc>
          <w:tcPr>
            <w:tcW w:type="dxa" w:w="2200"/>
            <w:tcMar>
              <w:top w:type="dxa" w:w="80"/>
              <w:left w:type="dxa" w:w="100"/>
              <w:bottom w:type="dxa" w:w="80"/>
              <w:right w:type="dxa" w:w="100"/>
            </w:tcMar>
          </w:tcPr>
          <w:p>
            <w:r>
              <w:rPr>
                <w:rFonts w:ascii="Times New Roman" w:cs="Times New Roman" w:eastAsia="Times New Roman" w:hAnsi="Times New Roman"/>
                <w:b w:val="false"/>
                <w:bCs w:val="false"/>
                <w:color w:val="000000"/>
                <w:sz w:val="20"/>
                <w:szCs w:val="20"/>
              </w:rPr>
              <w:t xml:space="preserve">Telemetry simulator</w:t>
            </w:r>
          </w:p>
        </w:tc>
        <w:tc>
          <w:tcPr>
            <w:tcW w:type="dxa" w:w="3700"/>
            <w:tcMar>
              <w:top w:type="dxa" w:w="80"/>
              <w:left w:type="dxa" w:w="100"/>
              <w:bottom w:type="dxa" w:w="80"/>
              <w:right w:type="dxa" w:w="100"/>
            </w:tcMar>
          </w:tcPr>
          <w:p>
            <w:r>
              <w:rPr>
                <w:rFonts w:ascii="Times New Roman" w:cs="Times New Roman" w:eastAsia="Times New Roman" w:hAnsi="Times New Roman"/>
                <w:b w:val="false"/>
                <w:bCs w:val="false"/>
                <w:color w:val="000000"/>
                <w:sz w:val="20"/>
                <w:szCs w:val="20"/>
              </w:rPr>
              <w:t xml:space="preserve">Generates synthetic memory pressure, ECC, thermal, and queue-occupancy time series for a simulated CXL topology</w:t>
            </w:r>
          </w:p>
        </w:tc>
        <w:tc>
          <w:tcPr>
            <w:tcW w:type="dxa" w:w="3100"/>
            <w:tcMar>
              <w:top w:type="dxa" w:w="80"/>
              <w:left w:type="dxa" w:w="100"/>
              <w:bottom w:type="dxa" w:w="80"/>
              <w:right w:type="dxa" w:w="100"/>
            </w:tcMar>
          </w:tcPr>
          <w:p>
            <w:r>
              <w:rPr>
                <w:rFonts w:ascii="Times New Roman" w:cs="Times New Roman" w:eastAsia="Times New Roman" w:hAnsi="Times New Roman"/>
                <w:b w:val="false"/>
                <w:bCs w:val="false"/>
                <w:color w:val="000000"/>
                <w:sz w:val="20"/>
                <w:szCs w:val="20"/>
              </w:rPr>
              <w:t xml:space="preserve">Python; configurable workload/noise models</w:t>
            </w:r>
          </w:p>
        </w:tc>
      </w:tr>
      <w:tr>
        <w:tc>
          <w:tcPr>
            <w:tcW w:type="dxa" w:w="2200"/>
            <w:tcMar>
              <w:top w:type="dxa" w:w="80"/>
              <w:left w:type="dxa" w:w="100"/>
              <w:bottom w:type="dxa" w:w="80"/>
              <w:right w:type="dxa" w:w="100"/>
            </w:tcMar>
          </w:tcPr>
          <w:p>
            <w:r>
              <w:rPr>
                <w:rFonts w:ascii="Times New Roman" w:cs="Times New Roman" w:eastAsia="Times New Roman" w:hAnsi="Times New Roman"/>
                <w:b w:val="false"/>
                <w:bCs w:val="false"/>
                <w:color w:val="000000"/>
                <w:sz w:val="20"/>
                <w:szCs w:val="20"/>
              </w:rPr>
              <w:t xml:space="preserve">State collector</w:t>
            </w:r>
          </w:p>
        </w:tc>
        <w:tc>
          <w:tcPr>
            <w:tcW w:type="dxa" w:w="3700"/>
            <w:tcMar>
              <w:top w:type="dxa" w:w="80"/>
              <w:left w:type="dxa" w:w="100"/>
              <w:bottom w:type="dxa" w:w="80"/>
              <w:right w:type="dxa" w:w="100"/>
            </w:tcMar>
          </w:tcPr>
          <w:p>
            <w:r>
              <w:rPr>
                <w:rFonts w:ascii="Times New Roman" w:cs="Times New Roman" w:eastAsia="Times New Roman" w:hAnsi="Times New Roman"/>
                <w:b w:val="false"/>
                <w:bCs w:val="false"/>
                <w:color w:val="000000"/>
                <w:sz w:val="20"/>
                <w:szCs w:val="20"/>
              </w:rPr>
              <w:t xml:space="preserve">Snapshots simulated telemetry at a fixed cadence, computes a cryptographic (Merkle) commitment</w:t>
            </w:r>
          </w:p>
        </w:tc>
        <w:tc>
          <w:tcPr>
            <w:tcW w:type="dxa" w:w="3100"/>
            <w:tcMar>
              <w:top w:type="dxa" w:w="80"/>
              <w:left w:type="dxa" w:w="100"/>
              <w:bottom w:type="dxa" w:w="80"/>
              <w:right w:type="dxa" w:w="100"/>
            </w:tcMar>
          </w:tcPr>
          <w:p>
            <w:r>
              <w:rPr>
                <w:rFonts w:ascii="Times New Roman" w:cs="Times New Roman" w:eastAsia="Times New Roman" w:hAnsi="Times New Roman"/>
                <w:b w:val="false"/>
                <w:bCs w:val="false"/>
                <w:color w:val="000000"/>
                <w:sz w:val="20"/>
                <w:szCs w:val="20"/>
              </w:rPr>
              <w:t xml:space="preserve">Python or Rust; SHA-256</w:t>
            </w:r>
          </w:p>
        </w:tc>
      </w:tr>
      <w:tr>
        <w:tc>
          <w:tcPr>
            <w:tcW w:type="dxa" w:w="2200"/>
            <w:tcMar>
              <w:top w:type="dxa" w:w="80"/>
              <w:left w:type="dxa" w:w="100"/>
              <w:bottom w:type="dxa" w:w="80"/>
              <w:right w:type="dxa" w:w="100"/>
            </w:tcMar>
          </w:tcPr>
          <w:p>
            <w:r>
              <w:rPr>
                <w:rFonts w:ascii="Times New Roman" w:cs="Times New Roman" w:eastAsia="Times New Roman" w:hAnsi="Times New Roman"/>
                <w:b w:val="false"/>
                <w:bCs w:val="false"/>
                <w:color w:val="000000"/>
                <w:sz w:val="20"/>
                <w:szCs w:val="20"/>
              </w:rPr>
              <w:t xml:space="preserve">Policy engine</w:t>
            </w:r>
          </w:p>
        </w:tc>
        <w:tc>
          <w:tcPr>
            <w:tcW w:type="dxa" w:w="3700"/>
            <w:tcMar>
              <w:top w:type="dxa" w:w="80"/>
              <w:left w:type="dxa" w:w="100"/>
              <w:bottom w:type="dxa" w:w="80"/>
              <w:right w:type="dxa" w:w="100"/>
            </w:tcMar>
          </w:tcPr>
          <w:p>
            <w:r>
              <w:rPr>
                <w:rFonts w:ascii="Times New Roman" w:cs="Times New Roman" w:eastAsia="Times New Roman" w:hAnsi="Times New Roman"/>
                <w:b w:val="false"/>
                <w:bCs w:val="false"/>
                <w:color w:val="000000"/>
                <w:sz w:val="20"/>
                <w:szCs w:val="20"/>
              </w:rPr>
              <w:t xml:space="preserve">Evaluates allocate/reclaim/migrate policies against a snapshot</w:t>
            </w:r>
          </w:p>
        </w:tc>
        <w:tc>
          <w:tcPr>
            <w:tcW w:type="dxa" w:w="3100"/>
            <w:tcMar>
              <w:top w:type="dxa" w:w="80"/>
              <w:left w:type="dxa" w:w="100"/>
              <w:bottom w:type="dxa" w:w="80"/>
              <w:right w:type="dxa" w:w="100"/>
            </w:tcMar>
          </w:tcPr>
          <w:p>
            <w:r>
              <w:rPr>
                <w:rFonts w:ascii="Times New Roman" w:cs="Times New Roman" w:eastAsia="Times New Roman" w:hAnsi="Times New Roman"/>
                <w:b w:val="false"/>
                <w:bCs w:val="false"/>
                <w:color w:val="000000"/>
                <w:sz w:val="20"/>
                <w:szCs w:val="20"/>
              </w:rPr>
              <w:t xml:space="preserve">Open Policy Agent (Rego policies)</w:t>
            </w:r>
          </w:p>
        </w:tc>
      </w:tr>
      <w:tr>
        <w:tc>
          <w:tcPr>
            <w:tcW w:type="dxa" w:w="2200"/>
            <w:tcMar>
              <w:top w:type="dxa" w:w="80"/>
              <w:left w:type="dxa" w:w="100"/>
              <w:bottom w:type="dxa" w:w="80"/>
              <w:right w:type="dxa" w:w="100"/>
            </w:tcMar>
          </w:tcPr>
          <w:p>
            <w:r>
              <w:rPr>
                <w:rFonts w:ascii="Times New Roman" w:cs="Times New Roman" w:eastAsia="Times New Roman" w:hAnsi="Times New Roman"/>
                <w:b w:val="false"/>
                <w:bCs w:val="false"/>
                <w:color w:val="000000"/>
                <w:sz w:val="20"/>
                <w:szCs w:val="20"/>
              </w:rPr>
              <w:t xml:space="preserve">Proof generator</w:t>
            </w:r>
          </w:p>
        </w:tc>
        <w:tc>
          <w:tcPr>
            <w:tcW w:type="dxa" w:w="3700"/>
            <w:tcMar>
              <w:top w:type="dxa" w:w="80"/>
              <w:left w:type="dxa" w:w="100"/>
              <w:bottom w:type="dxa" w:w="80"/>
              <w:right w:type="dxa" w:w="100"/>
            </w:tcMar>
          </w:tcPr>
          <w:p>
            <w:r>
              <w:rPr>
                <w:rFonts w:ascii="Times New Roman" w:cs="Times New Roman" w:eastAsia="Times New Roman" w:hAnsi="Times New Roman"/>
                <w:b w:val="false"/>
                <w:bCs w:val="false"/>
                <w:color w:val="000000"/>
                <w:sz w:val="20"/>
                <w:szCs w:val="20"/>
              </w:rPr>
              <w:t xml:space="preserve">Performs freshness binding and signs the EvidenceRecord</w:t>
            </w:r>
          </w:p>
        </w:tc>
        <w:tc>
          <w:tcPr>
            <w:tcW w:type="dxa" w:w="3100"/>
            <w:tcMar>
              <w:top w:type="dxa" w:w="80"/>
              <w:left w:type="dxa" w:w="100"/>
              <w:bottom w:type="dxa" w:w="80"/>
              <w:right w:type="dxa" w:w="100"/>
            </w:tcMar>
          </w:tcPr>
          <w:p>
            <w:r>
              <w:rPr>
                <w:rFonts w:ascii="Times New Roman" w:cs="Times New Roman" w:eastAsia="Times New Roman" w:hAnsi="Times New Roman"/>
                <w:b w:val="false"/>
                <w:bCs w:val="false"/>
                <w:color w:val="000000"/>
                <w:sz w:val="20"/>
                <w:szCs w:val="20"/>
              </w:rPr>
              <w:t xml:space="preserve">Rust or Go; Ed25519 (e.g., libsodium / ed25519-dalek), chosen for prototype simplicity and low verification latency</w:t>
            </w:r>
          </w:p>
        </w:tc>
      </w:tr>
      <w:tr>
        <w:tc>
          <w:tcPr>
            <w:tcW w:type="dxa" w:w="2200"/>
            <w:tcMar>
              <w:top w:type="dxa" w:w="80"/>
              <w:left w:type="dxa" w:w="100"/>
              <w:bottom w:type="dxa" w:w="80"/>
              <w:right w:type="dxa" w:w="100"/>
            </w:tcMar>
          </w:tcPr>
          <w:p>
            <w:r>
              <w:rPr>
                <w:rFonts w:ascii="Times New Roman" w:cs="Times New Roman" w:eastAsia="Times New Roman" w:hAnsi="Times New Roman"/>
                <w:b w:val="false"/>
                <w:bCs w:val="false"/>
                <w:color w:val="000000"/>
                <w:sz w:val="20"/>
                <w:szCs w:val="20"/>
              </w:rPr>
              <w:t xml:space="preserve">Verifier service</w:t>
            </w:r>
          </w:p>
        </w:tc>
        <w:tc>
          <w:tcPr>
            <w:tcW w:type="dxa" w:w="3700"/>
            <w:tcMar>
              <w:top w:type="dxa" w:w="80"/>
              <w:left w:type="dxa" w:w="100"/>
              <w:bottom w:type="dxa" w:w="80"/>
              <w:right w:type="dxa" w:w="100"/>
            </w:tcMar>
          </w:tcPr>
          <w:p>
            <w:r>
              <w:rPr>
                <w:rFonts w:ascii="Times New Roman" w:cs="Times New Roman" w:eastAsia="Times New Roman" w:hAnsi="Times New Roman"/>
                <w:b w:val="false"/>
                <w:bCs w:val="false"/>
                <w:color w:val="000000"/>
                <w:sz w:val="20"/>
                <w:szCs w:val="20"/>
              </w:rPr>
              <w:t xml:space="preserve">Validates signature, freshness window, nonce cache, and field bindings</w:t>
            </w:r>
          </w:p>
        </w:tc>
        <w:tc>
          <w:tcPr>
            <w:tcW w:type="dxa" w:w="3100"/>
            <w:tcMar>
              <w:top w:type="dxa" w:w="80"/>
              <w:left w:type="dxa" w:w="100"/>
              <w:bottom w:type="dxa" w:w="80"/>
              <w:right w:type="dxa" w:w="100"/>
            </w:tcMar>
          </w:tcPr>
          <w:p>
            <w:r>
              <w:rPr>
                <w:rFonts w:ascii="Times New Roman" w:cs="Times New Roman" w:eastAsia="Times New Roman" w:hAnsi="Times New Roman"/>
                <w:b w:val="false"/>
                <w:bCs w:val="false"/>
                <w:color w:val="000000"/>
                <w:sz w:val="20"/>
                <w:szCs w:val="20"/>
              </w:rPr>
              <w:t xml:space="preserve">Go or Rust; simple RPC/HTTP interface</w:t>
            </w:r>
          </w:p>
        </w:tc>
      </w:tr>
      <w:tr>
        <w:tc>
          <w:tcPr>
            <w:tcW w:type="dxa" w:w="2200"/>
            <w:tcMar>
              <w:top w:type="dxa" w:w="80"/>
              <w:left w:type="dxa" w:w="100"/>
              <w:bottom w:type="dxa" w:w="80"/>
              <w:right w:type="dxa" w:w="100"/>
            </w:tcMar>
          </w:tcPr>
          <w:p>
            <w:r>
              <w:rPr>
                <w:rFonts w:ascii="Times New Roman" w:cs="Times New Roman" w:eastAsia="Times New Roman" w:hAnsi="Times New Roman"/>
                <w:b w:val="false"/>
                <w:bCs w:val="false"/>
                <w:color w:val="000000"/>
                <w:sz w:val="20"/>
                <w:szCs w:val="20"/>
              </w:rPr>
              <w:t xml:space="preserve">Orchestrator stub</w:t>
            </w:r>
          </w:p>
        </w:tc>
        <w:tc>
          <w:tcPr>
            <w:tcW w:type="dxa" w:w="3700"/>
            <w:tcMar>
              <w:top w:type="dxa" w:w="80"/>
              <w:left w:type="dxa" w:w="100"/>
              <w:bottom w:type="dxa" w:w="80"/>
              <w:right w:type="dxa" w:w="100"/>
            </w:tcMar>
          </w:tcPr>
          <w:p>
            <w:r>
              <w:rPr>
                <w:rFonts w:ascii="Times New Roman" w:cs="Times New Roman" w:eastAsia="Times New Roman" w:hAnsi="Times New Roman"/>
                <w:b w:val="false"/>
                <w:bCs w:val="false"/>
                <w:color w:val="000000"/>
                <w:sz w:val="20"/>
                <w:szCs w:val="20"/>
              </w:rPr>
              <w:t xml:space="preserve">Issues challenges and consumes verified actions</w:t>
            </w:r>
          </w:p>
        </w:tc>
        <w:tc>
          <w:tcPr>
            <w:tcW w:type="dxa" w:w="3100"/>
            <w:tcMar>
              <w:top w:type="dxa" w:w="80"/>
              <w:left w:type="dxa" w:w="100"/>
              <w:bottom w:type="dxa" w:w="80"/>
              <w:right w:type="dxa" w:w="100"/>
            </w:tcMar>
          </w:tcPr>
          <w:p>
            <w:r>
              <w:rPr>
                <w:rFonts w:ascii="Times New Roman" w:cs="Times New Roman" w:eastAsia="Times New Roman" w:hAnsi="Times New Roman"/>
                <w:b w:val="false"/>
                <w:bCs w:val="false"/>
                <w:color w:val="000000"/>
                <w:sz w:val="20"/>
                <w:szCs w:val="20"/>
              </w:rPr>
              <w:t xml:space="preserve">Python; simulates a scheduler loop</w:t>
            </w:r>
          </w:p>
        </w:tc>
      </w:tr>
      <w:tr>
        <w:tc>
          <w:tcPr>
            <w:tcW w:type="dxa" w:w="2200"/>
            <w:tcMar>
              <w:top w:type="dxa" w:w="80"/>
              <w:left w:type="dxa" w:w="100"/>
              <w:bottom w:type="dxa" w:w="80"/>
              <w:right w:type="dxa" w:w="100"/>
            </w:tcMar>
          </w:tcPr>
          <w:p>
            <w:r>
              <w:rPr>
                <w:rFonts w:ascii="Times New Roman" w:cs="Times New Roman" w:eastAsia="Times New Roman" w:hAnsi="Times New Roman"/>
                <w:b w:val="false"/>
                <w:bCs w:val="false"/>
                <w:color w:val="000000"/>
                <w:sz w:val="20"/>
                <w:szCs w:val="20"/>
              </w:rPr>
              <w:t xml:space="preserve">Audit store</w:t>
            </w:r>
          </w:p>
        </w:tc>
        <w:tc>
          <w:tcPr>
            <w:tcW w:type="dxa" w:w="3700"/>
            <w:tcMar>
              <w:top w:type="dxa" w:w="80"/>
              <w:left w:type="dxa" w:w="100"/>
              <w:bottom w:type="dxa" w:w="80"/>
              <w:right w:type="dxa" w:w="100"/>
            </w:tcMar>
          </w:tcPr>
          <w:p>
            <w:r>
              <w:rPr>
                <w:rFonts w:ascii="Times New Roman" w:cs="Times New Roman" w:eastAsia="Times New Roman" w:hAnsi="Times New Roman"/>
                <w:b w:val="false"/>
                <w:bCs w:val="false"/>
                <w:color w:val="000000"/>
                <w:sz w:val="20"/>
                <w:szCs w:val="20"/>
              </w:rPr>
              <w:t xml:space="preserve">Persists EvidenceRecords and verification outcomes for later analysis</w:t>
            </w:r>
          </w:p>
        </w:tc>
        <w:tc>
          <w:tcPr>
            <w:tcW w:type="dxa" w:w="3100"/>
            <w:tcMar>
              <w:top w:type="dxa" w:w="80"/>
              <w:left w:type="dxa" w:w="100"/>
              <w:bottom w:type="dxa" w:w="80"/>
              <w:right w:type="dxa" w:w="100"/>
            </w:tcMar>
          </w:tcPr>
          <w:p>
            <w:r>
              <w:rPr>
                <w:rFonts w:ascii="Times New Roman" w:cs="Times New Roman" w:eastAsia="Times New Roman" w:hAnsi="Times New Roman"/>
                <w:b w:val="false"/>
                <w:bCs w:val="false"/>
                <w:color w:val="000000"/>
                <w:sz w:val="20"/>
                <w:szCs w:val="20"/>
              </w:rPr>
              <w:t xml:space="preserve">SQLite or PostgreSQL</w:t>
            </w:r>
          </w:p>
        </w:tc>
      </w:tr>
    </w:tbl>
    <w:p>
      <w:pPr>
        <w:pStyle w:val="Heading2"/>
        <w:spacing w:after="120" w:before="220"/>
      </w:pPr>
      <w:r>
        <w:rPr>
          <w:rFonts w:ascii="Times New Roman" w:cs="Times New Roman" w:eastAsia="Times New Roman" w:hAnsi="Times New Roman"/>
          <w:b/>
          <w:bCs/>
          <w:i/>
          <w:iCs/>
          <w:color w:val="2E4E7A"/>
          <w:sz w:val="23"/>
          <w:szCs w:val="23"/>
        </w:rPr>
        <w:t xml:space="preserve">13.2 CXL Simulation</w:t>
      </w:r>
    </w:p>
    <w:p>
      <w:pPr>
        <w:spacing w:after="160" w:line="276"/>
        <w:jc w:val="both"/>
      </w:pPr>
      <w:r>
        <w:rPr>
          <w:rFonts w:ascii="Times New Roman" w:cs="Times New Roman" w:eastAsia="Times New Roman" w:hAnsi="Times New Roman"/>
          <w:sz w:val="22"/>
          <w:szCs w:val="22"/>
        </w:rPr>
        <w:t xml:space="preserve">Because the goal is to evaluate the evidence protocol rather than CXL fabric behavior itself, the prototype models CXL topology as a graph of hosts and pooled memory regions with configurable capacity, latency, and per-region telemetry generators, sufficient to exercise allocate, reclaim, and migrate decisions under varying load without requiring physical CXL hardware or a full fabric-manager implementation.</w:t>
      </w:r>
    </w:p>
    <w:p>
      <w:pPr>
        <w:pStyle w:val="Heading1"/>
        <w:spacing w:after="160" w:before="320"/>
      </w:pPr>
      <w:r>
        <w:rPr>
          <w:rFonts w:ascii="Times New Roman" w:cs="Times New Roman" w:eastAsia="Times New Roman" w:hAnsi="Times New Roman"/>
          <w:b/>
          <w:bCs/>
          <w:color w:val="1F3864"/>
          <w:sz w:val="26"/>
          <w:szCs w:val="26"/>
        </w:rPr>
        <w:t xml:space="preserve">14. Implementation Details</w:t>
      </w:r>
    </w:p>
    <w:p>
      <w:pPr>
        <w:pStyle w:val="Heading2"/>
        <w:spacing w:after="120" w:before="220"/>
      </w:pPr>
      <w:r>
        <w:rPr>
          <w:rFonts w:ascii="Times New Roman" w:cs="Times New Roman" w:eastAsia="Times New Roman" w:hAnsi="Times New Roman"/>
          <w:b/>
          <w:bCs/>
          <w:i/>
          <w:iCs/>
          <w:color w:val="2E4E7A"/>
          <w:sz w:val="23"/>
          <w:szCs w:val="23"/>
        </w:rPr>
        <w:t xml:space="preserve">14.1 Signing and Key Management</w:t>
      </w:r>
    </w:p>
    <w:p>
      <w:pPr>
        <w:spacing w:after="160" w:line="276"/>
        <w:jc w:val="both"/>
      </w:pPr>
      <w:r>
        <w:rPr>
          <w:rFonts w:ascii="Times New Roman" w:cs="Times New Roman" w:eastAsia="Times New Roman" w:hAnsi="Times New Roman"/>
          <w:sz w:val="22"/>
          <w:szCs w:val="22"/>
        </w:rPr>
        <w:t xml:space="preserve">The proof generator holds an Ed25519 signing key. In a production deployment this key would be generated inside the TD and its public counterpart bound into the TD's attestation quote, so that a verifier's trust in the signature reduces to trust in the existing TDX/TDX Connect/DCAP attestation chain. In the prototype, the same key-handling interface is used with a locally generated key and a stub attestation reference, so that swapping in a real TDX-issued key requires no change to the evidence format or verification logic.</w:t>
      </w:r>
    </w:p>
    <w:p>
      <w:pPr>
        <w:pStyle w:val="Heading2"/>
        <w:spacing w:after="120" w:before="220"/>
      </w:pPr>
      <w:r>
        <w:rPr>
          <w:rFonts w:ascii="Times New Roman" w:cs="Times New Roman" w:eastAsia="Times New Roman" w:hAnsi="Times New Roman"/>
          <w:b/>
          <w:bCs/>
          <w:i/>
          <w:iCs/>
          <w:color w:val="2E4E7A"/>
          <w:sz w:val="23"/>
          <w:szCs w:val="23"/>
        </w:rPr>
        <w:t xml:space="preserve">14.2 State Commitment</w:t>
      </w:r>
    </w:p>
    <w:p>
      <w:pPr>
        <w:spacing w:after="160" w:line="276"/>
        <w:jc w:val="both"/>
      </w:pPr>
      <w:r>
        <w:rPr>
          <w:rFonts w:ascii="Times New Roman" w:cs="Times New Roman" w:eastAsia="Times New Roman" w:hAnsi="Times New Roman"/>
          <w:sz w:val="22"/>
          <w:szCs w:val="22"/>
        </w:rPr>
        <w:t xml:space="preserve">The state snapshot is serialized deterministically, split into fixed-size leaves, and hashed into a Merkle tree; the root is the state_commitment field. This allows a later, explicitly authorized audit to reveal specific fields of the snapshot together with a Merkle proof, without requiring the full snapshot to be disclosed at verification time.</w:t>
      </w:r>
    </w:p>
    <w:p>
      <w:pPr>
        <w:pStyle w:val="Heading2"/>
        <w:spacing w:after="120" w:before="220"/>
      </w:pPr>
      <w:r>
        <w:rPr>
          <w:rFonts w:ascii="Times New Roman" w:cs="Times New Roman" w:eastAsia="Times New Roman" w:hAnsi="Times New Roman"/>
          <w:b/>
          <w:bCs/>
          <w:i/>
          <w:iCs/>
          <w:color w:val="2E4E7A"/>
          <w:sz w:val="23"/>
          <w:szCs w:val="23"/>
        </w:rPr>
        <w:t xml:space="preserve">14.3 Policy Definitions</w:t>
      </w:r>
    </w:p>
    <w:p>
      <w:pPr>
        <w:spacing w:after="160" w:line="276"/>
        <w:jc w:val="both"/>
      </w:pPr>
      <w:r>
        <w:rPr>
          <w:rFonts w:ascii="Times New Roman" w:cs="Times New Roman" w:eastAsia="Times New Roman" w:hAnsi="Times New Roman"/>
          <w:sz w:val="22"/>
          <w:szCs w:val="22"/>
        </w:rPr>
        <w:t xml:space="preserve">Policies are written as Rego modules, one per action type, taking the state snapshot as input and returning an allow/deny decision plus the policy_id and rule version that fired. In practice, policy modules can be maintained in a version-controlled repository (for example, Git), so that the policy_id embedded in each evidence record resolves to an exact, independently auditable policy revision rather than an opaque label.</w:t>
      </w:r>
    </w:p>
    <w:p>
      <w:pPr>
        <w:pStyle w:val="Heading2"/>
        <w:spacing w:after="120" w:before="220"/>
      </w:pPr>
      <w:r>
        <w:rPr>
          <w:rFonts w:ascii="Times New Roman" w:cs="Times New Roman" w:eastAsia="Times New Roman" w:hAnsi="Times New Roman"/>
          <w:b/>
          <w:bCs/>
          <w:i/>
          <w:iCs/>
          <w:color w:val="2E4E7A"/>
          <w:sz w:val="23"/>
          <w:szCs w:val="23"/>
        </w:rPr>
        <w:t xml:space="preserve">14.4 Verifier Interface</w:t>
      </w:r>
    </w:p>
    <w:p>
      <w:pPr>
        <w:spacing w:after="160" w:line="276"/>
        <w:jc w:val="both"/>
      </w:pPr>
      <w:r>
        <w:rPr>
          <w:rFonts w:ascii="Times New Roman" w:cs="Times New Roman" w:eastAsia="Times New Roman" w:hAnsi="Times New Roman"/>
          <w:sz w:val="22"/>
          <w:szCs w:val="22"/>
        </w:rPr>
        <w:t xml:space="preserve">The verifier exposes a single verification call taking an (action, EvidenceRecord) pair and returning accept or reject with a reason code (invalid signature, stale epoch, expired timestamp, reused nonce, or field mismatch), so that rejected actions can be logged and investigated rather than silently dropped.</w:t>
      </w:r>
    </w:p>
    <w:p>
      <w:pPr>
        <w:pStyle w:val="Heading1"/>
        <w:spacing w:after="160" w:before="320"/>
      </w:pPr>
      <w:r>
        <w:rPr>
          <w:rFonts w:ascii="Times New Roman" w:cs="Times New Roman" w:eastAsia="Times New Roman" w:hAnsi="Times New Roman"/>
          <w:b/>
          <w:bCs/>
          <w:color w:val="1F3864"/>
          <w:sz w:val="26"/>
          <w:szCs w:val="26"/>
        </w:rPr>
        <w:t xml:space="preserve">15. Experimental Setup</w:t>
      </w:r>
    </w:p>
    <w:p>
      <w:pPr>
        <w:spacing w:after="160" w:line="276"/>
        <w:jc w:val="both"/>
      </w:pPr>
      <w:r>
        <w:rPr>
          <w:rFonts w:ascii="Times New Roman" w:cs="Times New Roman" w:eastAsia="Times New Roman" w:hAnsi="Times New Roman"/>
          <w:sz w:val="22"/>
          <w:szCs w:val="22"/>
        </w:rPr>
        <w:t xml:space="preserve">The intended evaluation environment is a single commodity Linux host running the simulator, state collector, policy engine, proof generator, and verifier as separate processes communicating over local RPC, plus a distributed variant running the verifier on a separate host to measure network-inclusive latency. The telemetry simulator is configured to produce request rates and load patterns representative of the allocate/reclaim/migrate mix expected in a pooled-memory, multi-tenant AI infrastructure setting, with adjustable request rate to test scalability.</w:t>
      </w:r>
    </w:p>
    <w:p>
      <w:pPr>
        <w:spacing w:after="160" w:line="276"/>
        <w:jc w:val="both"/>
      </w:pPr>
      <w:r>
        <w:rPr>
          <w:rFonts w:ascii="Times New Roman" w:cs="Times New Roman" w:eastAsia="Times New Roman" w:hAnsi="Times New Roman"/>
          <w:sz w:val="22"/>
          <w:szCs w:val="22"/>
        </w:rPr>
        <w:t xml:space="preserve">Baselines for comparison include: (a) a no-evidence baseline, where the orchestrator acts directly on raw telemetry with no proof layer, representing current practice and used only to quantify telemetry disclosure and to provide a lower bound on decision latency; and (b) a naive full-disclosure signed baseline, where the trusted layer signs the raw telemetry snapshot itself rather than a commitment, used to isolate the latency and bandwidth cost attributable specifically to the commitment/proof step versus the disclosure-reduction step.</w:t>
      </w:r>
    </w:p>
    <w:p>
      <w:pPr>
        <w:pStyle w:val="Heading1"/>
        <w:spacing w:after="160" w:before="320"/>
      </w:pPr>
      <w:r>
        <w:rPr>
          <w:rFonts w:ascii="Times New Roman" w:cs="Times New Roman" w:eastAsia="Times New Roman" w:hAnsi="Times New Roman"/>
          <w:b/>
          <w:bCs/>
          <w:color w:val="1F3864"/>
          <w:sz w:val="26"/>
          <w:szCs w:val="26"/>
        </w:rPr>
        <w:t xml:space="preserve">16. Evaluation Metrics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300"/>
        <w:gridCol w:w="3700"/>
        <w:gridCol w:w="3000"/>
      </w:tblGrid>
      <w:tr>
        <w:tc>
          <w:tcPr>
            <w:tcW w:type="dxa" w:w="2300"/>
            <w:shd w:fill="1F3864" w:val="clear"/>
            <w:tcMar>
              <w:top w:type="dxa" w:w="80"/>
              <w:left w:type="dxa" w:w="100"/>
              <w:bottom w:type="dxa" w:w="80"/>
              <w:right w:type="dxa" w:w="100"/>
            </w:tcMar>
          </w:tcPr>
          <w:p>
            <w:r>
              <w:rPr>
                <w:rFonts w:ascii="Times New Roman" w:cs="Times New Roman" w:eastAsia="Times New Roman" w:hAnsi="Times New Roman"/>
                <w:b/>
                <w:bCs/>
                <w:color w:val="FFFFFF"/>
                <w:sz w:val="20"/>
                <w:szCs w:val="20"/>
              </w:rPr>
              <w:t xml:space="preserve">Metric</w:t>
            </w:r>
          </w:p>
        </w:tc>
        <w:tc>
          <w:tcPr>
            <w:tcW w:type="dxa" w:w="3700"/>
            <w:shd w:fill="1F3864" w:val="clear"/>
            <w:tcMar>
              <w:top w:type="dxa" w:w="80"/>
              <w:left w:type="dxa" w:w="100"/>
              <w:bottom w:type="dxa" w:w="80"/>
              <w:right w:type="dxa" w:w="100"/>
            </w:tcMar>
          </w:tcPr>
          <w:p>
            <w:r>
              <w:rPr>
                <w:rFonts w:ascii="Times New Roman" w:cs="Times New Roman" w:eastAsia="Times New Roman" w:hAnsi="Times New Roman"/>
                <w:b/>
                <w:bCs/>
                <w:color w:val="FFFFFF"/>
                <w:sz w:val="20"/>
                <w:szCs w:val="20"/>
              </w:rPr>
              <w:t xml:space="preserve">Definition</w:t>
            </w:r>
          </w:p>
        </w:tc>
        <w:tc>
          <w:tcPr>
            <w:tcW w:type="dxa" w:w="3000"/>
            <w:shd w:fill="1F3864" w:val="clear"/>
            <w:tcMar>
              <w:top w:type="dxa" w:w="80"/>
              <w:left w:type="dxa" w:w="100"/>
              <w:bottom w:type="dxa" w:w="80"/>
              <w:right w:type="dxa" w:w="100"/>
            </w:tcMar>
          </w:tcPr>
          <w:p>
            <w:r>
              <w:rPr>
                <w:rFonts w:ascii="Times New Roman" w:cs="Times New Roman" w:eastAsia="Times New Roman" w:hAnsi="Times New Roman"/>
                <w:b/>
                <w:bCs/>
                <w:color w:val="FFFFFF"/>
                <w:sz w:val="20"/>
                <w:szCs w:val="20"/>
              </w:rPr>
              <w:t xml:space="preserve">Why it matters</w:t>
            </w:r>
          </w:p>
        </w:tc>
      </w:tr>
      <w:tr>
        <w:tc>
          <w:tcPr>
            <w:tcW w:type="dxa" w:w="2300"/>
            <w:tcMar>
              <w:top w:type="dxa" w:w="80"/>
              <w:left w:type="dxa" w:w="100"/>
              <w:bottom w:type="dxa" w:w="80"/>
              <w:right w:type="dxa" w:w="100"/>
            </w:tcMar>
          </w:tcPr>
          <w:p>
            <w:r>
              <w:rPr>
                <w:rFonts w:ascii="Times New Roman" w:cs="Times New Roman" w:eastAsia="Times New Roman" w:hAnsi="Times New Roman"/>
                <w:b w:val="false"/>
                <w:bCs w:val="false"/>
                <w:color w:val="000000"/>
                <w:sz w:val="20"/>
                <w:szCs w:val="20"/>
              </w:rPr>
              <w:t xml:space="preserve">Proof generation latency</w:t>
            </w:r>
          </w:p>
        </w:tc>
        <w:tc>
          <w:tcPr>
            <w:tcW w:type="dxa" w:w="3700"/>
            <w:tcMar>
              <w:top w:type="dxa" w:w="80"/>
              <w:left w:type="dxa" w:w="100"/>
              <w:bottom w:type="dxa" w:w="80"/>
              <w:right w:type="dxa" w:w="100"/>
            </w:tcMar>
          </w:tcPr>
          <w:p>
            <w:r>
              <w:rPr>
                <w:rFonts w:ascii="Times New Roman" w:cs="Times New Roman" w:eastAsia="Times New Roman" w:hAnsi="Times New Roman"/>
                <w:b w:val="false"/>
                <w:bCs w:val="false"/>
                <w:color w:val="000000"/>
                <w:sz w:val="20"/>
                <w:szCs w:val="20"/>
              </w:rPr>
              <w:t xml:space="preserve">Time from state snapshot to signed EvidenceRecord</w:t>
            </w:r>
          </w:p>
        </w:tc>
        <w:tc>
          <w:tcPr>
            <w:tcW w:type="dxa" w:w="3000"/>
            <w:tcMar>
              <w:top w:type="dxa" w:w="80"/>
              <w:left w:type="dxa" w:w="100"/>
              <w:bottom w:type="dxa" w:w="80"/>
              <w:right w:type="dxa" w:w="100"/>
            </w:tcMar>
          </w:tcPr>
          <w:p>
            <w:r>
              <w:rPr>
                <w:rFonts w:ascii="Times New Roman" w:cs="Times New Roman" w:eastAsia="Times New Roman" w:hAnsi="Times New Roman"/>
                <w:b w:val="false"/>
                <w:bCs w:val="false"/>
                <w:color w:val="000000"/>
                <w:sz w:val="20"/>
                <w:szCs w:val="20"/>
              </w:rPr>
              <w:t xml:space="preserve">Bounds how quickly an action can be authorized</w:t>
            </w:r>
          </w:p>
        </w:tc>
      </w:tr>
      <w:tr>
        <w:tc>
          <w:tcPr>
            <w:tcW w:type="dxa" w:w="2300"/>
            <w:tcMar>
              <w:top w:type="dxa" w:w="80"/>
              <w:left w:type="dxa" w:w="100"/>
              <w:bottom w:type="dxa" w:w="80"/>
              <w:right w:type="dxa" w:w="100"/>
            </w:tcMar>
          </w:tcPr>
          <w:p>
            <w:r>
              <w:rPr>
                <w:rFonts w:ascii="Times New Roman" w:cs="Times New Roman" w:eastAsia="Times New Roman" w:hAnsi="Times New Roman"/>
                <w:b w:val="false"/>
                <w:bCs w:val="false"/>
                <w:color w:val="000000"/>
                <w:sz w:val="20"/>
                <w:szCs w:val="20"/>
              </w:rPr>
              <w:t xml:space="preserve">Proof verification latency</w:t>
            </w:r>
          </w:p>
        </w:tc>
        <w:tc>
          <w:tcPr>
            <w:tcW w:type="dxa" w:w="3700"/>
            <w:tcMar>
              <w:top w:type="dxa" w:w="80"/>
              <w:left w:type="dxa" w:w="100"/>
              <w:bottom w:type="dxa" w:w="80"/>
              <w:right w:type="dxa" w:w="100"/>
            </w:tcMar>
          </w:tcPr>
          <w:p>
            <w:r>
              <w:rPr>
                <w:rFonts w:ascii="Times New Roman" w:cs="Times New Roman" w:eastAsia="Times New Roman" w:hAnsi="Times New Roman"/>
                <w:b w:val="false"/>
                <w:bCs w:val="false"/>
                <w:color w:val="000000"/>
                <w:sz w:val="20"/>
                <w:szCs w:val="20"/>
              </w:rPr>
              <w:t xml:space="preserve">Time for the verifier to accept/reject a record</w:t>
            </w:r>
          </w:p>
        </w:tc>
        <w:tc>
          <w:tcPr>
            <w:tcW w:type="dxa" w:w="3000"/>
            <w:tcMar>
              <w:top w:type="dxa" w:w="80"/>
              <w:left w:type="dxa" w:w="100"/>
              <w:bottom w:type="dxa" w:w="80"/>
              <w:right w:type="dxa" w:w="100"/>
            </w:tcMar>
          </w:tcPr>
          <w:p>
            <w:r>
              <w:rPr>
                <w:rFonts w:ascii="Times New Roman" w:cs="Times New Roman" w:eastAsia="Times New Roman" w:hAnsi="Times New Roman"/>
                <w:b w:val="false"/>
                <w:bCs w:val="false"/>
                <w:color w:val="000000"/>
                <w:sz w:val="20"/>
                <w:szCs w:val="20"/>
              </w:rPr>
              <w:t xml:space="preserve">Determines orchestration-path overhead</w:t>
            </w:r>
          </w:p>
        </w:tc>
      </w:tr>
      <w:tr>
        <w:tc>
          <w:tcPr>
            <w:tcW w:type="dxa" w:w="2300"/>
            <w:tcMar>
              <w:top w:type="dxa" w:w="80"/>
              <w:left w:type="dxa" w:w="100"/>
              <w:bottom w:type="dxa" w:w="80"/>
              <w:right w:type="dxa" w:w="100"/>
            </w:tcMar>
          </w:tcPr>
          <w:p>
            <w:r>
              <w:rPr>
                <w:rFonts w:ascii="Times New Roman" w:cs="Times New Roman" w:eastAsia="Times New Roman" w:hAnsi="Times New Roman"/>
                <w:b w:val="false"/>
                <w:bCs w:val="false"/>
                <w:color w:val="000000"/>
                <w:sz w:val="20"/>
                <w:szCs w:val="20"/>
              </w:rPr>
              <w:t xml:space="preserve">End-to-end orchestration latency</w:t>
            </w:r>
          </w:p>
        </w:tc>
        <w:tc>
          <w:tcPr>
            <w:tcW w:type="dxa" w:w="3700"/>
            <w:tcMar>
              <w:top w:type="dxa" w:w="80"/>
              <w:left w:type="dxa" w:w="100"/>
              <w:bottom w:type="dxa" w:w="80"/>
              <w:right w:type="dxa" w:w="100"/>
            </w:tcMar>
          </w:tcPr>
          <w:p>
            <w:r>
              <w:rPr>
                <w:rFonts w:ascii="Times New Roman" w:cs="Times New Roman" w:eastAsia="Times New Roman" w:hAnsi="Times New Roman"/>
                <w:b w:val="false"/>
                <w:bCs w:val="false"/>
                <w:color w:val="000000"/>
                <w:sz w:val="20"/>
                <w:szCs w:val="20"/>
              </w:rPr>
              <w:t xml:space="preserve">Challenge-to-executed-action time, S2A vs. baselines</w:t>
            </w:r>
          </w:p>
        </w:tc>
        <w:tc>
          <w:tcPr>
            <w:tcW w:type="dxa" w:w="3000"/>
            <w:tcMar>
              <w:top w:type="dxa" w:w="80"/>
              <w:left w:type="dxa" w:w="100"/>
              <w:bottom w:type="dxa" w:w="80"/>
              <w:right w:type="dxa" w:w="100"/>
            </w:tcMar>
          </w:tcPr>
          <w:p>
            <w:r>
              <w:rPr>
                <w:rFonts w:ascii="Times New Roman" w:cs="Times New Roman" w:eastAsia="Times New Roman" w:hAnsi="Times New Roman"/>
                <w:b w:val="false"/>
                <w:bCs w:val="false"/>
                <w:color w:val="000000"/>
                <w:sz w:val="20"/>
                <w:szCs w:val="20"/>
              </w:rPr>
              <w:t xml:space="preserve">Quantifies practical overhead of the proof layer</w:t>
            </w:r>
          </w:p>
        </w:tc>
      </w:tr>
      <w:tr>
        <w:tc>
          <w:tcPr>
            <w:tcW w:type="dxa" w:w="2300"/>
            <w:tcMar>
              <w:top w:type="dxa" w:w="80"/>
              <w:left w:type="dxa" w:w="100"/>
              <w:bottom w:type="dxa" w:w="80"/>
              <w:right w:type="dxa" w:w="100"/>
            </w:tcMar>
          </w:tcPr>
          <w:p>
            <w:r>
              <w:rPr>
                <w:rFonts w:ascii="Times New Roman" w:cs="Times New Roman" w:eastAsia="Times New Roman" w:hAnsi="Times New Roman"/>
                <w:b w:val="false"/>
                <w:bCs w:val="false"/>
                <w:color w:val="000000"/>
                <w:sz w:val="20"/>
                <w:szCs w:val="20"/>
              </w:rPr>
              <w:t xml:space="preserve">Telemetry disclosure reduction</w:t>
            </w:r>
          </w:p>
        </w:tc>
        <w:tc>
          <w:tcPr>
            <w:tcW w:type="dxa" w:w="3700"/>
            <w:tcMar>
              <w:top w:type="dxa" w:w="80"/>
              <w:left w:type="dxa" w:w="100"/>
              <w:bottom w:type="dxa" w:w="80"/>
              <w:right w:type="dxa" w:w="100"/>
            </w:tcMar>
          </w:tcPr>
          <w:p>
            <w:r>
              <w:rPr>
                <w:rFonts w:ascii="Times New Roman" w:cs="Times New Roman" w:eastAsia="Times New Roman" w:hAnsi="Times New Roman"/>
                <w:b w:val="false"/>
                <w:bCs w:val="false"/>
                <w:color w:val="000000"/>
                <w:sz w:val="20"/>
                <w:szCs w:val="20"/>
              </w:rPr>
              <w:t xml:space="preserve">Fields/bytes of raw telemetry visible to the orchestrator, S2A vs. full-disclosure baseline</w:t>
            </w:r>
          </w:p>
        </w:tc>
        <w:tc>
          <w:tcPr>
            <w:tcW w:type="dxa" w:w="3000"/>
            <w:tcMar>
              <w:top w:type="dxa" w:w="80"/>
              <w:left w:type="dxa" w:w="100"/>
              <w:bottom w:type="dxa" w:w="80"/>
              <w:right w:type="dxa" w:w="100"/>
            </w:tcMar>
          </w:tcPr>
          <w:p>
            <w:r>
              <w:rPr>
                <w:rFonts w:ascii="Times New Roman" w:cs="Times New Roman" w:eastAsia="Times New Roman" w:hAnsi="Times New Roman"/>
                <w:b w:val="false"/>
                <w:bCs w:val="false"/>
                <w:color w:val="000000"/>
                <w:sz w:val="20"/>
                <w:szCs w:val="20"/>
              </w:rPr>
              <w:t xml:space="preserve">Directly measures the privacy benefit</w:t>
            </w:r>
          </w:p>
        </w:tc>
      </w:tr>
      <w:tr>
        <w:tc>
          <w:tcPr>
            <w:tcW w:type="dxa" w:w="2300"/>
            <w:tcMar>
              <w:top w:type="dxa" w:w="80"/>
              <w:left w:type="dxa" w:w="100"/>
              <w:bottom w:type="dxa" w:w="80"/>
              <w:right w:type="dxa" w:w="100"/>
            </w:tcMar>
          </w:tcPr>
          <w:p>
            <w:r>
              <w:rPr>
                <w:rFonts w:ascii="Times New Roman" w:cs="Times New Roman" w:eastAsia="Times New Roman" w:hAnsi="Times New Roman"/>
                <w:b w:val="false"/>
                <w:bCs w:val="false"/>
                <w:color w:val="000000"/>
                <w:sz w:val="20"/>
                <w:szCs w:val="20"/>
              </w:rPr>
              <w:t xml:space="preserve">Replay resistance</w:t>
            </w:r>
          </w:p>
        </w:tc>
        <w:tc>
          <w:tcPr>
            <w:tcW w:type="dxa" w:w="3700"/>
            <w:tcMar>
              <w:top w:type="dxa" w:w="80"/>
              <w:left w:type="dxa" w:w="100"/>
              <w:bottom w:type="dxa" w:w="80"/>
              <w:right w:type="dxa" w:w="100"/>
            </w:tcMar>
          </w:tcPr>
          <w:p>
            <w:r>
              <w:rPr>
                <w:rFonts w:ascii="Times New Roman" w:cs="Times New Roman" w:eastAsia="Times New Roman" w:hAnsi="Times New Roman"/>
                <w:b w:val="false"/>
                <w:bCs w:val="false"/>
                <w:color w:val="000000"/>
                <w:sz w:val="20"/>
                <w:szCs w:val="20"/>
              </w:rPr>
              <w:t xml:space="preserve">Fraction of replayed/duplicated records correctly rejected</w:t>
            </w:r>
          </w:p>
        </w:tc>
        <w:tc>
          <w:tcPr>
            <w:tcW w:type="dxa" w:w="3000"/>
            <w:tcMar>
              <w:top w:type="dxa" w:w="80"/>
              <w:left w:type="dxa" w:w="100"/>
              <w:bottom w:type="dxa" w:w="80"/>
              <w:right w:type="dxa" w:w="100"/>
            </w:tcMar>
          </w:tcPr>
          <w:p>
            <w:r>
              <w:rPr>
                <w:rFonts w:ascii="Times New Roman" w:cs="Times New Roman" w:eastAsia="Times New Roman" w:hAnsi="Times New Roman"/>
                <w:b w:val="false"/>
                <w:bCs w:val="false"/>
                <w:color w:val="000000"/>
                <w:sz w:val="20"/>
                <w:szCs w:val="20"/>
              </w:rPr>
              <w:t xml:space="preserve">Validates the freshness mechanism</w:t>
            </w:r>
          </w:p>
        </w:tc>
      </w:tr>
      <w:tr>
        <w:tc>
          <w:tcPr>
            <w:tcW w:type="dxa" w:w="2300"/>
            <w:tcMar>
              <w:top w:type="dxa" w:w="80"/>
              <w:left w:type="dxa" w:w="100"/>
              <w:bottom w:type="dxa" w:w="80"/>
              <w:right w:type="dxa" w:w="100"/>
            </w:tcMar>
          </w:tcPr>
          <w:p>
            <w:r>
              <w:rPr>
                <w:rFonts w:ascii="Times New Roman" w:cs="Times New Roman" w:eastAsia="Times New Roman" w:hAnsi="Times New Roman"/>
                <w:b w:val="false"/>
                <w:bCs w:val="false"/>
                <w:color w:val="000000"/>
                <w:sz w:val="20"/>
                <w:szCs w:val="20"/>
              </w:rPr>
              <w:t xml:space="preserve">Unauthorized-action detection</w:t>
            </w:r>
          </w:p>
        </w:tc>
        <w:tc>
          <w:tcPr>
            <w:tcW w:type="dxa" w:w="3700"/>
            <w:tcMar>
              <w:top w:type="dxa" w:w="80"/>
              <w:left w:type="dxa" w:w="100"/>
              <w:bottom w:type="dxa" w:w="80"/>
              <w:right w:type="dxa" w:w="100"/>
            </w:tcMar>
          </w:tcPr>
          <w:p>
            <w:r>
              <w:rPr>
                <w:rFonts w:ascii="Times New Roman" w:cs="Times New Roman" w:eastAsia="Times New Roman" w:hAnsi="Times New Roman"/>
                <w:b w:val="false"/>
                <w:bCs w:val="false"/>
                <w:color w:val="000000"/>
                <w:sz w:val="20"/>
                <w:szCs w:val="20"/>
              </w:rPr>
              <w:t xml:space="preserve">Fraction of forged/modified action-evidence pairs correctly rejected</w:t>
            </w:r>
          </w:p>
        </w:tc>
        <w:tc>
          <w:tcPr>
            <w:tcW w:type="dxa" w:w="3000"/>
            <w:tcMar>
              <w:top w:type="dxa" w:w="80"/>
              <w:left w:type="dxa" w:w="100"/>
              <w:bottom w:type="dxa" w:w="80"/>
              <w:right w:type="dxa" w:w="100"/>
            </w:tcMar>
          </w:tcPr>
          <w:p>
            <w:r>
              <w:rPr>
                <w:rFonts w:ascii="Times New Roman" w:cs="Times New Roman" w:eastAsia="Times New Roman" w:hAnsi="Times New Roman"/>
                <w:b w:val="false"/>
                <w:bCs w:val="false"/>
                <w:color w:val="000000"/>
                <w:sz w:val="20"/>
                <w:szCs w:val="20"/>
              </w:rPr>
              <w:t xml:space="preserve">Validates the binding and signature checks</w:t>
            </w:r>
          </w:p>
        </w:tc>
      </w:tr>
      <w:tr>
        <w:tc>
          <w:tcPr>
            <w:tcW w:type="dxa" w:w="2300"/>
            <w:tcMar>
              <w:top w:type="dxa" w:w="80"/>
              <w:left w:type="dxa" w:w="100"/>
              <w:bottom w:type="dxa" w:w="80"/>
              <w:right w:type="dxa" w:w="100"/>
            </w:tcMar>
          </w:tcPr>
          <w:p>
            <w:r>
              <w:rPr>
                <w:rFonts w:ascii="Times New Roman" w:cs="Times New Roman" w:eastAsia="Times New Roman" w:hAnsi="Times New Roman"/>
                <w:b w:val="false"/>
                <w:bCs w:val="false"/>
                <w:color w:val="000000"/>
                <w:sz w:val="20"/>
                <w:szCs w:val="20"/>
              </w:rPr>
              <w:t xml:space="preserve">Decision accuracy</w:t>
            </w:r>
          </w:p>
        </w:tc>
        <w:tc>
          <w:tcPr>
            <w:tcW w:type="dxa" w:w="3700"/>
            <w:tcMar>
              <w:top w:type="dxa" w:w="80"/>
              <w:left w:type="dxa" w:w="100"/>
              <w:bottom w:type="dxa" w:w="80"/>
              <w:right w:type="dxa" w:w="100"/>
            </w:tcMar>
          </w:tcPr>
          <w:p>
            <w:r>
              <w:rPr>
                <w:rFonts w:ascii="Times New Roman" w:cs="Times New Roman" w:eastAsia="Times New Roman" w:hAnsi="Times New Roman"/>
                <w:b w:val="false"/>
                <w:bCs w:val="false"/>
                <w:color w:val="000000"/>
                <w:sz w:val="20"/>
                <w:szCs w:val="20"/>
              </w:rPr>
              <w:t xml:space="preserve">Agreement between S2A-authorized actions and the ground-truth policy outcome</w:t>
            </w:r>
          </w:p>
        </w:tc>
        <w:tc>
          <w:tcPr>
            <w:tcW w:type="dxa" w:w="3000"/>
            <w:tcMar>
              <w:top w:type="dxa" w:w="80"/>
              <w:left w:type="dxa" w:w="100"/>
              <w:bottom w:type="dxa" w:w="80"/>
              <w:right w:type="dxa" w:w="100"/>
            </w:tcMar>
          </w:tcPr>
          <w:p>
            <w:r>
              <w:rPr>
                <w:rFonts w:ascii="Times New Roman" w:cs="Times New Roman" w:eastAsia="Times New Roman" w:hAnsi="Times New Roman"/>
                <w:b w:val="false"/>
                <w:bCs w:val="false"/>
                <w:color w:val="000000"/>
                <w:sz w:val="20"/>
                <w:szCs w:val="20"/>
              </w:rPr>
              <w:t xml:space="preserve">Confirms correctness is preserved, not just security</w:t>
            </w:r>
          </w:p>
        </w:tc>
      </w:tr>
      <w:tr>
        <w:tc>
          <w:tcPr>
            <w:tcW w:type="dxa" w:w="2300"/>
            <w:tcMar>
              <w:top w:type="dxa" w:w="80"/>
              <w:left w:type="dxa" w:w="100"/>
              <w:bottom w:type="dxa" w:w="80"/>
              <w:right w:type="dxa" w:w="100"/>
            </w:tcMar>
          </w:tcPr>
          <w:p>
            <w:r>
              <w:rPr>
                <w:rFonts w:ascii="Times New Roman" w:cs="Times New Roman" w:eastAsia="Times New Roman" w:hAnsi="Times New Roman"/>
                <w:b w:val="false"/>
                <w:bCs w:val="false"/>
                <w:color w:val="000000"/>
                <w:sz w:val="20"/>
                <w:szCs w:val="20"/>
              </w:rPr>
              <w:t xml:space="preserve">Scalability</w:t>
            </w:r>
          </w:p>
        </w:tc>
        <w:tc>
          <w:tcPr>
            <w:tcW w:type="dxa" w:w="3700"/>
            <w:tcMar>
              <w:top w:type="dxa" w:w="80"/>
              <w:left w:type="dxa" w:w="100"/>
              <w:bottom w:type="dxa" w:w="80"/>
              <w:right w:type="dxa" w:w="100"/>
            </w:tcMar>
          </w:tcPr>
          <w:p>
            <w:r>
              <w:rPr>
                <w:rFonts w:ascii="Times New Roman" w:cs="Times New Roman" w:eastAsia="Times New Roman" w:hAnsi="Times New Roman"/>
                <w:b w:val="false"/>
                <w:bCs w:val="false"/>
                <w:color w:val="000000"/>
                <w:sz w:val="20"/>
                <w:szCs w:val="20"/>
              </w:rPr>
              <w:t xml:space="preserve">Sustainable evidence records/sec at target verification latency</w:t>
            </w:r>
          </w:p>
        </w:tc>
        <w:tc>
          <w:tcPr>
            <w:tcW w:type="dxa" w:w="3000"/>
            <w:tcMar>
              <w:top w:type="dxa" w:w="80"/>
              <w:left w:type="dxa" w:w="100"/>
              <w:bottom w:type="dxa" w:w="80"/>
              <w:right w:type="dxa" w:w="100"/>
            </w:tcMar>
          </w:tcPr>
          <w:p>
            <w:r>
              <w:rPr>
                <w:rFonts w:ascii="Times New Roman" w:cs="Times New Roman" w:eastAsia="Times New Roman" w:hAnsi="Times New Roman"/>
                <w:b w:val="false"/>
                <w:bCs w:val="false"/>
                <w:color w:val="000000"/>
                <w:sz w:val="20"/>
                <w:szCs w:val="20"/>
              </w:rPr>
              <w:t xml:space="preserve">Assesses feasibility at datacenter scale</w:t>
            </w:r>
          </w:p>
        </w:tc>
      </w:tr>
      <w:tr>
        <w:tc>
          <w:tcPr>
            <w:tcW w:type="dxa" w:w="2300"/>
            <w:tcMar>
              <w:top w:type="dxa" w:w="80"/>
              <w:left w:type="dxa" w:w="100"/>
              <w:bottom w:type="dxa" w:w="80"/>
              <w:right w:type="dxa" w:w="100"/>
            </w:tcMar>
          </w:tcPr>
          <w:p>
            <w:r>
              <w:rPr>
                <w:rFonts w:ascii="Times New Roman" w:cs="Times New Roman" w:eastAsia="Times New Roman" w:hAnsi="Times New Roman"/>
                <w:b w:val="false"/>
                <w:bCs w:val="false"/>
                <w:color w:val="000000"/>
                <w:sz w:val="20"/>
                <w:szCs w:val="20"/>
              </w:rPr>
              <w:t xml:space="preserve">Evidence record size</w:t>
            </w:r>
          </w:p>
        </w:tc>
        <w:tc>
          <w:tcPr>
            <w:tcW w:type="dxa" w:w="3700"/>
            <w:tcMar>
              <w:top w:type="dxa" w:w="80"/>
              <w:left w:type="dxa" w:w="100"/>
              <w:bottom w:type="dxa" w:w="80"/>
              <w:right w:type="dxa" w:w="100"/>
            </w:tcMar>
          </w:tcPr>
          <w:p>
            <w:r>
              <w:rPr>
                <w:rFonts w:ascii="Times New Roman" w:cs="Times New Roman" w:eastAsia="Times New Roman" w:hAnsi="Times New Roman"/>
                <w:b w:val="false"/>
                <w:bCs w:val="false"/>
                <w:color w:val="000000"/>
                <w:sz w:val="20"/>
                <w:szCs w:val="20"/>
              </w:rPr>
              <w:t xml:space="preserve">Total bytes transmitted per decision</w:t>
            </w:r>
          </w:p>
        </w:tc>
        <w:tc>
          <w:tcPr>
            <w:tcW w:type="dxa" w:w="3000"/>
            <w:tcMar>
              <w:top w:type="dxa" w:w="80"/>
              <w:left w:type="dxa" w:w="100"/>
              <w:bottom w:type="dxa" w:w="80"/>
              <w:right w:type="dxa" w:w="100"/>
            </w:tcMar>
          </w:tcPr>
          <w:p>
            <w:r>
              <w:rPr>
                <w:rFonts w:ascii="Times New Roman" w:cs="Times New Roman" w:eastAsia="Times New Roman" w:hAnsi="Times New Roman"/>
                <w:b w:val="false"/>
                <w:bCs w:val="false"/>
                <w:color w:val="000000"/>
                <w:sz w:val="20"/>
                <w:szCs w:val="20"/>
              </w:rPr>
              <w:t xml:space="preserve">Measures the bandwidth cost of the proof layer, distinct from its latency cost</w:t>
            </w:r>
          </w:p>
        </w:tc>
      </w:tr>
    </w:tbl>
    <w:p>
      <w:pPr>
        <w:pStyle w:val="Heading1"/>
        <w:spacing w:after="160" w:before="320"/>
      </w:pPr>
      <w:r>
        <w:rPr>
          <w:rFonts w:ascii="Times New Roman" w:cs="Times New Roman" w:eastAsia="Times New Roman" w:hAnsi="Times New Roman"/>
          <w:b/>
          <w:bCs/>
          <w:color w:val="1F3864"/>
          <w:sz w:val="26"/>
          <w:szCs w:val="26"/>
        </w:rPr>
        <w:t xml:space="preserve">17. Results and Discussion</w:t>
      </w:r>
    </w:p>
    <w:p>
      <w:pPr>
        <w:spacing w:after="160" w:line="276"/>
        <w:jc w:val="both"/>
      </w:pPr>
      <w:r>
        <w:rPr>
          <w:rFonts w:ascii="Times New Roman" w:cs="Times New Roman" w:eastAsia="Times New Roman" w:hAnsi="Times New Roman"/>
          <w:sz w:val="22"/>
          <w:szCs w:val="22"/>
        </w:rPr>
        <w:t xml:space="preserve">This draft presents the evaluation methodology and metric definitions above as the basis for the prototype's evaluation. The table below is formatted as it will be reported once the prototype in Section 13 has been implemented and run, and is included here as a template to be replaced with measured values. Reporting projected numbers as though measured would misrepresent the paper's current status, so target ranges are given as qualitative hypotheses rather than specific figures; these are hypotheses to be validated experimentally, not results.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3400"/>
        <w:gridCol w:w="3100"/>
      </w:tblGrid>
      <w:tr>
        <w:tc>
          <w:tcPr>
            <w:tcW w:type="dxa" w:w="2500"/>
            <w:shd w:fill="1F3864" w:val="clear"/>
            <w:tcMar>
              <w:top w:type="dxa" w:w="80"/>
              <w:left w:type="dxa" w:w="100"/>
              <w:bottom w:type="dxa" w:w="80"/>
              <w:right w:type="dxa" w:w="100"/>
            </w:tcMar>
          </w:tcPr>
          <w:p>
            <w:r>
              <w:rPr>
                <w:rFonts w:ascii="Times New Roman" w:cs="Times New Roman" w:eastAsia="Times New Roman" w:hAnsi="Times New Roman"/>
                <w:b/>
                <w:bCs/>
                <w:color w:val="FFFFFF"/>
                <w:sz w:val="20"/>
                <w:szCs w:val="20"/>
              </w:rPr>
              <w:t xml:space="preserve">Metric</w:t>
            </w:r>
          </w:p>
        </w:tc>
        <w:tc>
          <w:tcPr>
            <w:tcW w:type="dxa" w:w="3400"/>
            <w:shd w:fill="1F3864" w:val="clear"/>
            <w:tcMar>
              <w:top w:type="dxa" w:w="80"/>
              <w:left w:type="dxa" w:w="100"/>
              <w:bottom w:type="dxa" w:w="80"/>
              <w:right w:type="dxa" w:w="100"/>
            </w:tcMar>
          </w:tcPr>
          <w:p>
            <w:r>
              <w:rPr>
                <w:rFonts w:ascii="Times New Roman" w:cs="Times New Roman" w:eastAsia="Times New Roman" w:hAnsi="Times New Roman"/>
                <w:b/>
                <w:bCs/>
                <w:color w:val="FFFFFF"/>
                <w:sz w:val="20"/>
                <w:szCs w:val="20"/>
              </w:rPr>
              <w:t xml:space="preserve">Result (to be filled in after running the prototype)</w:t>
            </w:r>
          </w:p>
        </w:tc>
        <w:tc>
          <w:tcPr>
            <w:tcW w:type="dxa" w:w="3100"/>
            <w:shd w:fill="1F3864" w:val="clear"/>
            <w:tcMar>
              <w:top w:type="dxa" w:w="80"/>
              <w:left w:type="dxa" w:w="100"/>
              <w:bottom w:type="dxa" w:w="80"/>
              <w:right w:type="dxa" w:w="100"/>
            </w:tcMar>
          </w:tcPr>
          <w:p>
            <w:r>
              <w:rPr>
                <w:rFonts w:ascii="Times New Roman" w:cs="Times New Roman" w:eastAsia="Times New Roman" w:hAnsi="Times New Roman"/>
                <w:b/>
                <w:bCs/>
                <w:color w:val="FFFFFF"/>
                <w:sz w:val="20"/>
                <w:szCs w:val="20"/>
              </w:rPr>
              <w:t xml:space="preserve">Notes</w:t>
            </w:r>
          </w:p>
        </w:tc>
      </w:tr>
      <w:tr>
        <w:tc>
          <w:tcPr>
            <w:tcW w:type="dxa" w:w="2500"/>
            <w:tcMar>
              <w:top w:type="dxa" w:w="80"/>
              <w:left w:type="dxa" w:w="100"/>
              <w:bottom w:type="dxa" w:w="80"/>
              <w:right w:type="dxa" w:w="100"/>
            </w:tcMar>
          </w:tcPr>
          <w:p>
            <w:r>
              <w:rPr>
                <w:rFonts w:ascii="Times New Roman" w:cs="Times New Roman" w:eastAsia="Times New Roman" w:hAnsi="Times New Roman"/>
                <w:b w:val="false"/>
                <w:bCs w:val="false"/>
                <w:color w:val="000000"/>
                <w:sz w:val="20"/>
                <w:szCs w:val="20"/>
              </w:rPr>
              <w:t xml:space="preserve">Proof generation latency</w:t>
            </w:r>
          </w:p>
        </w:tc>
        <w:tc>
          <w:tcPr>
            <w:tcW w:type="dxa" w:w="3400"/>
            <w:tcMar>
              <w:top w:type="dxa" w:w="80"/>
              <w:left w:type="dxa" w:w="100"/>
              <w:bottom w:type="dxa" w:w="80"/>
              <w:right w:type="dxa" w:w="100"/>
            </w:tcMar>
          </w:tcPr>
          <w:p>
            <w:r>
              <w:rPr>
                <w:rFonts w:ascii="Times New Roman" w:cs="Times New Roman" w:eastAsia="Times New Roman" w:hAnsi="Times New Roman"/>
                <w:b w:val="false"/>
                <w:bCs w:val="false"/>
                <w:color w:val="000000"/>
                <w:sz w:val="20"/>
                <w:szCs w:val="20"/>
              </w:rPr>
              <w:t xml:space="preserve">[ measured value ]</w:t>
            </w:r>
          </w:p>
        </w:tc>
        <w:tc>
          <w:tcPr>
            <w:tcW w:type="dxa" w:w="3100"/>
            <w:tcMar>
              <w:top w:type="dxa" w:w="80"/>
              <w:left w:type="dxa" w:w="100"/>
              <w:bottom w:type="dxa" w:w="80"/>
              <w:right w:type="dxa" w:w="100"/>
            </w:tcMar>
          </w:tcPr>
          <w:p>
            <w:r>
              <w:rPr>
                <w:rFonts w:ascii="Times New Roman" w:cs="Times New Roman" w:eastAsia="Times New Roman" w:hAnsi="Times New Roman"/>
                <w:b w:val="false"/>
                <w:bCs w:val="false"/>
                <w:color w:val="000000"/>
                <w:sz w:val="20"/>
                <w:szCs w:val="20"/>
              </w:rPr>
              <w:t xml:space="preserve">Hypothesis: low single-digit milliseconds for Ed25519 signing + Merkle commit at modest snapshot sizes</w:t>
            </w:r>
          </w:p>
        </w:tc>
      </w:tr>
      <w:tr>
        <w:tc>
          <w:tcPr>
            <w:tcW w:type="dxa" w:w="2500"/>
            <w:tcMar>
              <w:top w:type="dxa" w:w="80"/>
              <w:left w:type="dxa" w:w="100"/>
              <w:bottom w:type="dxa" w:w="80"/>
              <w:right w:type="dxa" w:w="100"/>
            </w:tcMar>
          </w:tcPr>
          <w:p>
            <w:r>
              <w:rPr>
                <w:rFonts w:ascii="Times New Roman" w:cs="Times New Roman" w:eastAsia="Times New Roman" w:hAnsi="Times New Roman"/>
                <w:b w:val="false"/>
                <w:bCs w:val="false"/>
                <w:color w:val="000000"/>
                <w:sz w:val="20"/>
                <w:szCs w:val="20"/>
              </w:rPr>
              <w:t xml:space="preserve">Proof verification latency</w:t>
            </w:r>
          </w:p>
        </w:tc>
        <w:tc>
          <w:tcPr>
            <w:tcW w:type="dxa" w:w="3400"/>
            <w:tcMar>
              <w:top w:type="dxa" w:w="80"/>
              <w:left w:type="dxa" w:w="100"/>
              <w:bottom w:type="dxa" w:w="80"/>
              <w:right w:type="dxa" w:w="100"/>
            </w:tcMar>
          </w:tcPr>
          <w:p>
            <w:r>
              <w:rPr>
                <w:rFonts w:ascii="Times New Roman" w:cs="Times New Roman" w:eastAsia="Times New Roman" w:hAnsi="Times New Roman"/>
                <w:b w:val="false"/>
                <w:bCs w:val="false"/>
                <w:color w:val="000000"/>
                <w:sz w:val="20"/>
                <w:szCs w:val="20"/>
              </w:rPr>
              <w:t xml:space="preserve">[ measured value ]</w:t>
            </w:r>
          </w:p>
        </w:tc>
        <w:tc>
          <w:tcPr>
            <w:tcW w:type="dxa" w:w="3100"/>
            <w:tcMar>
              <w:top w:type="dxa" w:w="80"/>
              <w:left w:type="dxa" w:w="100"/>
              <w:bottom w:type="dxa" w:w="80"/>
              <w:right w:type="dxa" w:w="100"/>
            </w:tcMar>
          </w:tcPr>
          <w:p>
            <w:r>
              <w:rPr>
                <w:rFonts w:ascii="Times New Roman" w:cs="Times New Roman" w:eastAsia="Times New Roman" w:hAnsi="Times New Roman"/>
                <w:b w:val="false"/>
                <w:bCs w:val="false"/>
                <w:color w:val="000000"/>
                <w:sz w:val="20"/>
                <w:szCs w:val="20"/>
              </w:rPr>
              <w:t xml:space="preserve">Hypothesis: sub-millisecond, dominated by nonce-cache lookup</w:t>
            </w:r>
          </w:p>
        </w:tc>
      </w:tr>
      <w:tr>
        <w:tc>
          <w:tcPr>
            <w:tcW w:type="dxa" w:w="2500"/>
            <w:tcMar>
              <w:top w:type="dxa" w:w="80"/>
              <w:left w:type="dxa" w:w="100"/>
              <w:bottom w:type="dxa" w:w="80"/>
              <w:right w:type="dxa" w:w="100"/>
            </w:tcMar>
          </w:tcPr>
          <w:p>
            <w:r>
              <w:rPr>
                <w:rFonts w:ascii="Times New Roman" w:cs="Times New Roman" w:eastAsia="Times New Roman" w:hAnsi="Times New Roman"/>
                <w:b w:val="false"/>
                <w:bCs w:val="false"/>
                <w:color w:val="000000"/>
                <w:sz w:val="20"/>
                <w:szCs w:val="20"/>
              </w:rPr>
              <w:t xml:space="preserve">End-to-end orchestration overhead vs. no-evidence baseline</w:t>
            </w:r>
          </w:p>
        </w:tc>
        <w:tc>
          <w:tcPr>
            <w:tcW w:type="dxa" w:w="3400"/>
            <w:tcMar>
              <w:top w:type="dxa" w:w="80"/>
              <w:left w:type="dxa" w:w="100"/>
              <w:bottom w:type="dxa" w:w="80"/>
              <w:right w:type="dxa" w:w="100"/>
            </w:tcMar>
          </w:tcPr>
          <w:p>
            <w:r>
              <w:rPr>
                <w:rFonts w:ascii="Times New Roman" w:cs="Times New Roman" w:eastAsia="Times New Roman" w:hAnsi="Times New Roman"/>
                <w:b w:val="false"/>
                <w:bCs w:val="false"/>
                <w:color w:val="000000"/>
                <w:sz w:val="20"/>
                <w:szCs w:val="20"/>
              </w:rPr>
              <w:t xml:space="preserve">[ measured value ]</w:t>
            </w:r>
          </w:p>
        </w:tc>
        <w:tc>
          <w:tcPr>
            <w:tcW w:type="dxa" w:w="3100"/>
            <w:tcMar>
              <w:top w:type="dxa" w:w="80"/>
              <w:left w:type="dxa" w:w="100"/>
              <w:bottom w:type="dxa" w:w="80"/>
              <w:right w:type="dxa" w:w="100"/>
            </w:tcMar>
          </w:tcPr>
          <w:p>
            <w:r>
              <w:rPr>
                <w:rFonts w:ascii="Times New Roman" w:cs="Times New Roman" w:eastAsia="Times New Roman" w:hAnsi="Times New Roman"/>
                <w:b w:val="false"/>
                <w:bCs w:val="false"/>
                <w:color w:val="000000"/>
                <w:sz w:val="20"/>
                <w:szCs w:val="20"/>
              </w:rPr>
              <w:t xml:space="preserve">Report as absolute added latency and as a percentage</w:t>
            </w:r>
          </w:p>
        </w:tc>
      </w:tr>
      <w:tr>
        <w:tc>
          <w:tcPr>
            <w:tcW w:type="dxa" w:w="2500"/>
            <w:tcMar>
              <w:top w:type="dxa" w:w="80"/>
              <w:left w:type="dxa" w:w="100"/>
              <w:bottom w:type="dxa" w:w="80"/>
              <w:right w:type="dxa" w:w="100"/>
            </w:tcMar>
          </w:tcPr>
          <w:p>
            <w:r>
              <w:rPr>
                <w:rFonts w:ascii="Times New Roman" w:cs="Times New Roman" w:eastAsia="Times New Roman" w:hAnsi="Times New Roman"/>
                <w:b w:val="false"/>
                <w:bCs w:val="false"/>
                <w:color w:val="000000"/>
                <w:sz w:val="20"/>
                <w:szCs w:val="20"/>
              </w:rPr>
              <w:t xml:space="preserve">Telemetry fields disclosed to orchestrator</w:t>
            </w:r>
          </w:p>
        </w:tc>
        <w:tc>
          <w:tcPr>
            <w:tcW w:type="dxa" w:w="3400"/>
            <w:tcMar>
              <w:top w:type="dxa" w:w="80"/>
              <w:left w:type="dxa" w:w="100"/>
              <w:bottom w:type="dxa" w:w="80"/>
              <w:right w:type="dxa" w:w="100"/>
            </w:tcMar>
          </w:tcPr>
          <w:p>
            <w:r>
              <w:rPr>
                <w:rFonts w:ascii="Times New Roman" w:cs="Times New Roman" w:eastAsia="Times New Roman" w:hAnsi="Times New Roman"/>
                <w:b w:val="false"/>
                <w:bCs w:val="false"/>
                <w:color w:val="000000"/>
                <w:sz w:val="20"/>
                <w:szCs w:val="20"/>
              </w:rPr>
              <w:t xml:space="preserve">0 of N raw fields (by design)</w:t>
            </w:r>
          </w:p>
        </w:tc>
        <w:tc>
          <w:tcPr>
            <w:tcW w:type="dxa" w:w="3100"/>
            <w:tcMar>
              <w:top w:type="dxa" w:w="80"/>
              <w:left w:type="dxa" w:w="100"/>
              <w:bottom w:type="dxa" w:w="80"/>
              <w:right w:type="dxa" w:w="100"/>
            </w:tcMar>
          </w:tcPr>
          <w:p>
            <w:r>
              <w:rPr>
                <w:rFonts w:ascii="Times New Roman" w:cs="Times New Roman" w:eastAsia="Times New Roman" w:hAnsi="Times New Roman"/>
                <w:b w:val="false"/>
                <w:bCs w:val="false"/>
                <w:color w:val="000000"/>
                <w:sz w:val="20"/>
                <w:szCs w:val="20"/>
              </w:rPr>
              <w:t xml:space="preserve">Compare explicitly against the full-disclosure baseline's N fields</w:t>
            </w:r>
          </w:p>
        </w:tc>
      </w:tr>
      <w:tr>
        <w:tc>
          <w:tcPr>
            <w:tcW w:type="dxa" w:w="2500"/>
            <w:tcMar>
              <w:top w:type="dxa" w:w="80"/>
              <w:left w:type="dxa" w:w="100"/>
              <w:bottom w:type="dxa" w:w="80"/>
              <w:right w:type="dxa" w:w="100"/>
            </w:tcMar>
          </w:tcPr>
          <w:p>
            <w:r>
              <w:rPr>
                <w:rFonts w:ascii="Times New Roman" w:cs="Times New Roman" w:eastAsia="Times New Roman" w:hAnsi="Times New Roman"/>
                <w:b w:val="false"/>
                <w:bCs w:val="false"/>
                <w:color w:val="000000"/>
                <w:sz w:val="20"/>
                <w:szCs w:val="20"/>
              </w:rPr>
              <w:t xml:space="preserve">Replay detection rate</w:t>
            </w:r>
          </w:p>
        </w:tc>
        <w:tc>
          <w:tcPr>
            <w:tcW w:type="dxa" w:w="3400"/>
            <w:tcMar>
              <w:top w:type="dxa" w:w="80"/>
              <w:left w:type="dxa" w:w="100"/>
              <w:bottom w:type="dxa" w:w="80"/>
              <w:right w:type="dxa" w:w="100"/>
            </w:tcMar>
          </w:tcPr>
          <w:p>
            <w:r>
              <w:rPr>
                <w:rFonts w:ascii="Times New Roman" w:cs="Times New Roman" w:eastAsia="Times New Roman" w:hAnsi="Times New Roman"/>
                <w:b w:val="false"/>
                <w:bCs w:val="false"/>
                <w:color w:val="000000"/>
                <w:sz w:val="20"/>
                <w:szCs w:val="20"/>
              </w:rPr>
              <w:t xml:space="preserve">[ measured value; target 100% within freshness window ]</w:t>
            </w:r>
          </w:p>
        </w:tc>
        <w:tc>
          <w:tcPr>
            <w:tcW w:type="dxa" w:w="3100"/>
            <w:tcMar>
              <w:top w:type="dxa" w:w="80"/>
              <w:left w:type="dxa" w:w="100"/>
              <w:bottom w:type="dxa" w:w="80"/>
              <w:right w:type="dxa" w:w="100"/>
            </w:tcMar>
          </w:tcPr>
          <w:p>
            <w:r>
              <w:rPr>
                <w:rFonts w:ascii="Times New Roman" w:cs="Times New Roman" w:eastAsia="Times New Roman" w:hAnsi="Times New Roman"/>
                <w:b w:val="false"/>
                <w:bCs w:val="false"/>
                <w:color w:val="000000"/>
                <w:sz w:val="20"/>
                <w:szCs w:val="20"/>
              </w:rPr>
              <w:t xml:space="preserve">Report false-accept and false-reject rates separately</w:t>
            </w:r>
          </w:p>
        </w:tc>
      </w:tr>
      <w:tr>
        <w:tc>
          <w:tcPr>
            <w:tcW w:type="dxa" w:w="2500"/>
            <w:tcMar>
              <w:top w:type="dxa" w:w="80"/>
              <w:left w:type="dxa" w:w="100"/>
              <w:bottom w:type="dxa" w:w="80"/>
              <w:right w:type="dxa" w:w="100"/>
            </w:tcMar>
          </w:tcPr>
          <w:p>
            <w:r>
              <w:rPr>
                <w:rFonts w:ascii="Times New Roman" w:cs="Times New Roman" w:eastAsia="Times New Roman" w:hAnsi="Times New Roman"/>
                <w:b w:val="false"/>
                <w:bCs w:val="false"/>
                <w:color w:val="000000"/>
                <w:sz w:val="20"/>
                <w:szCs w:val="20"/>
              </w:rPr>
              <w:t xml:space="preserve">Forged/modified action detection rate</w:t>
            </w:r>
          </w:p>
        </w:tc>
        <w:tc>
          <w:tcPr>
            <w:tcW w:type="dxa" w:w="3400"/>
            <w:tcMar>
              <w:top w:type="dxa" w:w="80"/>
              <w:left w:type="dxa" w:w="100"/>
              <w:bottom w:type="dxa" w:w="80"/>
              <w:right w:type="dxa" w:w="100"/>
            </w:tcMar>
          </w:tcPr>
          <w:p>
            <w:r>
              <w:rPr>
                <w:rFonts w:ascii="Times New Roman" w:cs="Times New Roman" w:eastAsia="Times New Roman" w:hAnsi="Times New Roman"/>
                <w:b w:val="false"/>
                <w:bCs w:val="false"/>
                <w:color w:val="000000"/>
                <w:sz w:val="20"/>
                <w:szCs w:val="20"/>
              </w:rPr>
              <w:t xml:space="preserve">[ measured value; target 100% ]</w:t>
            </w:r>
          </w:p>
        </w:tc>
        <w:tc>
          <w:tcPr>
            <w:tcW w:type="dxa" w:w="3100"/>
            <w:tcMar>
              <w:top w:type="dxa" w:w="80"/>
              <w:left w:type="dxa" w:w="100"/>
              <w:bottom w:type="dxa" w:w="80"/>
              <w:right w:type="dxa" w:w="100"/>
            </w:tcMar>
          </w:tcPr>
          <w:p>
            <w:r>
              <w:rPr>
                <w:rFonts w:ascii="Times New Roman" w:cs="Times New Roman" w:eastAsia="Times New Roman" w:hAnsi="Times New Roman"/>
                <w:b w:val="false"/>
                <w:bCs w:val="false"/>
                <w:color w:val="000000"/>
                <w:sz w:val="20"/>
                <w:szCs w:val="20"/>
              </w:rPr>
              <w:t xml:space="preserve">All forgeries should fail signature verification by construction</w:t>
            </w:r>
          </w:p>
        </w:tc>
      </w:tr>
      <w:tr>
        <w:tc>
          <w:tcPr>
            <w:tcW w:type="dxa" w:w="2500"/>
            <w:tcMar>
              <w:top w:type="dxa" w:w="80"/>
              <w:left w:type="dxa" w:w="100"/>
              <w:bottom w:type="dxa" w:w="80"/>
              <w:right w:type="dxa" w:w="100"/>
            </w:tcMar>
          </w:tcPr>
          <w:p>
            <w:r>
              <w:rPr>
                <w:rFonts w:ascii="Times New Roman" w:cs="Times New Roman" w:eastAsia="Times New Roman" w:hAnsi="Times New Roman"/>
                <w:b w:val="false"/>
                <w:bCs w:val="false"/>
                <w:color w:val="000000"/>
                <w:sz w:val="20"/>
                <w:szCs w:val="20"/>
              </w:rPr>
              <w:t xml:space="preserve">Sustainable throughput</w:t>
            </w:r>
          </w:p>
        </w:tc>
        <w:tc>
          <w:tcPr>
            <w:tcW w:type="dxa" w:w="3400"/>
            <w:tcMar>
              <w:top w:type="dxa" w:w="80"/>
              <w:left w:type="dxa" w:w="100"/>
              <w:bottom w:type="dxa" w:w="80"/>
              <w:right w:type="dxa" w:w="100"/>
            </w:tcMar>
          </w:tcPr>
          <w:p>
            <w:r>
              <w:rPr>
                <w:rFonts w:ascii="Times New Roman" w:cs="Times New Roman" w:eastAsia="Times New Roman" w:hAnsi="Times New Roman"/>
                <w:b w:val="false"/>
                <w:bCs w:val="false"/>
                <w:color w:val="000000"/>
                <w:sz w:val="20"/>
                <w:szCs w:val="20"/>
              </w:rPr>
              <w:t xml:space="preserve">[ measured records/sec at target verification SLA ]</w:t>
            </w:r>
          </w:p>
        </w:tc>
        <w:tc>
          <w:tcPr>
            <w:tcW w:type="dxa" w:w="3100"/>
            <w:tcMar>
              <w:top w:type="dxa" w:w="80"/>
              <w:left w:type="dxa" w:w="100"/>
              <w:bottom w:type="dxa" w:w="80"/>
              <w:right w:type="dxa" w:w="100"/>
            </w:tcMar>
          </w:tcPr>
          <w:p>
            <w:r>
              <w:rPr>
                <w:rFonts w:ascii="Times New Roman" w:cs="Times New Roman" w:eastAsia="Times New Roman" w:hAnsi="Times New Roman"/>
                <w:b w:val="false"/>
                <w:bCs w:val="false"/>
                <w:color w:val="000000"/>
                <w:sz w:val="20"/>
                <w:szCs w:val="20"/>
              </w:rPr>
              <w:t xml:space="preserve">Report at multiple concurrency levels</w:t>
            </w:r>
          </w:p>
        </w:tc>
      </w:tr>
      <w:tr>
        <w:tc>
          <w:tcPr>
            <w:tcW w:type="dxa" w:w="2500"/>
            <w:tcMar>
              <w:top w:type="dxa" w:w="80"/>
              <w:left w:type="dxa" w:w="100"/>
              <w:bottom w:type="dxa" w:w="80"/>
              <w:right w:type="dxa" w:w="100"/>
            </w:tcMar>
          </w:tcPr>
          <w:p>
            <w:r>
              <w:rPr>
                <w:rFonts w:ascii="Times New Roman" w:cs="Times New Roman" w:eastAsia="Times New Roman" w:hAnsi="Times New Roman"/>
                <w:b w:val="false"/>
                <w:bCs w:val="false"/>
                <w:color w:val="000000"/>
                <w:sz w:val="20"/>
                <w:szCs w:val="20"/>
              </w:rPr>
              <w:t xml:space="preserve">Evidence record size</w:t>
            </w:r>
          </w:p>
        </w:tc>
        <w:tc>
          <w:tcPr>
            <w:tcW w:type="dxa" w:w="3400"/>
            <w:tcMar>
              <w:top w:type="dxa" w:w="80"/>
              <w:left w:type="dxa" w:w="100"/>
              <w:bottom w:type="dxa" w:w="80"/>
              <w:right w:type="dxa" w:w="100"/>
            </w:tcMar>
          </w:tcPr>
          <w:p>
            <w:r>
              <w:rPr>
                <w:rFonts w:ascii="Times New Roman" w:cs="Times New Roman" w:eastAsia="Times New Roman" w:hAnsi="Times New Roman"/>
                <w:b w:val="false"/>
                <w:bCs w:val="false"/>
                <w:color w:val="000000"/>
                <w:sz w:val="20"/>
                <w:szCs w:val="20"/>
              </w:rPr>
              <w:t xml:space="preserve">[ measured bytes ]</w:t>
            </w:r>
          </w:p>
        </w:tc>
        <w:tc>
          <w:tcPr>
            <w:tcW w:type="dxa" w:w="3100"/>
            <w:tcMar>
              <w:top w:type="dxa" w:w="80"/>
              <w:left w:type="dxa" w:w="100"/>
              <w:bottom w:type="dxa" w:w="80"/>
              <w:right w:type="dxa" w:w="100"/>
            </w:tcMar>
          </w:tcPr>
          <w:p>
            <w:r>
              <w:rPr>
                <w:rFonts w:ascii="Times New Roman" w:cs="Times New Roman" w:eastAsia="Times New Roman" w:hAnsi="Times New Roman"/>
                <w:b w:val="false"/>
                <w:bCs w:val="false"/>
                <w:color w:val="000000"/>
                <w:sz w:val="20"/>
                <w:szCs w:val="20"/>
              </w:rPr>
              <w:t xml:space="preserve">Compare against full-disclosure baseline's snapshot size</w:t>
            </w:r>
          </w:p>
        </w:tc>
      </w:tr>
    </w:tbl>
    <w:p>
      <w:pPr>
        <w:spacing w:after="160" w:line="276"/>
        <w:jc w:val="both"/>
      </w:pPr>
      <w:r>
        <w:rPr>
          <w:rFonts w:ascii="Times New Roman" w:cs="Times New Roman" w:eastAsia="Times New Roman" w:hAnsi="Times New Roman"/>
          <w:sz w:val="22"/>
          <w:szCs w:val="22"/>
        </w:rPr>
        <w:t xml:space="preserve">Once populated, this section should discuss where overhead is concentrated (we expect proof generation, not verification, to dominate latency, since signing and Merkle-tree construction are more expensive than a single signature check and cache lookup), how overhead scales with snapshot size and action rate, and whether the measured telemetry-disclosure reduction and attack-detection rates match the security and privacy analysis in Sections 11–12.</w:t>
      </w:r>
    </w:p>
    <w:p>
      <w:pPr>
        <w:pStyle w:val="Heading1"/>
        <w:spacing w:after="160" w:before="320"/>
      </w:pPr>
      <w:r>
        <w:rPr>
          <w:rFonts w:ascii="Times New Roman" w:cs="Times New Roman" w:eastAsia="Times New Roman" w:hAnsi="Times New Roman"/>
          <w:b/>
          <w:bCs/>
          <w:color w:val="1F3864"/>
          <w:sz w:val="26"/>
          <w:szCs w:val="26"/>
        </w:rPr>
        <w:t xml:space="preserve">18. Limitations</w:t>
      </w:r>
    </w:p>
    <w:p>
      <w:pPr>
        <w:pStyle w:val="ListParagraph"/>
        <w:numPr>
          <w:ilvl w:val="0"/>
          <w:numId w:val="2"/>
        </w:numPr>
        <w:spacing w:after="80"/>
      </w:pPr>
      <w:r>
        <w:rPr>
          <w:rFonts w:ascii="Times New Roman" w:cs="Times New Roman" w:eastAsia="Times New Roman" w:hAnsi="Times New Roman"/>
          <w:sz w:val="22"/>
          <w:szCs w:val="22"/>
        </w:rPr>
        <w:t xml:space="preserve">The prototype uses a synthetic CXL topology and telemetry simulator rather than physical CXL hardware or a full fabric manager; absolute latency numbers from the prototype should be treated as indicative of the evidence-layer overhead, not of a production CXL deployment.</w:t>
      </w:r>
    </w:p>
    <w:p>
      <w:pPr>
        <w:pStyle w:val="ListParagraph"/>
        <w:numPr>
          <w:ilvl w:val="0"/>
          <w:numId w:val="2"/>
        </w:numPr>
        <w:spacing w:after="80"/>
      </w:pPr>
      <w:r>
        <w:rPr>
          <w:rFonts w:ascii="Times New Roman" w:cs="Times New Roman" w:eastAsia="Times New Roman" w:hAnsi="Times New Roman"/>
          <w:sz w:val="22"/>
          <w:szCs w:val="22"/>
        </w:rPr>
        <w:t xml:space="preserve">The design assumes a single trusted state-collection and policy-evaluation instance per platform; extending S2A to multi-verifier or Byzantine settings, where multiple trusted layers must agree, is not addressed here.</w:t>
      </w:r>
    </w:p>
    <w:p>
      <w:pPr>
        <w:pStyle w:val="ListParagraph"/>
        <w:numPr>
          <w:ilvl w:val="0"/>
          <w:numId w:val="2"/>
        </w:numPr>
        <w:spacing w:after="80"/>
      </w:pPr>
      <w:r>
        <w:rPr>
          <w:rFonts w:ascii="Times New Roman" w:cs="Times New Roman" w:eastAsia="Times New Roman" w:hAnsi="Times New Roman"/>
          <w:sz w:val="22"/>
          <w:szCs w:val="22"/>
        </w:rPr>
        <w:t xml:space="preserve">The base design discloses a boolean policy decision rather than proving policy satisfaction in zero knowledge; a determined verifier can still learn which of a small set of coarse-grained actions was authorized, even without learning the underlying telemetry.</w:t>
      </w:r>
    </w:p>
    <w:p>
      <w:pPr>
        <w:pStyle w:val="ListParagraph"/>
        <w:numPr>
          <w:ilvl w:val="0"/>
          <w:numId w:val="2"/>
        </w:numPr>
        <w:spacing w:after="80"/>
      </w:pPr>
      <w:r>
        <w:rPr>
          <w:rFonts w:ascii="Times New Roman" w:cs="Times New Roman" w:eastAsia="Times New Roman" w:hAnsi="Times New Roman"/>
          <w:sz w:val="22"/>
          <w:szCs w:val="22"/>
        </w:rPr>
        <w:t xml:space="preserve">Freshness windows involve an inherent trade-off between security (shorter windows reduce replay risk) and operational tolerance for clock/epoch skew across a distributed fabric; selecting window parameters for a real deployment requires empirical tuning not performed in this draft.</w:t>
      </w:r>
    </w:p>
    <w:p>
      <w:pPr>
        <w:pStyle w:val="ListParagraph"/>
        <w:numPr>
          <w:ilvl w:val="0"/>
          <w:numId w:val="2"/>
        </w:numPr>
        <w:spacing w:after="80"/>
      </w:pPr>
      <w:r>
        <w:rPr>
          <w:rFonts w:ascii="Times New Roman" w:cs="Times New Roman" w:eastAsia="Times New Roman" w:hAnsi="Times New Roman"/>
          <w:sz w:val="22"/>
          <w:szCs w:val="22"/>
        </w:rPr>
        <w:t xml:space="preserve">The threat model excludes compromise of the TDX/TDX Connect attestation chain itself and assumes correctly specified policies; S2A cannot detect or correct an incorrectly written policy that is nonetheless faithfully evaluated and attested.</w:t>
      </w:r>
    </w:p>
    <w:p>
      <w:pPr>
        <w:pStyle w:val="ListParagraph"/>
        <w:numPr>
          <w:ilvl w:val="0"/>
          <w:numId w:val="2"/>
        </w:numPr>
        <w:spacing w:after="80"/>
      </w:pPr>
      <w:r>
        <w:rPr>
          <w:rFonts w:ascii="Times New Roman" w:cs="Times New Roman" w:eastAsia="Times New Roman" w:hAnsi="Times New Roman"/>
          <w:sz w:val="22"/>
          <w:szCs w:val="22"/>
        </w:rPr>
        <w:t xml:space="preserve">Policy-outcome leakage: as discussed in Section 12.3, repeated observation of authorization outcomes may allow an observer to infer coarse-grained workload behavior over long periods, even though raw telemetry itself remains hidden.</w:t>
      </w:r>
    </w:p>
    <w:p>
      <w:pPr>
        <w:pStyle w:val="Heading1"/>
        <w:spacing w:after="160" w:before="320"/>
      </w:pPr>
      <w:r>
        <w:rPr>
          <w:rFonts w:ascii="Times New Roman" w:cs="Times New Roman" w:eastAsia="Times New Roman" w:hAnsi="Times New Roman"/>
          <w:b/>
          <w:bCs/>
          <w:color w:val="1F3864"/>
          <w:sz w:val="26"/>
          <w:szCs w:val="26"/>
        </w:rPr>
        <w:t xml:space="preserve">19. Intel Relevance</w:t>
      </w:r>
    </w:p>
    <w:p>
      <w:pPr>
        <w:spacing w:after="160" w:line="276"/>
        <w:jc w:val="both"/>
      </w:pPr>
      <w:r>
        <w:rPr>
          <w:rFonts w:ascii="Times New Roman" w:cs="Times New Roman" w:eastAsia="Times New Roman" w:hAnsi="Times New Roman"/>
          <w:sz w:val="22"/>
          <w:szCs w:val="22"/>
        </w:rPr>
        <w:t xml:space="preserve">S2A is designed to complement, not replace, Intel's existing confidential-computing and attestation investments. It builds directly on Intel TDX for platform trust, on Intel TDX Connect for CXL device and link trust, and on Intel Trust Authority / DCAP for attestation verification, using them as the root that anchors the proof generator's signing key rather than proposing an alternative trust root.</w:t>
      </w:r>
    </w:p>
    <w:p>
      <w:pPr>
        <w:pStyle w:val="ListParagraph"/>
        <w:numPr>
          <w:ilvl w:val="0"/>
          <w:numId w:val="2"/>
        </w:numPr>
        <w:spacing w:after="80"/>
      </w:pPr>
      <w:r>
        <w:rPr>
          <w:rFonts w:ascii="Times New Roman" w:cs="Times New Roman" w:eastAsia="Times New Roman" w:hAnsi="Times New Roman"/>
          <w:sz w:val="22"/>
          <w:szCs w:val="22"/>
        </w:rPr>
        <w:t xml:space="preserve">Intel TDX, TDX Connect, and Intel Trust Authority: S2A's signing key and state-commitment integrity are anchored in the existing TD measurement and quote-verification flow. Concretely, S2A is designed to sit directly on top of TDX Connect: where TDX Connect secures the CXL device and link within the trust boundary, S2A secures the resource-management decisions made using data that arrives over that now-trusted link, without requiring any change to the TDX Connect architecture itself.</w:t>
      </w:r>
    </w:p>
    <w:p>
      <w:pPr>
        <w:pStyle w:val="ListParagraph"/>
        <w:numPr>
          <w:ilvl w:val="0"/>
          <w:numId w:val="2"/>
        </w:numPr>
        <w:spacing w:after="80"/>
      </w:pPr>
      <w:r>
        <w:rPr>
          <w:rFonts w:ascii="Times New Roman" w:cs="Times New Roman" w:eastAsia="Times New Roman" w:hAnsi="Times New Roman"/>
          <w:sz w:val="22"/>
          <w:szCs w:val="22"/>
        </w:rPr>
        <w:t xml:space="preserve">CXL Memory Pooling: as CXL-attached pooled memory becomes a first-class, dynamically managed resource, decisions about it increasingly cross tenant and trust boundaries; S2A gives Intel a concrete mechanism for authorizing those decisions without expanding the telemetry surface exposed to orchestration software.</w:t>
      </w:r>
    </w:p>
    <w:p>
      <w:pPr>
        <w:pStyle w:val="ListParagraph"/>
        <w:numPr>
          <w:ilvl w:val="0"/>
          <w:numId w:val="2"/>
        </w:numPr>
        <w:spacing w:after="80"/>
      </w:pPr>
      <w:r>
        <w:rPr>
          <w:rFonts w:ascii="Times New Roman" w:cs="Times New Roman" w:eastAsia="Times New Roman" w:hAnsi="Times New Roman"/>
          <w:sz w:val="22"/>
          <w:szCs w:val="22"/>
        </w:rPr>
        <w:t xml:space="preserve">Future Xeon platforms and confidential AI infrastructure: as multi-tenant AI training and inference infrastructure grows, resource orchestration decisions (memory reclamation between jobs, migration under thermal or reliability pressure) become both more frequent and more privacy-sensitive; S2A offers a pattern for keeping those decisions auditable and minimally disclosive at scale.</w:t>
      </w:r>
    </w:p>
    <w:p>
      <w:pPr>
        <w:pStyle w:val="ListParagraph"/>
        <w:numPr>
          <w:ilvl w:val="0"/>
          <w:numId w:val="2"/>
        </w:numPr>
        <w:spacing w:after="80"/>
      </w:pPr>
      <w:r>
        <w:rPr>
          <w:rFonts w:ascii="Times New Roman" w:cs="Times New Roman" w:eastAsia="Times New Roman" w:hAnsi="Times New Roman"/>
          <w:sz w:val="22"/>
          <w:szCs w:val="22"/>
        </w:rPr>
        <w:t xml:space="preserve">Autonomous datacenters: as more of the resource-management loop is automated, the operators making decisions are increasingly software agents rather than humans; S2A's action-bound evidence gives such agents — and any downstream auditor — a verifiable trail distinguishing correctly authorized automation from misconfigured or compromised automation.</w:t>
      </w:r>
    </w:p>
    <w:p>
      <w:pPr>
        <w:spacing w:after="160" w:line="276"/>
        <w:jc w:val="both"/>
      </w:pPr>
      <w:r>
        <w:rPr>
          <w:rFonts w:ascii="Times New Roman" w:cs="Times New Roman" w:eastAsia="Times New Roman" w:hAnsi="Times New Roman"/>
          <w:sz w:val="22"/>
          <w:szCs w:val="22"/>
        </w:rPr>
        <w:t xml:space="preserve">In each case, S2A's contribution is a new evidence artifact and verification step layered on top of existing Intel trust technologies, positioned as an incremental, deployable addition rather than a replacement for TDX, TDX Connect, DCAP, or Intel Trust Authority.</w:t>
      </w:r>
    </w:p>
    <w:p>
      <w:pPr>
        <w:pStyle w:val="Heading1"/>
        <w:spacing w:after="160" w:before="320"/>
      </w:pPr>
      <w:r>
        <w:rPr>
          <w:rFonts w:ascii="Times New Roman" w:cs="Times New Roman" w:eastAsia="Times New Roman" w:hAnsi="Times New Roman"/>
          <w:b/>
          <w:bCs/>
          <w:color w:val="1F3864"/>
          <w:sz w:val="26"/>
          <w:szCs w:val="26"/>
        </w:rPr>
        <w:t xml:space="preserve">20. Future Work</w:t>
      </w:r>
    </w:p>
    <w:p>
      <w:pPr>
        <w:pStyle w:val="ListParagraph"/>
        <w:numPr>
          <w:ilvl w:val="0"/>
          <w:numId w:val="2"/>
        </w:numPr>
        <w:spacing w:after="80"/>
      </w:pPr>
      <w:r>
        <w:rPr>
          <w:rFonts w:ascii="Times New Roman" w:cs="Times New Roman" w:eastAsia="Times New Roman" w:hAnsi="Times New Roman"/>
          <w:sz w:val="22"/>
          <w:szCs w:val="22"/>
        </w:rPr>
        <w:t xml:space="preserve">Zero-knowledge policy proofs: replacing the boolean-disclosure evidence step with a succinct zero-knowledge proof of Rego policy satisfaction, following the signature-plus-zero-knowledge pattern of privacy-aware proof-carrying authorization (Section 3.5), to hide which specific rule authorized an action.</w:t>
      </w:r>
    </w:p>
    <w:p>
      <w:pPr>
        <w:pStyle w:val="ListParagraph"/>
        <w:numPr>
          <w:ilvl w:val="0"/>
          <w:numId w:val="2"/>
        </w:numPr>
        <w:spacing w:after="80"/>
      </w:pPr>
      <w:r>
        <w:rPr>
          <w:rFonts w:ascii="Times New Roman" w:cs="Times New Roman" w:eastAsia="Times New Roman" w:hAnsi="Times New Roman"/>
          <w:sz w:val="22"/>
          <w:szCs w:val="22"/>
        </w:rPr>
        <w:t xml:space="preserve">Multi-verifier and Byzantine-tolerant settings: extending S2A to fabrics where multiple trusted layers must independently attest to the same action before it is executed.</w:t>
      </w:r>
    </w:p>
    <w:p>
      <w:pPr>
        <w:pStyle w:val="ListParagraph"/>
        <w:numPr>
          <w:ilvl w:val="0"/>
          <w:numId w:val="2"/>
        </w:numPr>
        <w:spacing w:after="80"/>
      </w:pPr>
      <w:r>
        <w:rPr>
          <w:rFonts w:ascii="Times New Roman" w:cs="Times New Roman" w:eastAsia="Times New Roman" w:hAnsi="Times New Roman"/>
          <w:sz w:val="22"/>
          <w:szCs w:val="22"/>
        </w:rPr>
        <w:t xml:space="preserve">Multi-resource actions: extending the evidence format from today's one-resource-one-action binding to composite records that authorize coordinated allocate + reclaim + migrate sequences within a single evidence record, for atomic multi-step rebalancing operations.</w:t>
      </w:r>
    </w:p>
    <w:p>
      <w:pPr>
        <w:pStyle w:val="ListParagraph"/>
        <w:numPr>
          <w:ilvl w:val="0"/>
          <w:numId w:val="2"/>
        </w:numPr>
        <w:spacing w:after="80"/>
      </w:pPr>
      <w:r>
        <w:rPr>
          <w:rFonts w:ascii="Times New Roman" w:cs="Times New Roman" w:eastAsia="Times New Roman" w:hAnsi="Times New Roman"/>
          <w:sz w:val="22"/>
          <w:szCs w:val="22"/>
        </w:rPr>
        <w:t xml:space="preserve">Hardware-accelerated proof generation: evaluating whether signing and commitment construction can be offloaded to platform cryptographic accelerators to further reduce proof-generation latency at high action rates.</w:t>
      </w:r>
    </w:p>
    <w:p>
      <w:pPr>
        <w:pStyle w:val="ListParagraph"/>
        <w:numPr>
          <w:ilvl w:val="0"/>
          <w:numId w:val="2"/>
        </w:numPr>
        <w:spacing w:after="80"/>
      </w:pPr>
      <w:r>
        <w:rPr>
          <w:rFonts w:ascii="Times New Roman" w:cs="Times New Roman" w:eastAsia="Times New Roman" w:hAnsi="Times New Roman"/>
          <w:sz w:val="22"/>
          <w:szCs w:val="22"/>
        </w:rPr>
        <w:t xml:space="preserve">Integration with a physical CXL testbed and a production fabric manager, to replace the simulator-based evaluation with hardware-measured results.</w:t>
      </w:r>
    </w:p>
    <w:p>
      <w:pPr>
        <w:pStyle w:val="ListParagraph"/>
        <w:numPr>
          <w:ilvl w:val="0"/>
          <w:numId w:val="2"/>
        </w:numPr>
        <w:spacing w:after="80"/>
      </w:pPr>
      <w:r>
        <w:rPr>
          <w:rFonts w:ascii="Times New Roman" w:cs="Times New Roman" w:eastAsia="Times New Roman" w:hAnsi="Times New Roman"/>
          <w:sz w:val="22"/>
          <w:szCs w:val="22"/>
        </w:rPr>
        <w:t xml:space="preserve">Formal verification of the freshness and binding properties described in Sections 10–12, using a protocol-verification tool, to complement the manual security analysis given here.</w:t>
      </w:r>
    </w:p>
    <w:p>
      <w:pPr>
        <w:pStyle w:val="Heading1"/>
        <w:spacing w:after="160" w:before="320"/>
      </w:pPr>
      <w:r>
        <w:rPr>
          <w:rFonts w:ascii="Times New Roman" w:cs="Times New Roman" w:eastAsia="Times New Roman" w:hAnsi="Times New Roman"/>
          <w:b/>
          <w:bCs/>
          <w:color w:val="1F3864"/>
          <w:sz w:val="26"/>
          <w:szCs w:val="26"/>
        </w:rPr>
        <w:t xml:space="preserve">21. Conclusion</w:t>
      </w:r>
    </w:p>
    <w:p>
      <w:pPr>
        <w:spacing w:after="160" w:line="276"/>
        <w:jc w:val="both"/>
      </w:pPr>
      <w:r>
        <w:rPr>
          <w:rFonts w:ascii="Times New Roman" w:cs="Times New Roman" w:eastAsia="Times New Roman" w:hAnsi="Times New Roman"/>
          <w:sz w:val="22"/>
          <w:szCs w:val="22"/>
        </w:rPr>
        <w:t xml:space="preserve">As datacenter infrastructure moves toward disaggregated, CXL-attached memory managed by increasingly autonomous orchestration software, the assumption that resource decisions require exposing raw telemetry becomes a growing privacy and security liability in confidential, multi-tenant settings. State-to-Action Attestation (S2A) proposes a narrow, conservative fix: bind resource-management actions to freshness-aware, cryptographically verifiable proofs of policy-compliant authorization, without exposing the telemetry that produced them. Built entirely from existing primitives — digital signatures, hash commitments, monotonic epochs, and a standard policy engine — and anchored in Intel's existing TDX, TDX Connect, and Trust Authority attestation chain, S2A requires no new silicon and no new cryptographic assumptions, while closing a real and precisely-scoped gap: it is a specialization of proof-carrying authorization to continuously-updating infrastructure telemetry, a setting classical PCA does not address and TDX Connect does not, by itself, cover. We have presented the architecture, protocol, threat model, and security and privacy analysis for S2A, together with a software-only prototype design and evaluation methodology, as a basis for empirical validation and, ultimately, for deployment alongside Intel's confidential-computing roadmap for CXL-attached, multi-tenant AI infrastructure. S2A demonstrates that action-level trust can be treated as a first-class systems primitive, extending the scope of confidential computing from protecting workloads and devices to protecting the infrastructure decisions made about them.</w:t>
      </w:r>
    </w:p>
    <w:p>
      <w:pPr>
        <w:pStyle w:val="Heading1"/>
        <w:spacing w:after="160" w:before="320"/>
      </w:pPr>
      <w:r>
        <w:rPr>
          <w:rFonts w:ascii="Times New Roman" w:cs="Times New Roman" w:eastAsia="Times New Roman" w:hAnsi="Times New Roman"/>
          <w:b/>
          <w:bCs/>
          <w:color w:val="1F3864"/>
          <w:sz w:val="26"/>
          <w:szCs w:val="26"/>
        </w:rPr>
        <w:t xml:space="preserve">References</w:t>
      </w:r>
    </w:p>
    <w:p>
      <w:pPr>
        <w:spacing w:after="140" w:line="264"/>
        <w:ind w:left="360" w:hanging="360"/>
        <w:jc w:val="both"/>
      </w:pPr>
      <w:r>
        <w:rPr>
          <w:rFonts w:ascii="Times New Roman" w:cs="Times New Roman" w:eastAsia="Times New Roman" w:hAnsi="Times New Roman"/>
          <w:sz w:val="21"/>
          <w:szCs w:val="21"/>
        </w:rPr>
        <w:t xml:space="preserve">[1] G. C. Necula, "Proof-carrying code," in Proc. 24th ACM SIGPLAN-SIGACT Symp. Principles of Programming Languages (POPL), 1997.</w:t>
      </w:r>
    </w:p>
    <w:p>
      <w:pPr>
        <w:spacing w:after="140" w:line="264"/>
        <w:ind w:left="360" w:hanging="360"/>
        <w:jc w:val="both"/>
      </w:pPr>
      <w:r>
        <w:rPr>
          <w:rFonts w:ascii="Times New Roman" w:cs="Times New Roman" w:eastAsia="Times New Roman" w:hAnsi="Times New Roman"/>
          <w:sz w:val="21"/>
          <w:szCs w:val="21"/>
        </w:rPr>
        <w:t xml:space="preserve">[2] A. W. Appel and E. W. Felten, "Proof-carrying authentication," in Proc. 6th ACM Conf. Computer and Communications Security (CCS), 1999, pp. 52–62.</w:t>
      </w:r>
    </w:p>
    <w:p>
      <w:pPr>
        <w:spacing w:after="140" w:line="264"/>
        <w:ind w:left="360" w:hanging="360"/>
        <w:jc w:val="both"/>
      </w:pPr>
      <w:r>
        <w:rPr>
          <w:rFonts w:ascii="Times New Roman" w:cs="Times New Roman" w:eastAsia="Times New Roman" w:hAnsi="Times New Roman"/>
          <w:sz w:val="21"/>
          <w:szCs w:val="21"/>
        </w:rPr>
        <w:t xml:space="preserve">[3] L. Bauer, M. A. Schneider, E. W. Felten, and A. W. Appel, "Access control on the web using proof-carrying authorization," in Proc. DARPA Information Survivability Conf. and Exposition (DISCEX), vol. 2, 2003, pp. 117–119.</w:t>
      </w:r>
    </w:p>
    <w:p>
      <w:pPr>
        <w:spacing w:after="140" w:line="264"/>
        <w:ind w:left="360" w:hanging="360"/>
        <w:jc w:val="both"/>
      </w:pPr>
      <w:r>
        <w:rPr>
          <w:rFonts w:ascii="Times New Roman" w:cs="Times New Roman" w:eastAsia="Times New Roman" w:hAnsi="Times New Roman"/>
          <w:sz w:val="21"/>
          <w:szCs w:val="21"/>
        </w:rPr>
        <w:t xml:space="preserve">[4] D. Garg, "An introduction to proof-carrying authorization," lecture notes, Carnegie Mellon University / MPI-SWS, 2007.</w:t>
      </w:r>
    </w:p>
    <w:p>
      <w:pPr>
        <w:spacing w:after="140" w:line="264"/>
        <w:ind w:left="360" w:hanging="360"/>
        <w:jc w:val="both"/>
      </w:pPr>
      <w:r>
        <w:rPr>
          <w:rFonts w:ascii="Times New Roman" w:cs="Times New Roman" w:eastAsia="Times New Roman" w:hAnsi="Times New Roman"/>
          <w:sz w:val="21"/>
          <w:szCs w:val="21"/>
        </w:rPr>
        <w:t xml:space="preserve">[5] M. Maffei and K. Pecina, "Privacy-aware proof-carrying authorization," in Proc. ACM SIGPLAN 6th Workshop on Programming Languages and Analysis for Security (PLAS), 2011.</w:t>
      </w:r>
    </w:p>
    <w:p>
      <w:pPr>
        <w:spacing w:after="140" w:line="264"/>
        <w:ind w:left="360" w:hanging="360"/>
        <w:jc w:val="both"/>
      </w:pPr>
      <w:r>
        <w:rPr>
          <w:rFonts w:ascii="Times New Roman" w:cs="Times New Roman" w:eastAsia="Times New Roman" w:hAnsi="Times New Roman"/>
          <w:sz w:val="21"/>
          <w:szCs w:val="21"/>
        </w:rPr>
        <w:t xml:space="preserve">[6] W. Liu, W. Wang, X. Wang, X. Meng, Y. Lu, H. Chen, X. Wang, Q. Shen, K. Chen, H. Tang, Y. Chen, and L. Xing, "Confidential attestation: Efficient in-enclave verification of privacy policy compliance," arXiv:2007.10513, 2020.</w:t>
      </w:r>
    </w:p>
    <w:p>
      <w:pPr>
        <w:spacing w:after="140" w:line="264"/>
        <w:ind w:left="360" w:hanging="360"/>
        <w:jc w:val="both"/>
      </w:pPr>
      <w:r>
        <w:rPr>
          <w:rFonts w:ascii="Times New Roman" w:cs="Times New Roman" w:eastAsia="Times New Roman" w:hAnsi="Times New Roman"/>
          <w:sz w:val="21"/>
          <w:szCs w:val="21"/>
        </w:rPr>
        <w:t xml:space="preserve">[7] Intel Corporation, "Intel Trust Domain Extensions (Intel TDX) whitepaper," Intel Corporation, technical documentation, 2023.</w:t>
      </w:r>
    </w:p>
    <w:p>
      <w:pPr>
        <w:spacing w:after="140" w:line="264"/>
        <w:ind w:left="360" w:hanging="360"/>
        <w:jc w:val="both"/>
      </w:pPr>
      <w:r>
        <w:rPr>
          <w:rFonts w:ascii="Times New Roman" w:cs="Times New Roman" w:eastAsia="Times New Roman" w:hAnsi="Times New Roman"/>
          <w:sz w:val="21"/>
          <w:szCs w:val="21"/>
        </w:rPr>
        <w:t xml:space="preserve">[8] Intel Corporation, "Intel TDX Connect architecture specification," Intel Corporation, technical documentation.</w:t>
      </w:r>
    </w:p>
    <w:p>
      <w:pPr>
        <w:spacing w:after="140" w:line="264"/>
        <w:ind w:left="360" w:hanging="360"/>
        <w:jc w:val="both"/>
      </w:pPr>
      <w:r>
        <w:rPr>
          <w:rFonts w:ascii="Times New Roman" w:cs="Times New Roman" w:eastAsia="Times New Roman" w:hAnsi="Times New Roman"/>
          <w:sz w:val="21"/>
          <w:szCs w:val="21"/>
        </w:rPr>
        <w:t xml:space="preserve">[9] Intel Corporation, "Intel Trust Authority: attestation service overview," Intel Corporation, product documentation.</w:t>
      </w:r>
    </w:p>
    <w:p>
      <w:pPr>
        <w:spacing w:after="140" w:line="264"/>
        <w:ind w:left="360" w:hanging="360"/>
        <w:jc w:val="both"/>
      </w:pPr>
      <w:r>
        <w:rPr>
          <w:rFonts w:ascii="Times New Roman" w:cs="Times New Roman" w:eastAsia="Times New Roman" w:hAnsi="Times New Roman"/>
          <w:sz w:val="21"/>
          <w:szCs w:val="21"/>
        </w:rPr>
        <w:t xml:space="preserve">[10] Intel Corporation, "Data Center Attestation Primitives (DCAP) quoting library," Intel Corporation, technical documentation.</w:t>
      </w:r>
    </w:p>
    <w:p>
      <w:pPr>
        <w:spacing w:after="140" w:line="264"/>
        <w:ind w:left="360" w:hanging="360"/>
        <w:jc w:val="both"/>
      </w:pPr>
      <w:r>
        <w:rPr>
          <w:rFonts w:ascii="Times New Roman" w:cs="Times New Roman" w:eastAsia="Times New Roman" w:hAnsi="Times New Roman"/>
          <w:sz w:val="21"/>
          <w:szCs w:val="21"/>
        </w:rPr>
        <w:t xml:space="preserve">[11] Compute Express Link Consortium, "Compute Express Link (CXL) specification," CXL Consortium, latest revision.</w:t>
      </w:r>
    </w:p>
    <w:p>
      <w:pPr>
        <w:spacing w:after="140" w:line="264"/>
        <w:ind w:left="360" w:hanging="360"/>
        <w:jc w:val="both"/>
      </w:pPr>
      <w:r>
        <w:rPr>
          <w:rFonts w:ascii="Times New Roman" w:cs="Times New Roman" w:eastAsia="Times New Roman" w:hAnsi="Times New Roman"/>
          <w:sz w:val="21"/>
          <w:szCs w:val="21"/>
        </w:rPr>
        <w:t xml:space="preserve">[12] H. Li, D. S. Berger, L. Hsu, D. Ernst, P. Zardoshti, S. Novakovic, M. Shah, S. Rajadnya, S. Lee, I. Agarwal, M. D. Hill, M. Fontoura, and R. Bianchini, "Pond: CXL-based memory pooling systems for cloud platforms," in Proc. 28th ACM Int. Conf. Architectural Support for Programming Languages and Operating Systems (ASPLOS), vol. 2, 2023.</w:t>
      </w:r>
    </w:p>
    <w:p>
      <w:pPr>
        <w:spacing w:after="140" w:line="264"/>
        <w:ind w:left="360" w:hanging="360"/>
        <w:jc w:val="both"/>
      </w:pPr>
      <w:r>
        <w:rPr>
          <w:rFonts w:ascii="Times New Roman" w:cs="Times New Roman" w:eastAsia="Times New Roman" w:hAnsi="Times New Roman"/>
          <w:sz w:val="21"/>
          <w:szCs w:val="21"/>
        </w:rPr>
        <w:t xml:space="preserve">[13] P. Levis, K. Lin, and A. Tai, "A case against CXL memory pooling," in Proc. 22nd ACM Workshop on Hot Topics in Networks (HotNets), 2023, pp. 18–24.</w:t>
      </w:r>
    </w:p>
    <w:p>
      <w:pPr>
        <w:spacing w:after="140" w:line="264"/>
        <w:ind w:left="360" w:hanging="360"/>
        <w:jc w:val="both"/>
      </w:pPr>
      <w:r>
        <w:rPr>
          <w:rFonts w:ascii="Times New Roman" w:cs="Times New Roman" w:eastAsia="Times New Roman" w:hAnsi="Times New Roman"/>
          <w:sz w:val="21"/>
          <w:szCs w:val="21"/>
        </w:rPr>
        <w:t xml:space="preserve">[14] K. Zhao, N. Gholkar, H. Maruf, A. Dhanotia, J. Weiner, G. Price, N. Sun, B. Dwivedi, S. Clark, and D. Skarlatos, "Equilibria: Fair multi-tenant CXL memory tiering at scale," arXiv:2602.08800, 2026.</w:t>
      </w:r>
    </w:p>
    <w:p>
      <w:pPr>
        <w:spacing w:after="140" w:line="264"/>
        <w:ind w:left="360" w:hanging="360"/>
        <w:jc w:val="both"/>
      </w:pPr>
      <w:r>
        <w:rPr>
          <w:rFonts w:ascii="Times New Roman" w:cs="Times New Roman" w:eastAsia="Times New Roman" w:hAnsi="Times New Roman"/>
          <w:sz w:val="21"/>
          <w:szCs w:val="21"/>
        </w:rPr>
        <w:t xml:space="preserve">[15] Open Policy Agent, "OPA and Rego language documentation," Cloud Native Computing Foundation project documentation.</w:t>
      </w:r>
    </w:p>
    <w:p>
      <w:pPr>
        <w:spacing w:after="140" w:line="264"/>
        <w:ind w:left="360" w:hanging="360"/>
        <w:jc w:val="both"/>
      </w:pPr>
      <w:r>
        <w:rPr>
          <w:rFonts w:ascii="Times New Roman" w:cs="Times New Roman" w:eastAsia="Times New Roman" w:hAnsi="Times New Roman"/>
          <w:sz w:val="21"/>
          <w:szCs w:val="21"/>
        </w:rPr>
        <w:t xml:space="preserve">[16] D. Dolev and A. Yao, "On the security of public key protocols," IEEE Trans. Information Theory, vol. 29, no. 2, pp. 198–208, 1983.</w:t>
      </w:r>
    </w:p>
    <w:p>
      <w:pPr>
        <w:spacing w:after="140" w:line="264"/>
        <w:ind w:left="360" w:hanging="360"/>
        <w:jc w:val="both"/>
      </w:pPr>
      <w:r>
        <w:rPr>
          <w:rFonts w:ascii="Times New Roman" w:cs="Times New Roman" w:eastAsia="Times New Roman" w:hAnsi="Times New Roman"/>
          <w:sz w:val="21"/>
          <w:szCs w:val="21"/>
        </w:rPr>
        <w:t xml:space="preserve">[17] D. J. Bernstein, N. Duif, T. Lange, P. Schwabe, and B.-Y. Yang, "High-speed high-security signatures," J. Cryptographic Engineering, vol. 2, no. 2, pp. 77–89, 2012.</w:t>
      </w:r>
    </w:p>
    <w:p>
      <w:pPr>
        <w:spacing w:after="140" w:line="264"/>
        <w:ind w:left="360" w:hanging="360"/>
        <w:jc w:val="both"/>
      </w:pPr>
      <w:r>
        <w:rPr>
          <w:rFonts w:ascii="Times New Roman" w:cs="Times New Roman" w:eastAsia="Times New Roman" w:hAnsi="Times New Roman"/>
          <w:sz w:val="21"/>
          <w:szCs w:val="21"/>
        </w:rPr>
        <w:t xml:space="preserve">[18] R. C. Merkle, "A digital signature based on a conventional encryption function," in Advances in Cryptology — CRYPTO '87, 1988.</w:t>
      </w:r>
    </w:p>
    <w:p>
      <w:pPr>
        <w:spacing w:after="140" w:line="264"/>
        <w:ind w:left="360" w:hanging="360"/>
        <w:jc w:val="both"/>
      </w:pPr>
      <w:r>
        <w:rPr>
          <w:rFonts w:ascii="Times New Roman" w:cs="Times New Roman" w:eastAsia="Times New Roman" w:hAnsi="Times New Roman"/>
          <w:sz w:val="21"/>
          <w:szCs w:val="21"/>
        </w:rPr>
        <w:t xml:space="preserve">[19] Trusted Computing Group, "Trusted Platform Module (TPM) and remote attestation overview," TCG technical documentation.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t xml:space="preserve">Page </w:t>
    </w: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Times New Roman" w:cs="Times New Roman" w:eastAsia="Times New Roman" w:hAnsi="Times New Roman"/>
        <w:i/>
        <w:iCs/>
        <w:color w:val="666666"/>
        <w:sz w:val="15"/>
        <w:szCs w:val="15"/>
      </w:rPr>
      <w:t xml:space="preserve">S2A: Freshness-Aware Proof-Carrying Authorization for Confidential CXL Memory Orchestration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2026-08-28T05:46:55.770Z</dcterms:created>
  <dcterms:modified xsi:type="dcterms:W3CDTF">2026-08-28T05:46:55.785Z</dcterms:modified>
</cp:coreProperties>
</file>

<file path=docProps/custom.xml><?xml version="1.0" encoding="utf-8"?>
<Properties xmlns="http://schemas.openxmlformats.org/officeDocument/2006/custom-properties" xmlns:vt="http://schemas.openxmlformats.org/officeDocument/2006/docPropsVTypes"/>
</file>