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4"/>
        </w:rPr>
        <w:t>RESOLVEIQ</w:t>
      </w:r>
    </w:p>
    <w:p>
      <w:pPr>
        <w:jc w:val="center"/>
      </w:pPr>
      <w:r>
        <w:rPr>
          <w:b/>
          <w:sz w:val="36"/>
        </w:rPr>
        <w:t>Multi-Agent Customer Complaint Intelligence &amp; Resolution Platform</w:t>
      </w:r>
    </w:p>
    <w:p>
      <w:pPr>
        <w:jc w:val="center"/>
      </w:pPr>
      <w:r>
        <w:rPr>
          <w:i/>
        </w:rPr>
        <w:t>End-to-End Project Documentation, Slide Explanation, Architecture and Implementation Guide</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b/>
                <w:color w:val="FFFFFF"/>
                <w:sz w:val="20"/>
              </w:rPr>
              <w:t>Hackathon</w:t>
            </w:r>
          </w:p>
        </w:tc>
        <w:tc>
          <w:tcPr>
            <w:tcW w:type="dxa" w:w="5040"/>
            <w:vAlign w:val="center"/>
          </w:tcPr>
          <w:p>
            <w:r/>
            <w:r>
              <w:rPr>
                <w:b w:val="0"/>
                <w:sz w:val="20"/>
              </w:rPr>
              <w:t>Cognizant iTechathon</w:t>
            </w:r>
          </w:p>
        </w:tc>
      </w:tr>
      <w:tr>
        <w:tc>
          <w:tcPr>
            <w:tcW w:type="dxa" w:w="5040"/>
            <w:vAlign w:val="center"/>
            <w:shd w:fill="17365D"/>
          </w:tcPr>
          <w:p>
            <w:r/>
            <w:r>
              <w:rPr>
                <w:b/>
                <w:color w:val="FFFFFF"/>
                <w:sz w:val="20"/>
              </w:rPr>
              <w:t>Project</w:t>
            </w:r>
          </w:p>
        </w:tc>
        <w:tc>
          <w:tcPr>
            <w:tcW w:type="dxa" w:w="5040"/>
            <w:vAlign w:val="center"/>
          </w:tcPr>
          <w:p>
            <w:r/>
            <w:r>
              <w:rPr>
                <w:b w:val="0"/>
                <w:sz w:val="20"/>
              </w:rPr>
              <w:t>ResolveIQ</w:t>
            </w:r>
          </w:p>
        </w:tc>
      </w:tr>
      <w:tr>
        <w:tc>
          <w:tcPr>
            <w:tcW w:type="dxa" w:w="5040"/>
            <w:vAlign w:val="center"/>
            <w:shd w:fill="17365D"/>
          </w:tcPr>
          <w:p>
            <w:r/>
            <w:r>
              <w:rPr>
                <w:b/>
                <w:color w:val="FFFFFF"/>
                <w:sz w:val="20"/>
              </w:rPr>
              <w:t>Team</w:t>
            </w:r>
          </w:p>
        </w:tc>
        <w:tc>
          <w:tcPr>
            <w:tcW w:type="dxa" w:w="5040"/>
            <w:vAlign w:val="center"/>
          </w:tcPr>
          <w:p>
            <w:r/>
            <w:r>
              <w:rPr>
                <w:b w:val="0"/>
                <w:sz w:val="20"/>
              </w:rPr>
              <w:t>[Team Name]</w:t>
            </w:r>
          </w:p>
        </w:tc>
      </w:tr>
      <w:tr>
        <w:tc>
          <w:tcPr>
            <w:tcW w:type="dxa" w:w="5040"/>
            <w:vAlign w:val="center"/>
            <w:shd w:fill="17365D"/>
          </w:tcPr>
          <w:p>
            <w:r/>
            <w:r>
              <w:rPr>
                <w:b/>
                <w:color w:val="FFFFFF"/>
                <w:sz w:val="20"/>
              </w:rPr>
              <w:t>College</w:t>
            </w:r>
          </w:p>
        </w:tc>
        <w:tc>
          <w:tcPr>
            <w:tcW w:type="dxa" w:w="5040"/>
            <w:vAlign w:val="center"/>
          </w:tcPr>
          <w:p>
            <w:r/>
            <w:r>
              <w:rPr>
                <w:b w:val="0"/>
                <w:sz w:val="20"/>
              </w:rPr>
              <w:t>[College Name]</w:t>
            </w:r>
          </w:p>
        </w:tc>
      </w:tr>
    </w:tbl>
    <w:p>
      <w:r>
        <w:br/>
      </w:r>
    </w:p>
    <w:p>
      <w:pPr>
        <w:jc w:val="center"/>
      </w:pPr>
      <w:r>
        <w:rPr>
          <w:b/>
          <w:color w:val="1F4E79"/>
          <w:sz w:val="26"/>
        </w:rPr>
        <w:t>Resolve the customer. Discover the cause. Prevent the next complaint.</w:t>
      </w:r>
    </w:p>
    <w:p>
      <w:r>
        <w:br w:type="page"/>
      </w:r>
    </w:p>
    <w:p>
      <w:pPr>
        <w:pStyle w:val="Heading1"/>
      </w:pPr>
      <w:r>
        <w:t>1. Executive Summary</w:t>
      </w:r>
    </w:p>
    <w:p>
      <w:r>
        <w:t>ResolveIQ is a multi-agent AI platform designed to transform fragmented customer complaints into context-aware, policy-grounded resolutions while detecting recurring complaint patterns that may indicate a larger operational incident. The project is intentionally positioned as more than a chatbot or ticket classifier: it is an intelligent orchestration layer between customer interactions and enterprise systems.</w:t>
      </w:r>
    </w:p>
    <w:p>
      <w:r>
        <w:t>The supplied problem statement asks teams to categorise complaints, prioritise them and recommend resolutions. ResolveIQ preserves that core requirement and expands it into a complete enterprise workflow: multi-channel ingestion, identity resolution, case creation, classification, customer-context retrieval, related-case discovery, policy reasoning, resolution generation, risk-based approval, escalation, and organisational complaint intelligence.</w:t>
      </w:r>
    </w:p>
    <w:p>
      <w:r>
        <w:t>The key product insight is that customer complaints are not just support work items. In aggregate, they are signals about business health. When many complaints share the same pattern, ResolveIQ can cluster them and surface a potential incident for operations. This creates a second value stream beyond support automation: early operational intelligence.</w:t>
      </w:r>
    </w:p>
    <w:p>
      <w:pPr>
        <w:pStyle w:val="Heading1"/>
      </w:pPr>
      <w:r>
        <w:t>2. Source Basis and Scope</w:t>
      </w:r>
    </w:p>
    <w:p>
      <w:r>
        <w:t>This document explains the current ResolveIQ presentation deck and the solution concept developed around the supplied hackathon problem statement. The challenge describes a Customer Complaint Resolution Assistant that categorises, prioritises and recommends resolutions for high-volume complaints. The presentation further adds multi-agent orchestration, RAG, complaint clustering, human-in-the-loop controls, measurable KPIs, a prototype UI and a roadmap.</w:t>
      </w:r>
    </w:p>
    <w:p>
      <w:r>
        <w:t>The implementation details in later sections are the proposed engineering design for the hackathon prototype. They are recommendations for how to implement the concept; they should not be interpreted as features already implemented unless demonstrated in the prototype.</w:t>
      </w:r>
    </w:p>
    <w:p>
      <w:pPr>
        <w:pStyle w:val="Heading1"/>
      </w:pPr>
      <w:r>
        <w:t>3. Table of Contents</w:t>
      </w:r>
    </w:p>
    <w:p>
      <w:pPr>
        <w:pStyle w:val="ListBullet"/>
        <w:spacing w:after="40"/>
      </w:pPr>
      <w:r>
        <w:t>4. Product Vision and Winning Story</w:t>
      </w:r>
    </w:p>
    <w:p>
      <w:pPr>
        <w:pStyle w:val="ListBullet"/>
        <w:spacing w:after="40"/>
      </w:pPr>
      <w:r>
        <w:t>5. Slide-by-Slide Explanation</w:t>
      </w:r>
    </w:p>
    <w:p>
      <w:pPr>
        <w:pStyle w:val="ListBullet"/>
        <w:spacing w:after="40"/>
      </w:pPr>
      <w:r>
        <w:t>6. End-to-End ARC</w:t>
      </w:r>
    </w:p>
    <w:p>
      <w:pPr>
        <w:pStyle w:val="ListBullet"/>
        <w:spacing w:after="40"/>
      </w:pPr>
      <w:r>
        <w:t>7. Functional Modules and Implementation</w:t>
      </w:r>
    </w:p>
    <w:p>
      <w:pPr>
        <w:pStyle w:val="ListBullet"/>
        <w:spacing w:after="40"/>
      </w:pPr>
      <w:r>
        <w:t>8. Data Model and Storage Design</w:t>
      </w:r>
    </w:p>
    <w:p>
      <w:pPr>
        <w:pStyle w:val="ListBullet"/>
        <w:spacing w:after="40"/>
      </w:pPr>
      <w:r>
        <w:t>9. Agent Design and Tool Contracts</w:t>
      </w:r>
    </w:p>
    <w:p>
      <w:pPr>
        <w:pStyle w:val="ListBullet"/>
        <w:spacing w:after="40"/>
      </w:pPr>
      <w:r>
        <w:t>10. RAG and Knowledge Architecture</w:t>
      </w:r>
    </w:p>
    <w:p>
      <w:pPr>
        <w:pStyle w:val="ListBullet"/>
        <w:spacing w:after="40"/>
      </w:pPr>
      <w:r>
        <w:t>11. Complaint Clustering and Incident Intelligence</w:t>
      </w:r>
    </w:p>
    <w:p>
      <w:pPr>
        <w:pStyle w:val="ListBullet"/>
        <w:spacing w:after="40"/>
      </w:pPr>
      <w:r>
        <w:t>12. Human-in-the-Loop and Risk Controls</w:t>
      </w:r>
    </w:p>
    <w:p>
      <w:pPr>
        <w:pStyle w:val="ListBullet"/>
        <w:spacing w:after="40"/>
      </w:pPr>
      <w:r>
        <w:t>13. API and Integration Design</w:t>
      </w:r>
    </w:p>
    <w:p>
      <w:pPr>
        <w:pStyle w:val="ListBullet"/>
        <w:spacing w:after="40"/>
      </w:pPr>
      <w:r>
        <w:t>14. Frontend and Decision Workspace</w:t>
      </w:r>
    </w:p>
    <w:p>
      <w:pPr>
        <w:pStyle w:val="ListBullet"/>
        <w:spacing w:after="40"/>
      </w:pPr>
      <w:r>
        <w:t>15. Evaluation Strategy and KPIs</w:t>
      </w:r>
    </w:p>
    <w:p>
      <w:pPr>
        <w:pStyle w:val="ListBullet"/>
        <w:spacing w:after="40"/>
      </w:pPr>
      <w:r>
        <w:t>16. Hackathon MVP Scope and Build Plan</w:t>
      </w:r>
    </w:p>
    <w:p>
      <w:pPr>
        <w:pStyle w:val="ListBullet"/>
        <w:spacing w:after="40"/>
      </w:pPr>
      <w:r>
        <w:t>17. Demo Script</w:t>
      </w:r>
    </w:p>
    <w:p>
      <w:pPr>
        <w:pStyle w:val="ListBullet"/>
        <w:spacing w:after="40"/>
      </w:pPr>
      <w:r>
        <w:t>18. Limitations, Risks and Mitigations</w:t>
      </w:r>
    </w:p>
    <w:p>
      <w:pPr>
        <w:pStyle w:val="ListBullet"/>
        <w:spacing w:after="40"/>
      </w:pPr>
      <w:r>
        <w:t>19. Future Roadmap</w:t>
      </w:r>
    </w:p>
    <w:p>
      <w:pPr>
        <w:pStyle w:val="ListBullet"/>
        <w:spacing w:after="40"/>
      </w:pPr>
      <w:r>
        <w:t>20. Final One-Minute Explanation</w:t>
      </w:r>
    </w:p>
    <w:p>
      <w:pPr>
        <w:pStyle w:val="Heading1"/>
      </w:pPr>
      <w:r>
        <w:t>4. Product Vision and Winning Story</w:t>
      </w:r>
    </w:p>
    <w:p>
      <w:pPr>
        <w:pStyle w:val="Heading2"/>
      </w:pPr>
      <w:r>
        <w:t>4.1 The core pitch</w:t>
      </w:r>
    </w:p>
    <w:p>
      <w:r>
        <w:t>ResolveIQ converts fragmented customer interactions into one intelligent case, uses enterprise context and policies to make a grounded resolution recommendation, and then learns from groups of related complaints to identify potential business incidents.</w:t>
      </w:r>
    </w:p>
    <w:p>
      <w:pPr>
        <w:pStyle w:val="Heading2"/>
      </w:pPr>
      <w:r>
        <w:t>4.2 The narrative judges should remember</w:t>
      </w:r>
    </w:p>
    <w:p>
      <w:pPr>
        <w:spacing w:before="80" w:after="120"/>
        <w:ind w:left="432" w:right="432"/>
      </w:pPr>
      <w:r>
        <w:rPr>
          <w:rFonts w:ascii="Consolas" w:hAnsi="Consolas"/>
          <w:sz w:val="18"/>
        </w:rPr>
        <w:t>Other systems close tickets. ResolveIQ learns from them.</w:t>
      </w:r>
    </w:p>
    <w:p>
      <w:pPr>
        <w:pStyle w:val="ListBullet"/>
        <w:spacing w:after="40"/>
      </w:pPr>
      <w:r>
        <w:t>RESOLVE: recommend or safely execute the best customer-facing action.</w:t>
      </w:r>
    </w:p>
    <w:p>
      <w:pPr>
        <w:pStyle w:val="ListBullet"/>
        <w:spacing w:after="40"/>
      </w:pPr>
      <w:r>
        <w:t>PRIORITISE: rank work using severity, SLA, customer context and business impact.</w:t>
      </w:r>
    </w:p>
    <w:p>
      <w:pPr>
        <w:pStyle w:val="ListBullet"/>
        <w:spacing w:after="40"/>
      </w:pPr>
      <w:r>
        <w:t>DISCOVER: identify repeated complaint patterns and possible root causes.</w:t>
      </w:r>
    </w:p>
    <w:p>
      <w:pPr>
        <w:pStyle w:val="Heading2"/>
      </w:pPr>
      <w:r>
        <w:t>4.3 Why the problem needs AI</w:t>
      </w:r>
    </w:p>
    <w:p>
      <w:r>
        <w:t>The complexity is not the existence of a ticket. The complexity comes from interpreting unstructured language, reconciling multiple channels, retrieving customer and order context, finding similar historical cases, grounding decisions in policies that may change, and selecting an action with appropriate autonomy. These are strong use cases for language models, retrieval, semantic similarity and agentic tool use.</w:t>
      </w:r>
    </w:p>
    <w:p>
      <w:pPr>
        <w:pStyle w:val="Heading1"/>
      </w:pPr>
      <w:r>
        <w:t>5. Slide-by-Slide Explanation</w:t>
      </w:r>
    </w:p>
    <w:p>
      <w:pPr>
        <w:pStyle w:val="Heading2"/>
      </w:pPr>
      <w:r>
        <w:t>Slide 1: Title - ResolveIQ</w:t>
      </w:r>
    </w:p>
    <w:p>
      <w:r>
        <w:t>Introduces the project as a Multi-Agent Customer Complaint Intelligence &amp; Resolution Platform. The tagline establishes the three-layer value proposition: resolve the immediate customer problem, discover the underlying cause, and prevent future recurrence. The title is deliberately broader than the official problem statement because the product is positioned as an enterprise intelligence layer, not a simple support chatbot.</w:t>
      </w:r>
    </w:p>
    <w:p>
      <w:pPr>
        <w:pStyle w:val="Heading2"/>
      </w:pPr>
      <w:r>
        <w:t>Slide 2: Team Details</w:t>
      </w:r>
    </w:p>
    <w:p>
      <w:r>
        <w:t>This slide exists primarily to satisfy the hackathon submission format. Populate it with the actual team name, team number, college and members. The technical story should begin after this administrative slide.</w:t>
      </w:r>
    </w:p>
    <w:p>
      <w:pPr>
        <w:pStyle w:val="Heading2"/>
      </w:pPr>
      <w:r>
        <w:t>Slide 3: The Problem</w:t>
      </w:r>
    </w:p>
    <w:p>
      <w:r>
        <w:t>The problem is presented as fragmented, repetitive and difficult-to-resolve complaint handling. The important business facts are multi-channel intake, scattered CRM/order/SLA context, manual triage and the hidden cost of repeated complaints. The key transition is from ticket processing to intelligent complaint resolution.</w:t>
      </w:r>
    </w:p>
    <w:p>
      <w:pPr>
        <w:pStyle w:val="Heading2"/>
      </w:pPr>
      <w:r>
        <w:t>Slide 4: Our Solution</w:t>
      </w:r>
    </w:p>
    <w:p>
      <w:r>
        <w:t>ResolveIQ is introduced as an intelligent layer between customer interactions and enterprise operations. The workflow is expressed as INGEST, UNDERSTAND, INVESTIGATE, REASON, RESOLVE and LEARN. The LEARN stage is critical because it makes the product more than a ticket automation system.</w:t>
      </w:r>
    </w:p>
    <w:p>
      <w:pPr>
        <w:pStyle w:val="Heading2"/>
      </w:pPr>
      <w:r>
        <w:t>Slide 5: Multi-Agent Architecture</w:t>
      </w:r>
    </w:p>
    <w:p>
      <w:r>
        <w:t>This slide explains why the system uses specialised agents. Each agent has a bounded responsibility: intake, understanding, customer context, investigation, policy reasoning, resolution and supervisory control. This creates modularity, clearer tool permissions and a stronger agentic-AI story than a single general-purpose assistant.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17365D"/>
          </w:tcPr>
          <w:p>
            <w:r/>
            <w:r>
              <w:rPr>
                <w:b/>
                <w:color w:val="FFFFFF"/>
                <w:sz w:val="20"/>
              </w:rPr>
              <w:t>Agent</w:t>
            </w:r>
          </w:p>
        </w:tc>
        <w:tc>
          <w:tcPr>
            <w:tcW w:type="dxa" w:w="3168"/>
            <w:vAlign w:val="center"/>
            <w:shd w:fill="17365D"/>
          </w:tcPr>
          <w:p>
            <w:r/>
            <w:r>
              <w:rPr>
                <w:b/>
                <w:color w:val="FFFFFF"/>
                <w:sz w:val="20"/>
              </w:rPr>
              <w:t>Responsibility</w:t>
            </w:r>
          </w:p>
        </w:tc>
        <w:tc>
          <w:tcPr>
            <w:tcW w:type="dxa" w:w="2880"/>
            <w:vAlign w:val="center"/>
            <w:shd w:fill="17365D"/>
          </w:tcPr>
          <w:p>
            <w:r/>
            <w:r>
              <w:rPr>
                <w:b/>
                <w:color w:val="FFFFFF"/>
                <w:sz w:val="20"/>
              </w:rPr>
              <w:t>Primary inputs</w:t>
            </w:r>
          </w:p>
        </w:tc>
        <w:tc>
          <w:tcPr>
            <w:tcW w:type="dxa" w:w="2880"/>
            <w:vAlign w:val="center"/>
            <w:shd w:fill="17365D"/>
          </w:tcPr>
          <w:p>
            <w:r/>
            <w:r>
              <w:rPr>
                <w:b/>
                <w:color w:val="FFFFFF"/>
                <w:sz w:val="20"/>
              </w:rPr>
              <w:t>Primary outputs</w:t>
            </w:r>
          </w:p>
        </w:tc>
      </w:tr>
      <w:tr>
        <w:tc>
          <w:tcPr>
            <w:tcW w:type="dxa" w:w="1944"/>
            <w:vAlign w:val="center"/>
          </w:tcPr>
          <w:p>
            <w:r/>
            <w:r>
              <w:rPr>
                <w:b w:val="0"/>
                <w:sz w:val="19"/>
              </w:rPr>
              <w:t>Intake Agent</w:t>
            </w:r>
          </w:p>
        </w:tc>
        <w:tc>
          <w:tcPr>
            <w:tcW w:type="dxa" w:w="3168"/>
            <w:vAlign w:val="center"/>
          </w:tcPr>
          <w:p>
            <w:r/>
            <w:r>
              <w:rPr>
                <w:b w:val="0"/>
                <w:sz w:val="19"/>
              </w:rPr>
              <w:t>Normalise incoming complaint</w:t>
            </w:r>
          </w:p>
        </w:tc>
        <w:tc>
          <w:tcPr>
            <w:tcW w:type="dxa" w:w="2880"/>
            <w:vAlign w:val="center"/>
          </w:tcPr>
          <w:p>
            <w:r/>
            <w:r>
              <w:rPr>
                <w:b w:val="0"/>
                <w:sz w:val="19"/>
              </w:rPr>
              <w:t>Email/chat/form/call transcript</w:t>
            </w:r>
          </w:p>
        </w:tc>
        <w:tc>
          <w:tcPr>
            <w:tcW w:type="dxa" w:w="2880"/>
            <w:vAlign w:val="center"/>
          </w:tcPr>
          <w:p>
            <w:r/>
            <w:r>
              <w:rPr>
                <w:b w:val="0"/>
                <w:sz w:val="19"/>
              </w:rPr>
              <w:t>Clean complaint object</w:t>
            </w:r>
          </w:p>
        </w:tc>
      </w:tr>
      <w:tr>
        <w:tc>
          <w:tcPr>
            <w:tcW w:type="dxa" w:w="1944"/>
            <w:vAlign w:val="center"/>
          </w:tcPr>
          <w:p>
            <w:r/>
            <w:r>
              <w:rPr>
                <w:b w:val="0"/>
                <w:sz w:val="19"/>
              </w:rPr>
              <w:t>Case Intelligence Agent</w:t>
            </w:r>
          </w:p>
        </w:tc>
        <w:tc>
          <w:tcPr>
            <w:tcW w:type="dxa" w:w="3168"/>
            <w:vAlign w:val="center"/>
          </w:tcPr>
          <w:p>
            <w:r/>
            <w:r>
              <w:rPr>
                <w:b w:val="0"/>
                <w:sz w:val="19"/>
              </w:rPr>
              <w:t>Interpret complaint</w:t>
            </w:r>
          </w:p>
        </w:tc>
        <w:tc>
          <w:tcPr>
            <w:tcW w:type="dxa" w:w="2880"/>
            <w:vAlign w:val="center"/>
          </w:tcPr>
          <w:p>
            <w:r/>
            <w:r>
              <w:rPr>
                <w:b w:val="0"/>
                <w:sz w:val="19"/>
              </w:rPr>
              <w:t>Complaint text + metadata</w:t>
            </w:r>
          </w:p>
        </w:tc>
        <w:tc>
          <w:tcPr>
            <w:tcW w:type="dxa" w:w="2880"/>
            <w:vAlign w:val="center"/>
          </w:tcPr>
          <w:p>
            <w:r/>
            <w:r>
              <w:rPr>
                <w:b w:val="0"/>
                <w:sz w:val="19"/>
              </w:rPr>
              <w:t>Intent, sentiment, entities, urgency</w:t>
            </w:r>
          </w:p>
        </w:tc>
      </w:tr>
      <w:tr>
        <w:tc>
          <w:tcPr>
            <w:tcW w:type="dxa" w:w="1944"/>
            <w:vAlign w:val="center"/>
          </w:tcPr>
          <w:p>
            <w:r/>
            <w:r>
              <w:rPr>
                <w:b w:val="0"/>
                <w:sz w:val="19"/>
              </w:rPr>
              <w:t>Customer Context Agent</w:t>
            </w:r>
          </w:p>
        </w:tc>
        <w:tc>
          <w:tcPr>
            <w:tcW w:type="dxa" w:w="3168"/>
            <w:vAlign w:val="center"/>
          </w:tcPr>
          <w:p>
            <w:r/>
            <w:r>
              <w:rPr>
                <w:b w:val="0"/>
                <w:sz w:val="19"/>
              </w:rPr>
              <w:t>Retrieve business context</w:t>
            </w:r>
          </w:p>
        </w:tc>
        <w:tc>
          <w:tcPr>
            <w:tcW w:type="dxa" w:w="2880"/>
            <w:vAlign w:val="center"/>
          </w:tcPr>
          <w:p>
            <w:r/>
            <w:r>
              <w:rPr>
                <w:b w:val="0"/>
                <w:sz w:val="19"/>
              </w:rPr>
              <w:t>Customer ID, order ID</w:t>
            </w:r>
          </w:p>
        </w:tc>
        <w:tc>
          <w:tcPr>
            <w:tcW w:type="dxa" w:w="2880"/>
            <w:vAlign w:val="center"/>
          </w:tcPr>
          <w:p>
            <w:r/>
            <w:r>
              <w:rPr>
                <w:b w:val="0"/>
                <w:sz w:val="19"/>
              </w:rPr>
              <w:t>Profile, order, previous tickets</w:t>
            </w:r>
          </w:p>
        </w:tc>
      </w:tr>
      <w:tr>
        <w:tc>
          <w:tcPr>
            <w:tcW w:type="dxa" w:w="1944"/>
            <w:vAlign w:val="center"/>
          </w:tcPr>
          <w:p>
            <w:r/>
            <w:r>
              <w:rPr>
                <w:b w:val="0"/>
                <w:sz w:val="19"/>
              </w:rPr>
              <w:t>Investigation Agent</w:t>
            </w:r>
          </w:p>
        </w:tc>
        <w:tc>
          <w:tcPr>
            <w:tcW w:type="dxa" w:w="3168"/>
            <w:vAlign w:val="center"/>
          </w:tcPr>
          <w:p>
            <w:r/>
            <w:r>
              <w:rPr>
                <w:b w:val="0"/>
                <w:sz w:val="19"/>
              </w:rPr>
              <w:t>Find relationships</w:t>
            </w:r>
          </w:p>
        </w:tc>
        <w:tc>
          <w:tcPr>
            <w:tcW w:type="dxa" w:w="2880"/>
            <w:vAlign w:val="center"/>
          </w:tcPr>
          <w:p>
            <w:r/>
            <w:r>
              <w:rPr>
                <w:b w:val="0"/>
                <w:sz w:val="19"/>
              </w:rPr>
              <w:t>Complaint + embeddings + cases</w:t>
            </w:r>
          </w:p>
        </w:tc>
        <w:tc>
          <w:tcPr>
            <w:tcW w:type="dxa" w:w="2880"/>
            <w:vAlign w:val="center"/>
          </w:tcPr>
          <w:p>
            <w:r/>
            <w:r>
              <w:rPr>
                <w:b w:val="0"/>
                <w:sz w:val="19"/>
              </w:rPr>
              <w:t>Similar cases, incident candidates</w:t>
            </w:r>
          </w:p>
        </w:tc>
      </w:tr>
      <w:tr>
        <w:tc>
          <w:tcPr>
            <w:tcW w:type="dxa" w:w="1944"/>
            <w:vAlign w:val="center"/>
          </w:tcPr>
          <w:p>
            <w:r/>
            <w:r>
              <w:rPr>
                <w:b w:val="0"/>
                <w:sz w:val="19"/>
              </w:rPr>
              <w:t>Policy Agent</w:t>
            </w:r>
          </w:p>
        </w:tc>
        <w:tc>
          <w:tcPr>
            <w:tcW w:type="dxa" w:w="3168"/>
            <w:vAlign w:val="center"/>
          </w:tcPr>
          <w:p>
            <w:r/>
            <w:r>
              <w:rPr>
                <w:b w:val="0"/>
                <w:sz w:val="19"/>
              </w:rPr>
              <w:t>Ground decisions</w:t>
            </w:r>
          </w:p>
        </w:tc>
        <w:tc>
          <w:tcPr>
            <w:tcW w:type="dxa" w:w="2880"/>
            <w:vAlign w:val="center"/>
          </w:tcPr>
          <w:p>
            <w:r/>
            <w:r>
              <w:rPr>
                <w:b w:val="0"/>
                <w:sz w:val="19"/>
              </w:rPr>
              <w:t>Policy KB + case context</w:t>
            </w:r>
          </w:p>
        </w:tc>
        <w:tc>
          <w:tcPr>
            <w:tcW w:type="dxa" w:w="2880"/>
            <w:vAlign w:val="center"/>
          </w:tcPr>
          <w:p>
            <w:r/>
            <w:r>
              <w:rPr>
                <w:b w:val="0"/>
                <w:sz w:val="19"/>
              </w:rPr>
              <w:t>Applicable policy evidence</w:t>
            </w:r>
          </w:p>
        </w:tc>
      </w:tr>
      <w:tr>
        <w:tc>
          <w:tcPr>
            <w:tcW w:type="dxa" w:w="1944"/>
            <w:vAlign w:val="center"/>
          </w:tcPr>
          <w:p>
            <w:r/>
            <w:r>
              <w:rPr>
                <w:b w:val="0"/>
                <w:sz w:val="19"/>
              </w:rPr>
              <w:t>Resolution Agent</w:t>
            </w:r>
          </w:p>
        </w:tc>
        <w:tc>
          <w:tcPr>
            <w:tcW w:type="dxa" w:w="3168"/>
            <w:vAlign w:val="center"/>
          </w:tcPr>
          <w:p>
            <w:r/>
            <w:r>
              <w:rPr>
                <w:b w:val="0"/>
                <w:sz w:val="19"/>
              </w:rPr>
              <w:t>Recommend action</w:t>
            </w:r>
          </w:p>
        </w:tc>
        <w:tc>
          <w:tcPr>
            <w:tcW w:type="dxa" w:w="2880"/>
            <w:vAlign w:val="center"/>
          </w:tcPr>
          <w:p>
            <w:r/>
            <w:r>
              <w:rPr>
                <w:b w:val="0"/>
                <w:sz w:val="19"/>
              </w:rPr>
              <w:t>All evidence</w:t>
            </w:r>
          </w:p>
        </w:tc>
        <w:tc>
          <w:tcPr>
            <w:tcW w:type="dxa" w:w="2880"/>
            <w:vAlign w:val="center"/>
          </w:tcPr>
          <w:p>
            <w:r/>
            <w:r>
              <w:rPr>
                <w:b w:val="0"/>
                <w:sz w:val="19"/>
              </w:rPr>
              <w:t>Action + customer response</w:t>
            </w:r>
          </w:p>
        </w:tc>
      </w:tr>
      <w:tr>
        <w:tc>
          <w:tcPr>
            <w:tcW w:type="dxa" w:w="1944"/>
            <w:vAlign w:val="center"/>
          </w:tcPr>
          <w:p>
            <w:r/>
            <w:r>
              <w:rPr>
                <w:b w:val="0"/>
                <w:sz w:val="19"/>
              </w:rPr>
              <w:t>Supervisor Agent</w:t>
            </w:r>
          </w:p>
        </w:tc>
        <w:tc>
          <w:tcPr>
            <w:tcW w:type="dxa" w:w="3168"/>
            <w:vAlign w:val="center"/>
          </w:tcPr>
          <w:p>
            <w:r/>
            <w:r>
              <w:rPr>
                <w:b w:val="0"/>
                <w:sz w:val="19"/>
              </w:rPr>
              <w:t>Control autonomy</w:t>
            </w:r>
          </w:p>
        </w:tc>
        <w:tc>
          <w:tcPr>
            <w:tcW w:type="dxa" w:w="2880"/>
            <w:vAlign w:val="center"/>
          </w:tcPr>
          <w:p>
            <w:r/>
            <w:r>
              <w:rPr>
                <w:b w:val="0"/>
                <w:sz w:val="19"/>
              </w:rPr>
              <w:t>Action + risk signals</w:t>
            </w:r>
          </w:p>
        </w:tc>
        <w:tc>
          <w:tcPr>
            <w:tcW w:type="dxa" w:w="2880"/>
            <w:vAlign w:val="center"/>
          </w:tcPr>
          <w:p>
            <w:r/>
            <w:r>
              <w:rPr>
                <w:b w:val="0"/>
                <w:sz w:val="19"/>
              </w:rPr>
              <w:t>Auto-resolve / approval / escalation</w:t>
            </w:r>
          </w:p>
        </w:tc>
      </w:tr>
    </w:tbl>
    <w:p/>
    <w:p>
      <w:pPr>
        <w:pStyle w:val="Heading2"/>
      </w:pPr>
      <w:r>
        <w:t>Slide 6: Complaint to Incident Intelligence</w:t>
      </w:r>
    </w:p>
    <w:p>
      <w:r>
        <w:t>This is the primary differentiator. Multiple seemingly independent complaints are clustered into an emerging incident. For example, 27 delivery complaints can become one potential Chennai logistics incident. This converts support data into operational intelligence and gives leadership a reason to adopt the system.</w:t>
      </w:r>
    </w:p>
    <w:p>
      <w:pPr>
        <w:pStyle w:val="Heading2"/>
      </w:pPr>
      <w:r>
        <w:t>Slide 7: Grounded AI - RAG + Enterprise Context</w:t>
      </w:r>
    </w:p>
    <w:p>
      <w:r>
        <w:t>This slide explains how the model is grounded. The model should not invent policy, customer history or order data. Instead, it receives retrieved customer context, knowledge-base evidence and live complaint information. The resulting recommendation is therefore tied to enterprise evidence.</w:t>
      </w:r>
    </w:p>
    <w:p>
      <w:pPr>
        <w:pStyle w:val="Heading2"/>
      </w:pPr>
      <w:r>
        <w:t>Slide 8: High-Level Solution Architecture</w:t>
      </w:r>
    </w:p>
    <w:p>
      <w:r>
        <w:t>This slide shows the hackathon-ready architecture: channels enter through an ingestion layer; an API gateway, normaliser and identity matching create clean cases; agents use CRM, orders, a knowledge base/vector database and analytics; the result can be auto-resolved, reviewed by a human or escalated.</w:t>
      </w:r>
    </w:p>
    <w:p>
      <w:pPr>
        <w:pStyle w:val="Heading2"/>
      </w:pPr>
      <w:r>
        <w:t>Slide 9: End-to-End Demo Journey</w:t>
      </w:r>
    </w:p>
    <w:p>
      <w:r>
        <w:t>This is the simplest end-to-end product story for judges. One complaint enters, the AI understands it, retrieves the customer context, detects an SLA breach, finds similar complaints, proposes a resolution and escalates the related incident. The final demo message is that the system resolves the customer while also surfacing the operational problem.</w:t>
      </w:r>
    </w:p>
    <w:p>
      <w:pPr>
        <w:pStyle w:val="Heading2"/>
      </w:pPr>
      <w:r>
        <w:t>Slide 10: User Interface / Decision Workspace</w:t>
      </w:r>
    </w:p>
    <w:p>
      <w:r>
        <w:t>The UI is designed for real support agents and operations leaders, not for a chatbot-only experience. The queue shows prioritised work, the case panel shows evidence and related complaints, and the recommendation workspace gives a controlled action surface with approve/edit/escalate controls.</w:t>
      </w:r>
    </w:p>
    <w:p>
      <w:pPr>
        <w:pStyle w:val="Heading2"/>
      </w:pPr>
      <w:r>
        <w:t>Slide 11: Measuring Business Impact</w:t>
      </w:r>
    </w:p>
    <w:p>
      <w:r>
        <w:t>This slide introduces prototype targets such as lower first-response time, lower resolution time and less manual triage. These are targets to validate with representative evaluation data, not claimed production results. The north-star metric is time-to-resolution per complaint.</w:t>
      </w:r>
    </w:p>
    <w:p>
      <w:pPr>
        <w:pStyle w:val="Heading2"/>
      </w:pPr>
      <w:r>
        <w:t>Slide 12: Automation with Control</w:t>
      </w:r>
    </w:p>
    <w:p>
      <w:r>
        <w:t>The system is risk-aware. Low-risk actions may be auto-resolved, medium-risk actions require human approval, and high-risk actions are escalated. This addresses the main enterprise objection to agentic systems: uncontrolled actions.</w:t>
      </w:r>
    </w:p>
    <w:p>
      <w:pPr>
        <w:pStyle w:val="Heading2"/>
      </w:pPr>
      <w:r>
        <w:t>Slide 13: Roadmap and Implementation</w:t>
      </w:r>
    </w:p>
    <w:p>
      <w:r>
        <w:t>The roadmap starts with the minimum useful intelligence - classification, prioritisation and RAG recommendations - and then expands into multi-channel intake, low-risk automation, complaint clustering and predictive operations. The repository structure is designed around separate modules so the prototype can scale.</w:t>
      </w:r>
    </w:p>
    <w:p>
      <w:pPr>
        <w:pStyle w:val="Heading2"/>
      </w:pPr>
      <w:r>
        <w:t>Slide 14: The Business Requirement</w:t>
      </w:r>
    </w:p>
    <w:p>
      <w:r>
        <w:t>This slide explicitly sells the business case. Customer support becomes a source of operational intelligence. The business needs one complaint view, fast prioritisation, evidence-backed recommendations, controlled automation and early incident visibility. Different stakeholders receive different value: customers get faster service, support teams get less repetitive work, operations get earlier warnings, and leadership gets actionable intelligence.</w:t>
      </w:r>
    </w:p>
    <w:p>
      <w:pPr>
        <w:pStyle w:val="Heading2"/>
      </w:pPr>
      <w:r>
        <w:t>Slide 15: End-to-End ARC</w:t>
      </w:r>
    </w:p>
    <w:p>
      <w:r>
        <w:t>The ARC is the complete system lifecycle: Capture, Unify, Understand, Investigate, Reason, Resolve and Learn. The critical transition is support automation to context-aware resolution to proactive business intelligence.</w:t>
      </w:r>
    </w:p>
    <w:p>
      <w:pPr>
        <w:pStyle w:val="Heading2"/>
      </w:pPr>
      <w:r>
        <w:t>Slide 16: Tools and Technology Stack</w:t>
      </w:r>
    </w:p>
    <w:p>
      <w:r>
        <w:t>The stack is intentionally modular and realistic for a hackathon MVP: React/Tailwind for the interface, Python/FastAPI for APIs and orchestration, an LLM plus agent framework for reasoning, RAG and a vector database for grounding, PostgreSQL/MySQL plus Redis for state and performance, and Docker for packaging.</w:t>
      </w:r>
    </w:p>
    <w:p>
      <w:pPr>
        <w:pStyle w:val="Heading2"/>
      </w:pPr>
      <w:r>
        <w:t>Slide 17: System Architecture</w:t>
      </w:r>
    </w:p>
    <w:p>
      <w:r>
        <w:t>This is the most detailed architecture slide. Customer channels feed an ingestion layer, then a unified case layer and an AI orchestrator. Specialised agents call enterprise systems and the RAG layer. A supervisor enforces risk thresholds and human review. Outputs go to the customer, operations and analytics.</w:t>
      </w:r>
    </w:p>
    <w:p>
      <w:pPr>
        <w:spacing w:before="80" w:after="120"/>
        <w:ind w:left="432" w:right="432"/>
      </w:pPr>
      <w:r>
        <w:rPr>
          <w:rFonts w:ascii="Consolas" w:hAnsi="Consolas"/>
          <w:sz w:val="18"/>
        </w:rPr>
        <w:t>Channels -&gt; Ingestion -&gt; Unified Case -&gt; AI Orchestrator -&gt; Specialist Agents -&gt; Enterprise Data / RAG -&gt; Supervisor -&gt; Action &amp; Insight</w:t>
      </w:r>
    </w:p>
    <w:p>
      <w:pPr>
        <w:pStyle w:val="Heading2"/>
      </w:pPr>
      <w:r>
        <w:t>Slide 18: Thank You</w:t>
      </w:r>
    </w:p>
    <w:p>
      <w:r>
        <w:t>Closes on the same core message: Resolve the customer, discover the cause, prevent the next complaint. The presentation should end immediately after this slide or after a final question from the judges.</w:t>
      </w:r>
    </w:p>
    <w:p>
      <w:pPr>
        <w:pStyle w:val="Heading1"/>
      </w:pPr>
      <w:r>
        <w:t>6. End-to-End ARC</w:t>
      </w:r>
    </w:p>
    <w:p>
      <w:r>
        <w:t>The ARC is the canonical lifecycle of a complaint inside ResolveIQ. Every component should be traceable to one of these stages.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7365D"/>
          </w:tcPr>
          <w:p>
            <w:r/>
            <w:r>
              <w:rPr>
                <w:b/>
                <w:color w:val="FFFFFF"/>
                <w:sz w:val="20"/>
              </w:rPr>
              <w:t>ARC Stage</w:t>
            </w:r>
          </w:p>
        </w:tc>
        <w:tc>
          <w:tcPr>
            <w:tcW w:type="dxa" w:w="8352"/>
            <w:vAlign w:val="center"/>
            <w:shd w:fill="17365D"/>
          </w:tcPr>
          <w:p>
            <w:r/>
            <w:r>
              <w:rPr>
                <w:b/>
                <w:color w:val="FFFFFF"/>
                <w:sz w:val="20"/>
              </w:rPr>
              <w:t>Implementation Meaning</w:t>
            </w:r>
          </w:p>
        </w:tc>
      </w:tr>
      <w:tr>
        <w:tc>
          <w:tcPr>
            <w:tcW w:type="dxa" w:w="2016"/>
            <w:vAlign w:val="center"/>
          </w:tcPr>
          <w:p>
            <w:r/>
            <w:r>
              <w:rPr>
                <w:b w:val="0"/>
                <w:sz w:val="19"/>
              </w:rPr>
              <w:t>01 - CAPTURE</w:t>
            </w:r>
          </w:p>
        </w:tc>
        <w:tc>
          <w:tcPr>
            <w:tcW w:type="dxa" w:w="8352"/>
            <w:vAlign w:val="center"/>
          </w:tcPr>
          <w:p>
            <w:r/>
            <w:r>
              <w:rPr>
                <w:b w:val="0"/>
                <w:sz w:val="19"/>
              </w:rPr>
              <w:t>Accept the complaint from email, chat, phone transcript, feedback form or ticketing system. Convert channel-specific payloads into a common event structure.</w:t>
            </w:r>
          </w:p>
        </w:tc>
      </w:tr>
      <w:tr>
        <w:tc>
          <w:tcPr>
            <w:tcW w:type="dxa" w:w="2016"/>
            <w:vAlign w:val="center"/>
          </w:tcPr>
          <w:p>
            <w:r/>
            <w:r>
              <w:rPr>
                <w:b w:val="0"/>
                <w:sz w:val="19"/>
              </w:rPr>
              <w:t>02 - UNIFY</w:t>
            </w:r>
          </w:p>
        </w:tc>
        <w:tc>
          <w:tcPr>
            <w:tcW w:type="dxa" w:w="8352"/>
            <w:vAlign w:val="center"/>
          </w:tcPr>
          <w:p>
            <w:r/>
            <w:r>
              <w:rPr>
                <w:b w:val="0"/>
                <w:sz w:val="19"/>
              </w:rPr>
              <w:t>Resolve the customer identity, detect duplicate or related tickets, create a unified case ID and attach metadata such as source, timestamp and channel.</w:t>
            </w:r>
          </w:p>
        </w:tc>
      </w:tr>
      <w:tr>
        <w:tc>
          <w:tcPr>
            <w:tcW w:type="dxa" w:w="2016"/>
            <w:vAlign w:val="center"/>
          </w:tcPr>
          <w:p>
            <w:r/>
            <w:r>
              <w:rPr>
                <w:b w:val="0"/>
                <w:sz w:val="19"/>
              </w:rPr>
              <w:t>03 - UNDERSTAND</w:t>
            </w:r>
          </w:p>
        </w:tc>
        <w:tc>
          <w:tcPr>
            <w:tcW w:type="dxa" w:w="8352"/>
            <w:vAlign w:val="center"/>
          </w:tcPr>
          <w:p>
            <w:r/>
            <w:r>
              <w:rPr>
                <w:b w:val="0"/>
                <w:sz w:val="19"/>
              </w:rPr>
              <w:t>Extract intent, complaint category, sentiment, urgency, entities and initial severity. Calculate or retrieve SLA information.</w:t>
            </w:r>
          </w:p>
        </w:tc>
      </w:tr>
      <w:tr>
        <w:tc>
          <w:tcPr>
            <w:tcW w:type="dxa" w:w="2016"/>
            <w:vAlign w:val="center"/>
          </w:tcPr>
          <w:p>
            <w:r/>
            <w:r>
              <w:rPr>
                <w:b w:val="0"/>
                <w:sz w:val="19"/>
              </w:rPr>
              <w:t>04 - INVESTIGATE</w:t>
            </w:r>
          </w:p>
        </w:tc>
        <w:tc>
          <w:tcPr>
            <w:tcW w:type="dxa" w:w="8352"/>
            <w:vAlign w:val="center"/>
          </w:tcPr>
          <w:p>
            <w:r/>
            <w:r>
              <w:rPr>
                <w:b w:val="0"/>
                <w:sz w:val="19"/>
              </w:rPr>
              <w:t>Retrieve customer/order/history data, search for similar complaints and determine whether the case is part of a larger incident.</w:t>
            </w:r>
          </w:p>
        </w:tc>
      </w:tr>
      <w:tr>
        <w:tc>
          <w:tcPr>
            <w:tcW w:type="dxa" w:w="2016"/>
            <w:vAlign w:val="center"/>
          </w:tcPr>
          <w:p>
            <w:r/>
            <w:r>
              <w:rPr>
                <w:b w:val="0"/>
                <w:sz w:val="19"/>
              </w:rPr>
              <w:t>05 - REASON</w:t>
            </w:r>
          </w:p>
        </w:tc>
        <w:tc>
          <w:tcPr>
            <w:tcW w:type="dxa" w:w="8352"/>
            <w:vAlign w:val="center"/>
          </w:tcPr>
          <w:p>
            <w:r/>
            <w:r>
              <w:rPr>
                <w:b w:val="0"/>
                <w:sz w:val="19"/>
              </w:rPr>
              <w:t>Retrieve the relevant business policy and constraints. Combine policy evidence, case facts and prior outcomes to produce a grounded recommendation.</w:t>
            </w:r>
          </w:p>
        </w:tc>
      </w:tr>
      <w:tr>
        <w:tc>
          <w:tcPr>
            <w:tcW w:type="dxa" w:w="2016"/>
            <w:vAlign w:val="center"/>
          </w:tcPr>
          <w:p>
            <w:r/>
            <w:r>
              <w:rPr>
                <w:b w:val="0"/>
                <w:sz w:val="19"/>
              </w:rPr>
              <w:t>06 - RESOLVE</w:t>
            </w:r>
          </w:p>
        </w:tc>
        <w:tc>
          <w:tcPr>
            <w:tcW w:type="dxa" w:w="8352"/>
            <w:vAlign w:val="center"/>
          </w:tcPr>
          <w:p>
            <w:r/>
            <w:r>
              <w:rPr>
                <w:b w:val="0"/>
                <w:sz w:val="19"/>
              </w:rPr>
              <w:t>Generate a resolution action and customer-facing response. Depending on risk, the supervisor may auto-execute, request approval or escalate.</w:t>
            </w:r>
          </w:p>
        </w:tc>
      </w:tr>
      <w:tr>
        <w:tc>
          <w:tcPr>
            <w:tcW w:type="dxa" w:w="2016"/>
            <w:vAlign w:val="center"/>
          </w:tcPr>
          <w:p>
            <w:r/>
            <w:r>
              <w:rPr>
                <w:b w:val="0"/>
                <w:sz w:val="19"/>
              </w:rPr>
              <w:t>07 - LEARN</w:t>
            </w:r>
          </w:p>
        </w:tc>
        <w:tc>
          <w:tcPr>
            <w:tcW w:type="dxa" w:w="8352"/>
            <w:vAlign w:val="center"/>
          </w:tcPr>
          <w:p>
            <w:r/>
            <w:r>
              <w:rPr>
                <w:b w:val="0"/>
                <w:sz w:val="19"/>
              </w:rPr>
              <w:t>Record the outcome, update analytics, cluster similar cases and surface incident signals. This closes the loop and creates organisational learning.</w:t>
            </w:r>
          </w:p>
        </w:tc>
      </w:tr>
    </w:tbl>
    <w:p/>
    <w:p>
      <w:pPr>
        <w:pStyle w:val="Heading1"/>
      </w:pPr>
      <w:r>
        <w:t>7. Functional Modules and Implementation</w:t>
      </w:r>
    </w:p>
    <w:p>
      <w:pPr>
        <w:pStyle w:val="Heading2"/>
      </w:pPr>
      <w:r>
        <w:t>7.1 Channel Adapters</w:t>
      </w:r>
    </w:p>
    <w:p>
      <w:r>
        <w:t>Implement small adapters for each complaint source. For the MVP, use mock REST endpoints and sample payloads. Normalize all sources into the same ComplaintEvent schema. Later replace adapters with Gmail/CRM/ticketing/webhook integrations.</w:t>
      </w:r>
    </w:p>
    <w:p>
      <w:r>
        <w:rPr>
          <w:b/>
        </w:rPr>
        <w:t xml:space="preserve">Suggested implementation: </w:t>
      </w:r>
      <w:r>
        <w:t>Python/FastAPI; mock APIs; webhook handlers</w:t>
      </w:r>
    </w:p>
    <w:p>
      <w:pPr>
        <w:pStyle w:val="Heading2"/>
      </w:pPr>
      <w:r>
        <w:t>7.2 Ingestion Layer</w:t>
      </w:r>
    </w:p>
    <w:p>
      <w:r>
        <w:t>Validate payloads, assign event IDs, timestamp the event, store raw payloads, run basic sanitisation and publish a processing event. Keep raw and normalized representations for traceability.</w:t>
      </w:r>
    </w:p>
    <w:p>
      <w:r>
        <w:rPr>
          <w:b/>
        </w:rPr>
        <w:t xml:space="preserve">Suggested implementation: </w:t>
      </w:r>
      <w:r>
        <w:t>FastAPI; Pydantic; PostgreSQL; Redis queue</w:t>
      </w:r>
    </w:p>
    <w:p>
      <w:pPr>
        <w:pStyle w:val="Heading2"/>
      </w:pPr>
      <w:r>
        <w:t>7.3 Identity Matching</w:t>
      </w:r>
    </w:p>
    <w:p>
      <w:r>
        <w:t>Map the incoming complaint to a known customer using email/phone/order number or probabilistic matching. Record confidence and never overwrite strong identity evidence with a weak match.</w:t>
      </w:r>
    </w:p>
    <w:p>
      <w:r>
        <w:rPr>
          <w:b/>
        </w:rPr>
        <w:t xml:space="preserve">Suggested implementation: </w:t>
      </w:r>
      <w:r>
        <w:t>PostgreSQL; deterministic rules first, embeddings/LLM only for ambiguous text</w:t>
      </w:r>
    </w:p>
    <w:p>
      <w:pPr>
        <w:pStyle w:val="Heading2"/>
      </w:pPr>
      <w:r>
        <w:t>7.4 Unified Case Service</w:t>
      </w:r>
    </w:p>
    <w:p>
      <w:r>
        <w:t>Create or update the canonical case. Merge duplicates while preserving source-message lineage. Store status, severity, SLA state, assignment, linked incidents and decision history.</w:t>
      </w:r>
    </w:p>
    <w:p>
      <w:r>
        <w:rPr>
          <w:b/>
        </w:rPr>
        <w:t xml:space="preserve">Suggested implementation: </w:t>
      </w:r>
      <w:r>
        <w:t>PostgreSQL; REST API</w:t>
      </w:r>
    </w:p>
    <w:p>
      <w:pPr>
        <w:pStyle w:val="Heading2"/>
      </w:pPr>
      <w:r>
        <w:t>7.5 Case Intelligence Agent</w:t>
      </w:r>
    </w:p>
    <w:p>
      <w:r>
        <w:t>Run structured extraction: category, intent, sentiment, entities, urgency and severity features. Return strict JSON matching a schema.</w:t>
      </w:r>
    </w:p>
    <w:p>
      <w:r>
        <w:rPr>
          <w:b/>
        </w:rPr>
        <w:t xml:space="preserve">Suggested implementation: </w:t>
      </w:r>
      <w:r>
        <w:t>LLM with structured output; prompt templates; validation layer</w:t>
      </w:r>
    </w:p>
    <w:p>
      <w:pPr>
        <w:pStyle w:val="Heading2"/>
      </w:pPr>
      <w:r>
        <w:t>7.6 Customer Context Agent</w:t>
      </w:r>
    </w:p>
    <w:p>
      <w:r>
        <w:t>Call customer/CRM and order tools. Return only the information needed for the decision, such as order status, prior tickets, loyalty/value indicators and previous resolutions.</w:t>
      </w:r>
    </w:p>
    <w:p>
      <w:r>
        <w:rPr>
          <w:b/>
        </w:rPr>
        <w:t xml:space="preserve">Suggested implementation: </w:t>
      </w:r>
      <w:r>
        <w:t>Tool calling; REST adapters; PostgreSQL/mock CRM</w:t>
      </w:r>
    </w:p>
    <w:p>
      <w:pPr>
        <w:pStyle w:val="Heading2"/>
      </w:pPr>
      <w:r>
        <w:t>7.7 Investigation Agent</w:t>
      </w:r>
    </w:p>
    <w:p>
      <w:r>
        <w:t>Embed the complaint, search for similar cases, retrieve active incidents, and calculate similarity. If a cluster crosses thresholds, create an incident candidate.</w:t>
      </w:r>
    </w:p>
    <w:p>
      <w:r>
        <w:rPr>
          <w:b/>
        </w:rPr>
        <w:t xml:space="preserve">Suggested implementation: </w:t>
      </w:r>
      <w:r>
        <w:t>Embeddings; Vector DB; SQL analytics; clustering</w:t>
      </w:r>
    </w:p>
    <w:p>
      <w:pPr>
        <w:pStyle w:val="Heading2"/>
      </w:pPr>
      <w:r>
        <w:t>7.8 Policy Agent</w:t>
      </w:r>
    </w:p>
    <w:p>
      <w:r>
        <w:t>Retrieve relevant policies using semantic search and metadata filters. Return policy passages, effective version/date and the constraints that matter.</w:t>
      </w:r>
    </w:p>
    <w:p>
      <w:r>
        <w:rPr>
          <w:b/>
        </w:rPr>
        <w:t xml:space="preserve">Suggested implementation: </w:t>
      </w:r>
      <w:r>
        <w:t>RAG; vector DB; document ingestion; metadata filtering</w:t>
      </w:r>
    </w:p>
    <w:p>
      <w:pPr>
        <w:pStyle w:val="Heading2"/>
      </w:pPr>
      <w:r>
        <w:t>7.9 Resolution Agent</w:t>
      </w:r>
    </w:p>
    <w:p>
      <w:r>
        <w:t>Combine the structured complaint, customer context, investigation evidence and policy evidence. Produce a recommended action, rationale, customer response, confidence and required permissions.</w:t>
      </w:r>
    </w:p>
    <w:p>
      <w:r>
        <w:rPr>
          <w:b/>
        </w:rPr>
        <w:t xml:space="preserve">Suggested implementation: </w:t>
      </w:r>
      <w:r>
        <w:t>LLM; tool calling; JSON schema</w:t>
      </w:r>
    </w:p>
    <w:p>
      <w:pPr>
        <w:pStyle w:val="Heading2"/>
      </w:pPr>
      <w:r>
        <w:t>7.10 Supervisor Agent</w:t>
      </w:r>
    </w:p>
    <w:p>
      <w:r>
        <w:t>Apply risk thresholds and business rules. Validate whether the resolution is allowed. Route to auto-action, human approval or escalation.</w:t>
      </w:r>
    </w:p>
    <w:p>
      <w:r>
        <w:rPr>
          <w:b/>
        </w:rPr>
        <w:t xml:space="preserve">Suggested implementation: </w:t>
      </w:r>
      <w:r>
        <w:t>Rules engine + LLM judgement where needed; audit log</w:t>
      </w:r>
    </w:p>
    <w:p>
      <w:pPr>
        <w:pStyle w:val="Heading2"/>
      </w:pPr>
      <w:r>
        <w:t>7.11 Action Executor</w:t>
      </w:r>
    </w:p>
    <w:p>
      <w:r>
        <w:t>Perform approved actions such as creating/updating tickets, issuing low-risk refunds in the mock environment, sending response drafts and raising operational incidents.</w:t>
      </w:r>
    </w:p>
    <w:p>
      <w:r>
        <w:rPr>
          <w:b/>
        </w:rPr>
        <w:t xml:space="preserve">Suggested implementation: </w:t>
      </w:r>
      <w:r>
        <w:t>REST APIs; tool adapters; idempotency keys</w:t>
      </w:r>
    </w:p>
    <w:p>
      <w:pPr>
        <w:pStyle w:val="Heading2"/>
      </w:pPr>
      <w:r>
        <w:t>7.12 Incident Intelligence</w:t>
      </w:r>
    </w:p>
    <w:p>
      <w:r>
        <w:t>Aggregate related complaints over time, region, product, category or issue. Rank cluster strength and surface probable root causes with evidence.</w:t>
      </w:r>
    </w:p>
    <w:p>
      <w:r>
        <w:rPr>
          <w:b/>
        </w:rPr>
        <w:t xml:space="preserve">Suggested implementation: </w:t>
      </w:r>
      <w:r>
        <w:t>SQL + vector similarity + clustering + trend analytics</w:t>
      </w:r>
    </w:p>
    <w:p>
      <w:pPr>
        <w:pStyle w:val="Heading2"/>
      </w:pPr>
      <w:r>
        <w:t>7.13 Analytics and Audit</w:t>
      </w:r>
    </w:p>
    <w:p>
      <w:r>
        <w:t>Store decisions, evidence references, model outputs, human overrides and final outcomes. Expose metrics to the dashboard.</w:t>
      </w:r>
    </w:p>
    <w:p>
      <w:r>
        <w:rPr>
          <w:b/>
        </w:rPr>
        <w:t xml:space="preserve">Suggested implementation: </w:t>
      </w:r>
      <w:r>
        <w:t>PostgreSQL; event logs; dashboard APIs</w:t>
      </w:r>
    </w:p>
    <w:p>
      <w:pPr>
        <w:pStyle w:val="Heading2"/>
      </w:pPr>
      <w:r>
        <w:t>7.14 Frontend Decision Workspace</w:t>
      </w:r>
    </w:p>
    <w:p>
      <w:r>
        <w:t>Build queue, case view, evidence view, recommended action panel, approval controls and incident dashboard. Focus on decision support, not chat.</w:t>
      </w:r>
    </w:p>
    <w:p>
      <w:r>
        <w:rPr>
          <w:b/>
        </w:rPr>
        <w:t xml:space="preserve">Suggested implementation: </w:t>
      </w:r>
      <w:r>
        <w:t>React; Tailwind; charts; REST client</w:t>
      </w:r>
    </w:p>
    <w:p>
      <w:pPr>
        <w:pStyle w:val="Heading1"/>
      </w:pPr>
      <w:r>
        <w:t>8. Data Model and Storage Design</w:t>
      </w:r>
    </w:p>
    <w:p>
      <w:r>
        <w:t>The system should separate transactional data, unstructured knowledge and fast retrieval. The exact production schema can evolve, but the MVP should have a clear canonical case model.</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7365D"/>
          </w:tcPr>
          <w:p>
            <w:r/>
            <w:r>
              <w:rPr>
                <w:b/>
                <w:color w:val="FFFFFF"/>
                <w:sz w:val="20"/>
              </w:rPr>
              <w:t>Entity</w:t>
            </w:r>
          </w:p>
        </w:tc>
        <w:tc>
          <w:tcPr>
            <w:tcW w:type="dxa" w:w="4320"/>
            <w:vAlign w:val="center"/>
            <w:shd w:fill="17365D"/>
          </w:tcPr>
          <w:p>
            <w:r/>
            <w:r>
              <w:rPr>
                <w:b/>
                <w:color w:val="FFFFFF"/>
                <w:sz w:val="20"/>
              </w:rPr>
              <w:t>Key fields</w:t>
            </w:r>
          </w:p>
        </w:tc>
        <w:tc>
          <w:tcPr>
            <w:tcW w:type="dxa" w:w="4320"/>
            <w:vAlign w:val="center"/>
            <w:shd w:fill="17365D"/>
          </w:tcPr>
          <w:p>
            <w:r/>
            <w:r>
              <w:rPr>
                <w:b/>
                <w:color w:val="FFFFFF"/>
                <w:sz w:val="20"/>
              </w:rPr>
              <w:t>Purpose</w:t>
            </w:r>
          </w:p>
        </w:tc>
      </w:tr>
      <w:tr>
        <w:tc>
          <w:tcPr>
            <w:tcW w:type="dxa" w:w="2016"/>
            <w:vAlign w:val="center"/>
          </w:tcPr>
          <w:p>
            <w:r/>
            <w:r>
              <w:rPr>
                <w:b w:val="0"/>
                <w:sz w:val="19"/>
              </w:rPr>
              <w:t>Customer</w:t>
            </w:r>
          </w:p>
        </w:tc>
        <w:tc>
          <w:tcPr>
            <w:tcW w:type="dxa" w:w="4320"/>
            <w:vAlign w:val="center"/>
          </w:tcPr>
          <w:p>
            <w:r/>
            <w:r>
              <w:rPr>
                <w:b w:val="0"/>
                <w:sz w:val="19"/>
              </w:rPr>
              <w:t>customer_id, email, phone, segment, value_score</w:t>
            </w:r>
          </w:p>
        </w:tc>
        <w:tc>
          <w:tcPr>
            <w:tcW w:type="dxa" w:w="4320"/>
            <w:vAlign w:val="center"/>
          </w:tcPr>
          <w:p>
            <w:r/>
            <w:r>
              <w:rPr>
                <w:b w:val="0"/>
                <w:sz w:val="19"/>
              </w:rPr>
              <w:t>Identity and customer context</w:t>
            </w:r>
          </w:p>
        </w:tc>
      </w:tr>
      <w:tr>
        <w:tc>
          <w:tcPr>
            <w:tcW w:type="dxa" w:w="2016"/>
            <w:vAlign w:val="center"/>
          </w:tcPr>
          <w:p>
            <w:r/>
            <w:r>
              <w:rPr>
                <w:b w:val="0"/>
                <w:sz w:val="19"/>
              </w:rPr>
              <w:t>ComplaintMessage</w:t>
            </w:r>
          </w:p>
        </w:tc>
        <w:tc>
          <w:tcPr>
            <w:tcW w:type="dxa" w:w="4320"/>
            <w:vAlign w:val="center"/>
          </w:tcPr>
          <w:p>
            <w:r/>
            <w:r>
              <w:rPr>
                <w:b w:val="0"/>
                <w:sz w:val="19"/>
              </w:rPr>
              <w:t>message_id, source, text, timestamp, attachments</w:t>
            </w:r>
          </w:p>
        </w:tc>
        <w:tc>
          <w:tcPr>
            <w:tcW w:type="dxa" w:w="4320"/>
            <w:vAlign w:val="center"/>
          </w:tcPr>
          <w:p>
            <w:r/>
            <w:r>
              <w:rPr>
                <w:b w:val="0"/>
                <w:sz w:val="19"/>
              </w:rPr>
              <w:t>Raw channel event</w:t>
            </w:r>
          </w:p>
        </w:tc>
      </w:tr>
      <w:tr>
        <w:tc>
          <w:tcPr>
            <w:tcW w:type="dxa" w:w="2016"/>
            <w:vAlign w:val="center"/>
          </w:tcPr>
          <w:p>
            <w:r/>
            <w:r>
              <w:rPr>
                <w:b w:val="0"/>
                <w:sz w:val="19"/>
              </w:rPr>
              <w:t>Case</w:t>
            </w:r>
          </w:p>
        </w:tc>
        <w:tc>
          <w:tcPr>
            <w:tcW w:type="dxa" w:w="4320"/>
            <w:vAlign w:val="center"/>
          </w:tcPr>
          <w:p>
            <w:r/>
            <w:r>
              <w:rPr>
                <w:b w:val="0"/>
                <w:sz w:val="19"/>
              </w:rPr>
              <w:t>case_id, customer_id, category, severity, SLA, status, created_at</w:t>
            </w:r>
          </w:p>
        </w:tc>
        <w:tc>
          <w:tcPr>
            <w:tcW w:type="dxa" w:w="4320"/>
            <w:vAlign w:val="center"/>
          </w:tcPr>
          <w:p>
            <w:r/>
            <w:r>
              <w:rPr>
                <w:b w:val="0"/>
                <w:sz w:val="19"/>
              </w:rPr>
              <w:t>Canonical complaint case</w:t>
            </w:r>
          </w:p>
        </w:tc>
      </w:tr>
      <w:tr>
        <w:tc>
          <w:tcPr>
            <w:tcW w:type="dxa" w:w="2016"/>
            <w:vAlign w:val="center"/>
          </w:tcPr>
          <w:p>
            <w:r/>
            <w:r>
              <w:rPr>
                <w:b w:val="0"/>
                <w:sz w:val="19"/>
              </w:rPr>
              <w:t>CaseLink</w:t>
            </w:r>
          </w:p>
        </w:tc>
        <w:tc>
          <w:tcPr>
            <w:tcW w:type="dxa" w:w="4320"/>
            <w:vAlign w:val="center"/>
          </w:tcPr>
          <w:p>
            <w:r/>
            <w:r>
              <w:rPr>
                <w:b w:val="0"/>
                <w:sz w:val="19"/>
              </w:rPr>
              <w:t>case_id, related_case_id, relation_type, similarity</w:t>
            </w:r>
          </w:p>
        </w:tc>
        <w:tc>
          <w:tcPr>
            <w:tcW w:type="dxa" w:w="4320"/>
            <w:vAlign w:val="center"/>
          </w:tcPr>
          <w:p>
            <w:r/>
            <w:r>
              <w:rPr>
                <w:b w:val="0"/>
                <w:sz w:val="19"/>
              </w:rPr>
              <w:t>Duplicate/related relationships</w:t>
            </w:r>
          </w:p>
        </w:tc>
      </w:tr>
      <w:tr>
        <w:tc>
          <w:tcPr>
            <w:tcW w:type="dxa" w:w="2016"/>
            <w:vAlign w:val="center"/>
          </w:tcPr>
          <w:p>
            <w:r/>
            <w:r>
              <w:rPr>
                <w:b w:val="0"/>
                <w:sz w:val="19"/>
              </w:rPr>
              <w:t>PolicyDocument</w:t>
            </w:r>
          </w:p>
        </w:tc>
        <w:tc>
          <w:tcPr>
            <w:tcW w:type="dxa" w:w="4320"/>
            <w:vAlign w:val="center"/>
          </w:tcPr>
          <w:p>
            <w:r/>
            <w:r>
              <w:rPr>
                <w:b w:val="0"/>
                <w:sz w:val="19"/>
              </w:rPr>
              <w:t>policy_id, version, effective_date, text, metadata</w:t>
            </w:r>
          </w:p>
        </w:tc>
        <w:tc>
          <w:tcPr>
            <w:tcW w:type="dxa" w:w="4320"/>
            <w:vAlign w:val="center"/>
          </w:tcPr>
          <w:p>
            <w:r/>
            <w:r>
              <w:rPr>
                <w:b w:val="0"/>
                <w:sz w:val="19"/>
              </w:rPr>
              <w:t>Grounding source</w:t>
            </w:r>
          </w:p>
        </w:tc>
      </w:tr>
      <w:tr>
        <w:tc>
          <w:tcPr>
            <w:tcW w:type="dxa" w:w="2016"/>
            <w:vAlign w:val="center"/>
          </w:tcPr>
          <w:p>
            <w:r/>
            <w:r>
              <w:rPr>
                <w:b w:val="0"/>
                <w:sz w:val="19"/>
              </w:rPr>
              <w:t>Resolution</w:t>
            </w:r>
          </w:p>
        </w:tc>
        <w:tc>
          <w:tcPr>
            <w:tcW w:type="dxa" w:w="4320"/>
            <w:vAlign w:val="center"/>
          </w:tcPr>
          <w:p>
            <w:r/>
            <w:r>
              <w:rPr>
                <w:b w:val="0"/>
                <w:sz w:val="19"/>
              </w:rPr>
              <w:t>resolution_id, case_id, action, rationale, confidence, status</w:t>
            </w:r>
          </w:p>
        </w:tc>
        <w:tc>
          <w:tcPr>
            <w:tcW w:type="dxa" w:w="4320"/>
            <w:vAlign w:val="center"/>
          </w:tcPr>
          <w:p>
            <w:r/>
            <w:r>
              <w:rPr>
                <w:b w:val="0"/>
                <w:sz w:val="19"/>
              </w:rPr>
              <w:t>Recommendation and outcome</w:t>
            </w:r>
          </w:p>
        </w:tc>
      </w:tr>
      <w:tr>
        <w:tc>
          <w:tcPr>
            <w:tcW w:type="dxa" w:w="2016"/>
            <w:vAlign w:val="center"/>
          </w:tcPr>
          <w:p>
            <w:r/>
            <w:r>
              <w:rPr>
                <w:b w:val="0"/>
                <w:sz w:val="19"/>
              </w:rPr>
              <w:t>Incident</w:t>
            </w:r>
          </w:p>
        </w:tc>
        <w:tc>
          <w:tcPr>
            <w:tcW w:type="dxa" w:w="4320"/>
            <w:vAlign w:val="center"/>
          </w:tcPr>
          <w:p>
            <w:r/>
            <w:r>
              <w:rPr>
                <w:b w:val="0"/>
                <w:sz w:val="19"/>
              </w:rPr>
              <w:t>incident_id, theme, cluster_score, status, owner, evidence</w:t>
            </w:r>
          </w:p>
        </w:tc>
        <w:tc>
          <w:tcPr>
            <w:tcW w:type="dxa" w:w="4320"/>
            <w:vAlign w:val="center"/>
          </w:tcPr>
          <w:p>
            <w:r/>
            <w:r>
              <w:rPr>
                <w:b w:val="0"/>
                <w:sz w:val="19"/>
              </w:rPr>
              <w:t>Operational issue grouping</w:t>
            </w:r>
          </w:p>
        </w:tc>
      </w:tr>
      <w:tr>
        <w:tc>
          <w:tcPr>
            <w:tcW w:type="dxa" w:w="2016"/>
            <w:vAlign w:val="center"/>
          </w:tcPr>
          <w:p>
            <w:r/>
            <w:r>
              <w:rPr>
                <w:b w:val="0"/>
                <w:sz w:val="19"/>
              </w:rPr>
              <w:t>AuditEvent</w:t>
            </w:r>
          </w:p>
        </w:tc>
        <w:tc>
          <w:tcPr>
            <w:tcW w:type="dxa" w:w="4320"/>
            <w:vAlign w:val="center"/>
          </w:tcPr>
          <w:p>
            <w:r/>
            <w:r>
              <w:rPr>
                <w:b w:val="0"/>
                <w:sz w:val="19"/>
              </w:rPr>
              <w:t>event_id, case_id, agent, action, source_refs, timestamp</w:t>
            </w:r>
          </w:p>
        </w:tc>
        <w:tc>
          <w:tcPr>
            <w:tcW w:type="dxa" w:w="4320"/>
            <w:vAlign w:val="center"/>
          </w:tcPr>
          <w:p>
            <w:r/>
            <w:r>
              <w:rPr>
                <w:b w:val="0"/>
                <w:sz w:val="19"/>
              </w:rPr>
              <w:t>Traceability and governance</w:t>
            </w:r>
          </w:p>
        </w:tc>
      </w:tr>
    </w:tbl>
    <w:p/>
    <w:p>
      <w:r>
        <w:t>Recommended storage pattern: PostgreSQL for structured entities and state; a vector database for semantic retrieval of complaint embeddings and policy chunks; Redis for short-lived state, queueing and caching; object storage if large attachments or audio files are introduced.</w:t>
      </w:r>
    </w:p>
    <w:p>
      <w:pPr>
        <w:pStyle w:val="Heading1"/>
      </w:pPr>
      <w:r>
        <w:t>9. Agent Design and Tool Contracts</w:t>
      </w:r>
    </w:p>
    <w:p>
      <w:r>
        <w:t>The agents should not be free-form autonomous scripts. Each should have a defined responsibility, input schema, output schema and tool permissions. This is the best way to keep the hackathon prototype explainable and testable.</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7365D"/>
          </w:tcPr>
          <w:p>
            <w:r/>
            <w:r>
              <w:rPr>
                <w:b/>
                <w:color w:val="FFFFFF"/>
                <w:sz w:val="20"/>
              </w:rPr>
              <w:t>Agent</w:t>
            </w:r>
          </w:p>
        </w:tc>
        <w:tc>
          <w:tcPr>
            <w:tcW w:type="dxa" w:w="4032"/>
            <w:vAlign w:val="center"/>
            <w:shd w:fill="17365D"/>
          </w:tcPr>
          <w:p>
            <w:r/>
            <w:r>
              <w:rPr>
                <w:b/>
                <w:color w:val="FFFFFF"/>
                <w:sz w:val="20"/>
              </w:rPr>
              <w:t>Tools it may call</w:t>
            </w:r>
          </w:p>
        </w:tc>
        <w:tc>
          <w:tcPr>
            <w:tcW w:type="dxa" w:w="4464"/>
            <w:vAlign w:val="center"/>
            <w:shd w:fill="17365D"/>
          </w:tcPr>
          <w:p>
            <w:r/>
            <w:r>
              <w:rPr>
                <w:b/>
                <w:color w:val="FFFFFF"/>
                <w:sz w:val="20"/>
              </w:rPr>
              <w:t>Output contract</w:t>
            </w:r>
          </w:p>
        </w:tc>
      </w:tr>
      <w:tr>
        <w:tc>
          <w:tcPr>
            <w:tcW w:type="dxa" w:w="2160"/>
            <w:vAlign w:val="center"/>
          </w:tcPr>
          <w:p>
            <w:r/>
            <w:r>
              <w:rPr>
                <w:b w:val="0"/>
                <w:sz w:val="19"/>
              </w:rPr>
              <w:t>Intake</w:t>
            </w:r>
          </w:p>
        </w:tc>
        <w:tc>
          <w:tcPr>
            <w:tcW w:type="dxa" w:w="4032"/>
            <w:vAlign w:val="center"/>
          </w:tcPr>
          <w:p>
            <w:r/>
            <w:r>
              <w:rPr>
                <w:b w:val="0"/>
                <w:sz w:val="19"/>
              </w:rPr>
              <w:t>Normalizer, attachment parser</w:t>
            </w:r>
          </w:p>
        </w:tc>
        <w:tc>
          <w:tcPr>
            <w:tcW w:type="dxa" w:w="4464"/>
            <w:vAlign w:val="center"/>
          </w:tcPr>
          <w:p>
            <w:r/>
            <w:r>
              <w:rPr>
                <w:b w:val="0"/>
                <w:sz w:val="19"/>
              </w:rPr>
              <w:t>Normalized complaint event</w:t>
            </w:r>
          </w:p>
        </w:tc>
      </w:tr>
      <w:tr>
        <w:tc>
          <w:tcPr>
            <w:tcW w:type="dxa" w:w="2160"/>
            <w:vAlign w:val="center"/>
          </w:tcPr>
          <w:p>
            <w:r/>
            <w:r>
              <w:rPr>
                <w:b w:val="0"/>
                <w:sz w:val="19"/>
              </w:rPr>
              <w:t>Case Intelligence</w:t>
            </w:r>
          </w:p>
        </w:tc>
        <w:tc>
          <w:tcPr>
            <w:tcW w:type="dxa" w:w="4032"/>
            <w:vAlign w:val="center"/>
          </w:tcPr>
          <w:p>
            <w:r/>
            <w:r>
              <w:rPr>
                <w:b w:val="0"/>
                <w:sz w:val="19"/>
              </w:rPr>
              <w:t>Case store, classifier prompt</w:t>
            </w:r>
          </w:p>
        </w:tc>
        <w:tc>
          <w:tcPr>
            <w:tcW w:type="dxa" w:w="4464"/>
            <w:vAlign w:val="center"/>
          </w:tcPr>
          <w:p>
            <w:r/>
            <w:r>
              <w:rPr>
                <w:b w:val="0"/>
                <w:sz w:val="19"/>
              </w:rPr>
              <w:t>Category, intent, sentiment, entities, severity factors</w:t>
            </w:r>
          </w:p>
        </w:tc>
      </w:tr>
      <w:tr>
        <w:tc>
          <w:tcPr>
            <w:tcW w:type="dxa" w:w="2160"/>
            <w:vAlign w:val="center"/>
          </w:tcPr>
          <w:p>
            <w:r/>
            <w:r>
              <w:rPr>
                <w:b w:val="0"/>
                <w:sz w:val="19"/>
              </w:rPr>
              <w:t>Customer Context</w:t>
            </w:r>
          </w:p>
        </w:tc>
        <w:tc>
          <w:tcPr>
            <w:tcW w:type="dxa" w:w="4032"/>
            <w:vAlign w:val="center"/>
          </w:tcPr>
          <w:p>
            <w:r/>
            <w:r>
              <w:rPr>
                <w:b w:val="0"/>
                <w:sz w:val="19"/>
              </w:rPr>
              <w:t>CRM lookup, order lookup, ticket history</w:t>
            </w:r>
          </w:p>
        </w:tc>
        <w:tc>
          <w:tcPr>
            <w:tcW w:type="dxa" w:w="4464"/>
            <w:vAlign w:val="center"/>
          </w:tcPr>
          <w:p>
            <w:r/>
            <w:r>
              <w:rPr>
                <w:b w:val="0"/>
                <w:sz w:val="19"/>
              </w:rPr>
              <w:t>Customer context object</w:t>
            </w:r>
          </w:p>
        </w:tc>
      </w:tr>
      <w:tr>
        <w:tc>
          <w:tcPr>
            <w:tcW w:type="dxa" w:w="2160"/>
            <w:vAlign w:val="center"/>
          </w:tcPr>
          <w:p>
            <w:r/>
            <w:r>
              <w:rPr>
                <w:b w:val="0"/>
                <w:sz w:val="19"/>
              </w:rPr>
              <w:t>Investigation</w:t>
            </w:r>
          </w:p>
        </w:tc>
        <w:tc>
          <w:tcPr>
            <w:tcW w:type="dxa" w:w="4032"/>
            <w:vAlign w:val="center"/>
          </w:tcPr>
          <w:p>
            <w:r/>
            <w:r>
              <w:rPr>
                <w:b w:val="0"/>
                <w:sz w:val="19"/>
              </w:rPr>
              <w:t>Vector search, SQL search, incident search</w:t>
            </w:r>
          </w:p>
        </w:tc>
        <w:tc>
          <w:tcPr>
            <w:tcW w:type="dxa" w:w="4464"/>
            <w:vAlign w:val="center"/>
          </w:tcPr>
          <w:p>
            <w:r/>
            <w:r>
              <w:rPr>
                <w:b w:val="0"/>
                <w:sz w:val="19"/>
              </w:rPr>
              <w:t>Related cases + incident candidate</w:t>
            </w:r>
          </w:p>
        </w:tc>
      </w:tr>
      <w:tr>
        <w:tc>
          <w:tcPr>
            <w:tcW w:type="dxa" w:w="2160"/>
            <w:vAlign w:val="center"/>
          </w:tcPr>
          <w:p>
            <w:r/>
            <w:r>
              <w:rPr>
                <w:b w:val="0"/>
                <w:sz w:val="19"/>
              </w:rPr>
              <w:t>Policy</w:t>
            </w:r>
          </w:p>
        </w:tc>
        <w:tc>
          <w:tcPr>
            <w:tcW w:type="dxa" w:w="4032"/>
            <w:vAlign w:val="center"/>
          </w:tcPr>
          <w:p>
            <w:r/>
            <w:r>
              <w:rPr>
                <w:b w:val="0"/>
                <w:sz w:val="19"/>
              </w:rPr>
              <w:t>Policy retriever</w:t>
            </w:r>
          </w:p>
        </w:tc>
        <w:tc>
          <w:tcPr>
            <w:tcW w:type="dxa" w:w="4464"/>
            <w:vAlign w:val="center"/>
          </w:tcPr>
          <w:p>
            <w:r/>
            <w:r>
              <w:rPr>
                <w:b w:val="0"/>
                <w:sz w:val="19"/>
              </w:rPr>
              <w:t>Policy evidence + constraints</w:t>
            </w:r>
          </w:p>
        </w:tc>
      </w:tr>
      <w:tr>
        <w:tc>
          <w:tcPr>
            <w:tcW w:type="dxa" w:w="2160"/>
            <w:vAlign w:val="center"/>
          </w:tcPr>
          <w:p>
            <w:r/>
            <w:r>
              <w:rPr>
                <w:b w:val="0"/>
                <w:sz w:val="19"/>
              </w:rPr>
              <w:t>Resolution</w:t>
            </w:r>
          </w:p>
        </w:tc>
        <w:tc>
          <w:tcPr>
            <w:tcW w:type="dxa" w:w="4032"/>
            <w:vAlign w:val="center"/>
          </w:tcPr>
          <w:p>
            <w:r/>
            <w:r>
              <w:rPr>
                <w:b w:val="0"/>
                <w:sz w:val="19"/>
              </w:rPr>
              <w:t>All read tools + action simulation</w:t>
            </w:r>
          </w:p>
        </w:tc>
        <w:tc>
          <w:tcPr>
            <w:tcW w:type="dxa" w:w="4464"/>
            <w:vAlign w:val="center"/>
          </w:tcPr>
          <w:p>
            <w:r/>
            <w:r>
              <w:rPr>
                <w:b w:val="0"/>
                <w:sz w:val="19"/>
              </w:rPr>
              <w:t>Recommended action + response + confidence</w:t>
            </w:r>
          </w:p>
        </w:tc>
      </w:tr>
      <w:tr>
        <w:tc>
          <w:tcPr>
            <w:tcW w:type="dxa" w:w="2160"/>
            <w:vAlign w:val="center"/>
          </w:tcPr>
          <w:p>
            <w:r/>
            <w:r>
              <w:rPr>
                <w:b w:val="0"/>
                <w:sz w:val="19"/>
              </w:rPr>
              <w:t>Supervisor</w:t>
            </w:r>
          </w:p>
        </w:tc>
        <w:tc>
          <w:tcPr>
            <w:tcW w:type="dxa" w:w="4032"/>
            <w:vAlign w:val="center"/>
          </w:tcPr>
          <w:p>
            <w:r/>
            <w:r>
              <w:rPr>
                <w:b w:val="0"/>
                <w:sz w:val="19"/>
              </w:rPr>
              <w:t>Policy validator, risk rules, approval queue</w:t>
            </w:r>
          </w:p>
        </w:tc>
        <w:tc>
          <w:tcPr>
            <w:tcW w:type="dxa" w:w="4464"/>
            <w:vAlign w:val="center"/>
          </w:tcPr>
          <w:p>
            <w:r/>
            <w:r>
              <w:rPr>
                <w:b w:val="0"/>
                <w:sz w:val="19"/>
              </w:rPr>
              <w:t>Decision: auto / approve / escalate</w:t>
            </w:r>
          </w:p>
        </w:tc>
      </w:tr>
      <w:tr>
        <w:tc>
          <w:tcPr>
            <w:tcW w:type="dxa" w:w="2160"/>
            <w:vAlign w:val="center"/>
          </w:tcPr>
          <w:p>
            <w:r/>
            <w:r>
              <w:rPr>
                <w:b w:val="0"/>
                <w:sz w:val="19"/>
              </w:rPr>
              <w:t>Executor</w:t>
            </w:r>
          </w:p>
        </w:tc>
        <w:tc>
          <w:tcPr>
            <w:tcW w:type="dxa" w:w="4032"/>
            <w:vAlign w:val="center"/>
          </w:tcPr>
          <w:p>
            <w:r/>
            <w:r>
              <w:rPr>
                <w:b w:val="0"/>
                <w:sz w:val="19"/>
              </w:rPr>
              <w:t>Ticket/CRM/mock business APIs</w:t>
            </w:r>
          </w:p>
        </w:tc>
        <w:tc>
          <w:tcPr>
            <w:tcW w:type="dxa" w:w="4464"/>
            <w:vAlign w:val="center"/>
          </w:tcPr>
          <w:p>
            <w:r/>
            <w:r>
              <w:rPr>
                <w:b w:val="0"/>
                <w:sz w:val="19"/>
              </w:rPr>
              <w:t>Action result + transaction ID</w:t>
            </w:r>
          </w:p>
        </w:tc>
      </w:tr>
    </w:tbl>
    <w:p/>
    <w:p>
      <w:pPr>
        <w:pStyle w:val="Heading2"/>
      </w:pPr>
      <w:r>
        <w:t>9.1 Structured outputs</w:t>
      </w:r>
    </w:p>
    <w:p>
      <w:pPr>
        <w:spacing w:before="80" w:after="120"/>
        <w:ind w:left="432" w:right="432"/>
      </w:pPr>
      <w:r>
        <w:rPr>
          <w:rFonts w:ascii="Consolas" w:hAnsi="Consolas"/>
          <w:sz w:val="18"/>
        </w:rPr>
        <w:t>{</w:t>
        <w:br/>
        <w:t xml:space="preserve">  "category": "delivery",</w:t>
        <w:br/>
        <w:t xml:space="preserve">  "severity": "high",</w:t>
        <w:br/>
        <w:t xml:space="preserve">  "sla_breached": true,</w:t>
        <w:br/>
        <w:t xml:space="preserve">  "recommended_action": "priority_replacement",</w:t>
        <w:br/>
        <w:t xml:space="preserve">  "compensation": "delivery_fee_waiver",</w:t>
        <w:br/>
        <w:t xml:space="preserve">  "requires_human": false,</w:t>
        <w:br/>
        <w:t xml:space="preserve">  "confidence": 0.94</w:t>
        <w:br/>
        <w:t>}</w:t>
      </w:r>
    </w:p>
    <w:p>
      <w:r>
        <w:t>Structured outputs are preferable to asking an LLM to return prose because downstream services can validate and consume them safely.</w:t>
      </w:r>
    </w:p>
    <w:p>
      <w:pPr>
        <w:pStyle w:val="Heading1"/>
      </w:pPr>
      <w:r>
        <w:t>10. RAG and Knowledge Architecture</w:t>
      </w:r>
    </w:p>
    <w:p>
      <w:r>
        <w:t>RAG is the grounding mechanism for policies, FAQs, approved resolutions and other enterprise documents. The LLM should not be trusted to invent company policy. Instead, policies are chunked, embedded and retrieved at runtime.</w:t>
      </w:r>
    </w:p>
    <w:p>
      <w:pPr>
        <w:pStyle w:val="ListNumber"/>
        <w:spacing w:after="40"/>
      </w:pPr>
      <w:r>
        <w:t>Ingest approved policy documents and FAQs.</w:t>
      </w:r>
    </w:p>
    <w:p>
      <w:pPr>
        <w:pStyle w:val="ListNumber"/>
        <w:spacing w:after="40"/>
      </w:pPr>
      <w:r>
        <w:t>Chunk content into semantically coherent passages.</w:t>
      </w:r>
    </w:p>
    <w:p>
      <w:pPr>
        <w:pStyle w:val="ListNumber"/>
        <w:spacing w:after="40"/>
      </w:pPr>
      <w:r>
        <w:t>Attach metadata such as policy type, product, region, version and effective date.</w:t>
      </w:r>
    </w:p>
    <w:p>
      <w:pPr>
        <w:pStyle w:val="ListNumber"/>
        <w:spacing w:after="40"/>
      </w:pPr>
      <w:r>
        <w:t>Create embeddings and store them in a vector database.</w:t>
      </w:r>
    </w:p>
    <w:p>
      <w:pPr>
        <w:pStyle w:val="ListNumber"/>
        <w:spacing w:after="40"/>
      </w:pPr>
      <w:r>
        <w:t>At decision time, retrieve the top relevant passages using semantic similarity plus metadata filters.</w:t>
      </w:r>
    </w:p>
    <w:p>
      <w:pPr>
        <w:pStyle w:val="ListNumber"/>
        <w:spacing w:after="40"/>
      </w:pPr>
      <w:r>
        <w:t>Pass retrieved evidence to the policy and resolution agents.</w:t>
      </w:r>
    </w:p>
    <w:p>
      <w:pPr>
        <w:pStyle w:val="ListNumber"/>
        <w:spacing w:after="40"/>
      </w:pPr>
      <w:r>
        <w:t>Return source identifiers in the decision record so a human can inspect the evidence.</w:t>
      </w:r>
    </w:p>
    <w:p>
      <w:pPr>
        <w:pStyle w:val="Heading2"/>
      </w:pPr>
      <w:r>
        <w:t>10.1 Example</w:t>
      </w:r>
    </w:p>
    <w:p>
      <w:r>
        <w:t>A customer requests a delivery-fee waiver. The system retrieves the current compensation policy, sees that a waiver is allowed after an SLA breach, and then recommends the action. The UI should display the policy version that supported the decision.</w:t>
      </w:r>
    </w:p>
    <w:p>
      <w:pPr>
        <w:pStyle w:val="Heading1"/>
      </w:pPr>
      <w:r>
        <w:t>11. Complaint Clustering and Incident Intelligence</w:t>
      </w:r>
    </w:p>
    <w:p>
      <w:r>
        <w:t>This module is the project’s strongest differentiator. The goal is not to claim perfect root-cause analysis. The system should identify evidence-backed incident candidates and present them for operational review.</w:t>
      </w:r>
    </w:p>
    <w:p>
      <w:pPr>
        <w:pStyle w:val="ListNumber"/>
        <w:spacing w:after="40"/>
      </w:pPr>
      <w:r>
        <w:t>Generate an embedding for each complaint summary.</w:t>
      </w:r>
    </w:p>
    <w:p>
      <w:pPr>
        <w:pStyle w:val="ListNumber"/>
        <w:spacing w:after="40"/>
      </w:pPr>
      <w:r>
        <w:t>Search for semantically similar complaints in a rolling time window.</w:t>
      </w:r>
    </w:p>
    <w:p>
      <w:pPr>
        <w:pStyle w:val="ListNumber"/>
        <w:spacing w:after="40"/>
      </w:pPr>
      <w:r>
        <w:t>Apply deterministic dimensions such as product, region, service type and date where available.</w:t>
      </w:r>
    </w:p>
    <w:p>
      <w:pPr>
        <w:pStyle w:val="ListNumber"/>
        <w:spacing w:after="40"/>
      </w:pPr>
      <w:r>
        <w:t>Build clusters using a similarity threshold and minimum cluster size.</w:t>
      </w:r>
    </w:p>
    <w:p>
      <w:pPr>
        <w:pStyle w:val="ListNumber"/>
        <w:spacing w:after="40"/>
      </w:pPr>
      <w:r>
        <w:t>Rank clusters by volume, growth rate, customer impact and severity.</w:t>
      </w:r>
    </w:p>
    <w:p>
      <w:pPr>
        <w:pStyle w:val="ListNumber"/>
        <w:spacing w:after="40"/>
      </w:pPr>
      <w:r>
        <w:t>Create an incident candidate when thresholds are met.</w:t>
      </w:r>
    </w:p>
    <w:p>
      <w:pPr>
        <w:pStyle w:val="ListNumber"/>
        <w:spacing w:after="40"/>
      </w:pPr>
      <w:r>
        <w:t>Generate a human-readable hypothesis using the evidence from linked complaints and enterprise data.</w:t>
      </w:r>
    </w:p>
    <w:p>
      <w:pPr>
        <w:pStyle w:val="ListNumber"/>
        <w:spacing w:after="40"/>
      </w:pPr>
      <w:r>
        <w:t>Allow operations to confirm, reject or merge the incident.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7365D"/>
          </w:tcPr>
          <w:p>
            <w:r/>
            <w:r>
              <w:rPr>
                <w:b/>
                <w:color w:val="FFFFFF"/>
                <w:sz w:val="20"/>
              </w:rPr>
              <w:t>Signal</w:t>
            </w:r>
          </w:p>
        </w:tc>
        <w:tc>
          <w:tcPr>
            <w:tcW w:type="dxa" w:w="3600"/>
            <w:vAlign w:val="center"/>
            <w:shd w:fill="17365D"/>
          </w:tcPr>
          <w:p>
            <w:r/>
            <w:r>
              <w:rPr>
                <w:b/>
                <w:color w:val="FFFFFF"/>
                <w:sz w:val="20"/>
              </w:rPr>
              <w:t>Example</w:t>
            </w:r>
          </w:p>
        </w:tc>
        <w:tc>
          <w:tcPr>
            <w:tcW w:type="dxa" w:w="4464"/>
            <w:vAlign w:val="center"/>
            <w:shd w:fill="17365D"/>
          </w:tcPr>
          <w:p>
            <w:r/>
            <w:r>
              <w:rPr>
                <w:b/>
                <w:color w:val="FFFFFF"/>
                <w:sz w:val="20"/>
              </w:rPr>
              <w:t>Why it matters</w:t>
            </w:r>
          </w:p>
        </w:tc>
      </w:tr>
      <w:tr>
        <w:tc>
          <w:tcPr>
            <w:tcW w:type="dxa" w:w="2160"/>
            <w:vAlign w:val="center"/>
          </w:tcPr>
          <w:p>
            <w:r/>
            <w:r>
              <w:rPr>
                <w:b w:val="0"/>
                <w:sz w:val="19"/>
              </w:rPr>
              <w:t>Volume</w:t>
            </w:r>
          </w:p>
        </w:tc>
        <w:tc>
          <w:tcPr>
            <w:tcW w:type="dxa" w:w="3600"/>
            <w:vAlign w:val="center"/>
          </w:tcPr>
          <w:p>
            <w:r/>
            <w:r>
              <w:rPr>
                <w:b w:val="0"/>
                <w:sz w:val="19"/>
              </w:rPr>
              <w:t>27 similar cases</w:t>
            </w:r>
          </w:p>
        </w:tc>
        <w:tc>
          <w:tcPr>
            <w:tcW w:type="dxa" w:w="4464"/>
            <w:vAlign w:val="center"/>
          </w:tcPr>
          <w:p>
            <w:r/>
            <w:r>
              <w:rPr>
                <w:b w:val="0"/>
                <w:sz w:val="19"/>
              </w:rPr>
              <w:t>Shows magnitude</w:t>
            </w:r>
          </w:p>
        </w:tc>
      </w:tr>
      <w:tr>
        <w:tc>
          <w:tcPr>
            <w:tcW w:type="dxa" w:w="2160"/>
            <w:vAlign w:val="center"/>
          </w:tcPr>
          <w:p>
            <w:r/>
            <w:r>
              <w:rPr>
                <w:b w:val="0"/>
                <w:sz w:val="19"/>
              </w:rPr>
              <w:t>Velocity</w:t>
            </w:r>
          </w:p>
        </w:tc>
        <w:tc>
          <w:tcPr>
            <w:tcW w:type="dxa" w:w="3600"/>
            <w:vAlign w:val="center"/>
          </w:tcPr>
          <w:p>
            <w:r/>
            <w:r>
              <w:rPr>
                <w:b w:val="0"/>
                <w:sz w:val="19"/>
              </w:rPr>
              <w:t>12 new cases in 2 hours</w:t>
            </w:r>
          </w:p>
        </w:tc>
        <w:tc>
          <w:tcPr>
            <w:tcW w:type="dxa" w:w="4464"/>
            <w:vAlign w:val="center"/>
          </w:tcPr>
          <w:p>
            <w:r/>
            <w:r>
              <w:rPr>
                <w:b w:val="0"/>
                <w:sz w:val="19"/>
              </w:rPr>
              <w:t>Shows escalation</w:t>
            </w:r>
          </w:p>
        </w:tc>
      </w:tr>
      <w:tr>
        <w:tc>
          <w:tcPr>
            <w:tcW w:type="dxa" w:w="2160"/>
            <w:vAlign w:val="center"/>
          </w:tcPr>
          <w:p>
            <w:r/>
            <w:r>
              <w:rPr>
                <w:b w:val="0"/>
                <w:sz w:val="19"/>
              </w:rPr>
              <w:t>Similarity</w:t>
            </w:r>
          </w:p>
        </w:tc>
        <w:tc>
          <w:tcPr>
            <w:tcW w:type="dxa" w:w="3600"/>
            <w:vAlign w:val="center"/>
          </w:tcPr>
          <w:p>
            <w:r/>
            <w:r>
              <w:rPr>
                <w:b w:val="0"/>
                <w:sz w:val="19"/>
              </w:rPr>
              <w:t>0.90 semantic similarity</w:t>
            </w:r>
          </w:p>
        </w:tc>
        <w:tc>
          <w:tcPr>
            <w:tcW w:type="dxa" w:w="4464"/>
            <w:vAlign w:val="center"/>
          </w:tcPr>
          <w:p>
            <w:r/>
            <w:r>
              <w:rPr>
                <w:b w:val="0"/>
                <w:sz w:val="19"/>
              </w:rPr>
              <w:t>Shows common issue</w:t>
            </w:r>
          </w:p>
        </w:tc>
      </w:tr>
      <w:tr>
        <w:tc>
          <w:tcPr>
            <w:tcW w:type="dxa" w:w="2160"/>
            <w:vAlign w:val="center"/>
          </w:tcPr>
          <w:p>
            <w:r/>
            <w:r>
              <w:rPr>
                <w:b w:val="0"/>
                <w:sz w:val="19"/>
              </w:rPr>
              <w:t>Shared context</w:t>
            </w:r>
          </w:p>
        </w:tc>
        <w:tc>
          <w:tcPr>
            <w:tcW w:type="dxa" w:w="3600"/>
            <w:vAlign w:val="center"/>
          </w:tcPr>
          <w:p>
            <w:r/>
            <w:r>
              <w:rPr>
                <w:b w:val="0"/>
                <w:sz w:val="19"/>
              </w:rPr>
              <w:t>Same fulfilment centre</w:t>
            </w:r>
          </w:p>
        </w:tc>
        <w:tc>
          <w:tcPr>
            <w:tcW w:type="dxa" w:w="4464"/>
            <w:vAlign w:val="center"/>
          </w:tcPr>
          <w:p>
            <w:r/>
            <w:r>
              <w:rPr>
                <w:b w:val="0"/>
                <w:sz w:val="19"/>
              </w:rPr>
              <w:t>Supports common cause</w:t>
            </w:r>
          </w:p>
        </w:tc>
      </w:tr>
      <w:tr>
        <w:tc>
          <w:tcPr>
            <w:tcW w:type="dxa" w:w="2160"/>
            <w:vAlign w:val="center"/>
          </w:tcPr>
          <w:p>
            <w:r/>
            <w:r>
              <w:rPr>
                <w:b w:val="0"/>
                <w:sz w:val="19"/>
              </w:rPr>
              <w:t>SLA impact</w:t>
            </w:r>
          </w:p>
        </w:tc>
        <w:tc>
          <w:tcPr>
            <w:tcW w:type="dxa" w:w="3600"/>
            <w:vAlign w:val="center"/>
          </w:tcPr>
          <w:p>
            <w:r/>
            <w:r>
              <w:rPr>
                <w:b w:val="0"/>
                <w:sz w:val="19"/>
              </w:rPr>
              <w:t>18 breaches</w:t>
            </w:r>
          </w:p>
        </w:tc>
        <w:tc>
          <w:tcPr>
            <w:tcW w:type="dxa" w:w="4464"/>
            <w:vAlign w:val="center"/>
          </w:tcPr>
          <w:p>
            <w:r/>
            <w:r>
              <w:rPr>
                <w:b w:val="0"/>
                <w:sz w:val="19"/>
              </w:rPr>
              <w:t>Shows business urgency</w:t>
            </w:r>
          </w:p>
        </w:tc>
      </w:tr>
      <w:tr>
        <w:tc>
          <w:tcPr>
            <w:tcW w:type="dxa" w:w="2160"/>
            <w:vAlign w:val="center"/>
          </w:tcPr>
          <w:p>
            <w:r/>
            <w:r>
              <w:rPr>
                <w:b w:val="0"/>
                <w:sz w:val="19"/>
              </w:rPr>
              <w:t>Customer impact</w:t>
            </w:r>
          </w:p>
        </w:tc>
        <w:tc>
          <w:tcPr>
            <w:tcW w:type="dxa" w:w="3600"/>
            <w:vAlign w:val="center"/>
          </w:tcPr>
          <w:p>
            <w:r/>
            <w:r>
              <w:rPr>
                <w:b w:val="0"/>
                <w:sz w:val="19"/>
              </w:rPr>
              <w:t>High-value customers affected</w:t>
            </w:r>
          </w:p>
        </w:tc>
        <w:tc>
          <w:tcPr>
            <w:tcW w:type="dxa" w:w="4464"/>
            <w:vAlign w:val="center"/>
          </w:tcPr>
          <w:p>
            <w:r/>
            <w:r>
              <w:rPr>
                <w:b w:val="0"/>
                <w:sz w:val="19"/>
              </w:rPr>
              <w:t>Raises priority</w:t>
            </w:r>
          </w:p>
        </w:tc>
      </w:tr>
    </w:tbl>
    <w:p/>
    <w:p>
      <w:pPr>
        <w:pStyle w:val="Heading1"/>
      </w:pPr>
      <w:r>
        <w:t>12. Human-in-the-Loop and Risk Controls</w:t>
      </w:r>
    </w:p>
    <w:p>
      <w:r>
        <w:t>Agentic systems should earn autonomy rather than assume it. ResolveIQ therefore separates the quality of the recommendation from the authority to execute it.</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7365D"/>
          </w:tcPr>
          <w:p>
            <w:r/>
            <w:r>
              <w:rPr>
                <w:b/>
                <w:color w:val="FFFFFF"/>
                <w:sz w:val="20"/>
              </w:rPr>
              <w:t>Risk level</w:t>
            </w:r>
          </w:p>
        </w:tc>
        <w:tc>
          <w:tcPr>
            <w:tcW w:type="dxa" w:w="4320"/>
            <w:vAlign w:val="center"/>
            <w:shd w:fill="17365D"/>
          </w:tcPr>
          <w:p>
            <w:r/>
            <w:r>
              <w:rPr>
                <w:b/>
                <w:color w:val="FFFFFF"/>
                <w:sz w:val="20"/>
              </w:rPr>
              <w:t>Example</w:t>
            </w:r>
          </w:p>
        </w:tc>
        <w:tc>
          <w:tcPr>
            <w:tcW w:type="dxa" w:w="4320"/>
            <w:vAlign w:val="center"/>
            <w:shd w:fill="17365D"/>
          </w:tcPr>
          <w:p>
            <w:r/>
            <w:r>
              <w:rPr>
                <w:b/>
                <w:color w:val="FFFFFF"/>
                <w:sz w:val="20"/>
              </w:rPr>
              <w:t>Decision path</w:t>
            </w:r>
          </w:p>
        </w:tc>
      </w:tr>
      <w:tr>
        <w:tc>
          <w:tcPr>
            <w:tcW w:type="dxa" w:w="1872"/>
            <w:vAlign w:val="center"/>
          </w:tcPr>
          <w:p>
            <w:r/>
            <w:r>
              <w:rPr>
                <w:b w:val="0"/>
                <w:sz w:val="19"/>
              </w:rPr>
              <w:t>Low</w:t>
            </w:r>
          </w:p>
        </w:tc>
        <w:tc>
          <w:tcPr>
            <w:tcW w:type="dxa" w:w="4320"/>
            <w:vAlign w:val="center"/>
          </w:tcPr>
          <w:p>
            <w:r/>
            <w:r>
              <w:rPr>
                <w:b w:val="0"/>
                <w:sz w:val="19"/>
              </w:rPr>
              <w:t>Routine FAQ, delivery fee refund</w:t>
            </w:r>
          </w:p>
        </w:tc>
        <w:tc>
          <w:tcPr>
            <w:tcW w:type="dxa" w:w="4320"/>
            <w:vAlign w:val="center"/>
          </w:tcPr>
          <w:p>
            <w:r/>
            <w:r>
              <w:rPr>
                <w:b w:val="0"/>
                <w:sz w:val="19"/>
              </w:rPr>
              <w:t>Auto-resolve if policy and confidence thresholds pass</w:t>
            </w:r>
          </w:p>
        </w:tc>
      </w:tr>
      <w:tr>
        <w:tc>
          <w:tcPr>
            <w:tcW w:type="dxa" w:w="1872"/>
            <w:vAlign w:val="center"/>
          </w:tcPr>
          <w:p>
            <w:r/>
            <w:r>
              <w:rPr>
                <w:b w:val="0"/>
                <w:sz w:val="19"/>
              </w:rPr>
              <w:t>Medium</w:t>
            </w:r>
          </w:p>
        </w:tc>
        <w:tc>
          <w:tcPr>
            <w:tcW w:type="dxa" w:w="4320"/>
            <w:vAlign w:val="center"/>
          </w:tcPr>
          <w:p>
            <w:r/>
            <w:r>
              <w:rPr>
                <w:b w:val="0"/>
                <w:sz w:val="19"/>
              </w:rPr>
              <w:t>Large compensation, policy exception</w:t>
            </w:r>
          </w:p>
        </w:tc>
        <w:tc>
          <w:tcPr>
            <w:tcW w:type="dxa" w:w="4320"/>
            <w:vAlign w:val="center"/>
          </w:tcPr>
          <w:p>
            <w:r/>
            <w:r>
              <w:rPr>
                <w:b w:val="0"/>
                <w:sz w:val="19"/>
              </w:rPr>
              <w:t>Human approval</w:t>
            </w:r>
          </w:p>
        </w:tc>
      </w:tr>
      <w:tr>
        <w:tc>
          <w:tcPr>
            <w:tcW w:type="dxa" w:w="1872"/>
            <w:vAlign w:val="center"/>
          </w:tcPr>
          <w:p>
            <w:r/>
            <w:r>
              <w:rPr>
                <w:b w:val="0"/>
                <w:sz w:val="19"/>
              </w:rPr>
              <w:t>High</w:t>
            </w:r>
          </w:p>
        </w:tc>
        <w:tc>
          <w:tcPr>
            <w:tcW w:type="dxa" w:w="4320"/>
            <w:vAlign w:val="center"/>
          </w:tcPr>
          <w:p>
            <w:r/>
            <w:r>
              <w:rPr>
                <w:b w:val="0"/>
                <w:sz w:val="19"/>
              </w:rPr>
              <w:t>Legal, regulatory, fraud suspicion, safety</w:t>
            </w:r>
          </w:p>
        </w:tc>
        <w:tc>
          <w:tcPr>
            <w:tcW w:type="dxa" w:w="4320"/>
            <w:vAlign w:val="center"/>
          </w:tcPr>
          <w:p>
            <w:r/>
            <w:r>
              <w:rPr>
                <w:b w:val="0"/>
                <w:sz w:val="19"/>
              </w:rPr>
              <w:t>Mandatory escalation</w:t>
            </w:r>
          </w:p>
        </w:tc>
      </w:tr>
    </w:tbl>
    <w:p/>
    <w:p>
      <w:pPr>
        <w:pStyle w:val="Heading2"/>
      </w:pPr>
      <w:r>
        <w:t>12.1 Guardrails</w:t>
      </w:r>
    </w:p>
    <w:p>
      <w:pPr>
        <w:pStyle w:val="ListBullet"/>
        <w:spacing w:after="40"/>
      </w:pPr>
      <w:r>
        <w:t>Policy check before action</w:t>
      </w:r>
    </w:p>
    <w:p>
      <w:pPr>
        <w:pStyle w:val="ListBullet"/>
        <w:spacing w:after="40"/>
      </w:pPr>
      <w:r>
        <w:t>Confidence threshold</w:t>
      </w:r>
    </w:p>
    <w:p>
      <w:pPr>
        <w:pStyle w:val="ListBullet"/>
        <w:spacing w:after="40"/>
      </w:pPr>
      <w:r>
        <w:t>Idempotent action APIs</w:t>
      </w:r>
    </w:p>
    <w:p>
      <w:pPr>
        <w:pStyle w:val="ListBullet"/>
        <w:spacing w:after="40"/>
      </w:pPr>
      <w:r>
        <w:t>Human approval queue</w:t>
      </w:r>
    </w:p>
    <w:p>
      <w:pPr>
        <w:pStyle w:val="ListBullet"/>
        <w:spacing w:after="40"/>
      </w:pPr>
      <w:r>
        <w:t>Audit event for every consequential decision</w:t>
      </w:r>
    </w:p>
    <w:p>
      <w:pPr>
        <w:pStyle w:val="ListBullet"/>
        <w:spacing w:after="40"/>
      </w:pPr>
      <w:r>
        <w:t>Source references for policy-grounded responses</w:t>
      </w:r>
    </w:p>
    <w:p>
      <w:pPr>
        <w:pStyle w:val="ListBullet"/>
        <w:spacing w:after="40"/>
      </w:pPr>
      <w:r>
        <w:t>Explicit deny-list for high-risk actions</w:t>
      </w:r>
    </w:p>
    <w:p>
      <w:pPr>
        <w:pStyle w:val="Heading1"/>
      </w:pPr>
      <w:r>
        <w:t>13. API and Integration Design</w:t>
      </w:r>
    </w:p>
    <w:p>
      <w:r>
        <w:t>An API-first architecture lets the prototype simulate enterprise systems and makes future integrations straightforward.</w:t>
      </w:r>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center"/>
            <w:shd w:fill="17365D"/>
          </w:tcPr>
          <w:p>
            <w:r/>
            <w:r>
              <w:rPr>
                <w:b/>
                <w:color w:val="FFFFFF"/>
                <w:sz w:val="20"/>
              </w:rPr>
              <w:t>Endpoint</w:t>
            </w:r>
          </w:p>
        </w:tc>
        <w:tc>
          <w:tcPr>
            <w:tcW w:type="dxa" w:w="1440"/>
            <w:vAlign w:val="center"/>
            <w:shd w:fill="17365D"/>
          </w:tcPr>
          <w:p>
            <w:r/>
            <w:r>
              <w:rPr>
                <w:b/>
                <w:color w:val="FFFFFF"/>
                <w:sz w:val="20"/>
              </w:rPr>
              <w:t>Method</w:t>
            </w:r>
          </w:p>
        </w:tc>
        <w:tc>
          <w:tcPr>
            <w:tcW w:type="dxa" w:w="5760"/>
            <w:vAlign w:val="center"/>
            <w:shd w:fill="17365D"/>
          </w:tcPr>
          <w:p>
            <w:r/>
            <w:r>
              <w:rPr>
                <w:b/>
                <w:color w:val="FFFFFF"/>
                <w:sz w:val="20"/>
              </w:rPr>
              <w:t>Purpose</w:t>
            </w:r>
          </w:p>
        </w:tc>
      </w:tr>
      <w:tr>
        <w:tc>
          <w:tcPr>
            <w:tcW w:type="dxa" w:w="3744"/>
            <w:vAlign w:val="center"/>
          </w:tcPr>
          <w:p>
            <w:r/>
            <w:r>
              <w:rPr>
                <w:b w:val="0"/>
                <w:sz w:val="19"/>
              </w:rPr>
              <w:t>/api/v1/complaints</w:t>
            </w:r>
          </w:p>
        </w:tc>
        <w:tc>
          <w:tcPr>
            <w:tcW w:type="dxa" w:w="1440"/>
            <w:vAlign w:val="center"/>
          </w:tcPr>
          <w:p>
            <w:r/>
            <w:r>
              <w:rPr>
                <w:b w:val="0"/>
                <w:sz w:val="19"/>
              </w:rPr>
              <w:t>POST</w:t>
            </w:r>
          </w:p>
        </w:tc>
        <w:tc>
          <w:tcPr>
            <w:tcW w:type="dxa" w:w="5760"/>
            <w:vAlign w:val="center"/>
          </w:tcPr>
          <w:p>
            <w:r/>
            <w:r>
              <w:rPr>
                <w:b w:val="0"/>
                <w:sz w:val="19"/>
              </w:rPr>
              <w:t>Ingest a new complaint</w:t>
            </w:r>
          </w:p>
        </w:tc>
      </w:tr>
      <w:tr>
        <w:tc>
          <w:tcPr>
            <w:tcW w:type="dxa" w:w="3744"/>
            <w:vAlign w:val="center"/>
          </w:tcPr>
          <w:p>
            <w:r/>
            <w:r>
              <w:rPr>
                <w:b w:val="0"/>
                <w:sz w:val="19"/>
              </w:rPr>
              <w:t>/api/v1/cases/{id}</w:t>
            </w:r>
          </w:p>
        </w:tc>
        <w:tc>
          <w:tcPr>
            <w:tcW w:type="dxa" w:w="1440"/>
            <w:vAlign w:val="center"/>
          </w:tcPr>
          <w:p>
            <w:r/>
            <w:r>
              <w:rPr>
                <w:b w:val="0"/>
                <w:sz w:val="19"/>
              </w:rPr>
              <w:t>GET</w:t>
            </w:r>
          </w:p>
        </w:tc>
        <w:tc>
          <w:tcPr>
            <w:tcW w:type="dxa" w:w="5760"/>
            <w:vAlign w:val="center"/>
          </w:tcPr>
          <w:p>
            <w:r/>
            <w:r>
              <w:rPr>
                <w:b w:val="0"/>
                <w:sz w:val="19"/>
              </w:rPr>
              <w:t>Fetch full case with context</w:t>
            </w:r>
          </w:p>
        </w:tc>
      </w:tr>
      <w:tr>
        <w:tc>
          <w:tcPr>
            <w:tcW w:type="dxa" w:w="3744"/>
            <w:vAlign w:val="center"/>
          </w:tcPr>
          <w:p>
            <w:r/>
            <w:r>
              <w:rPr>
                <w:b w:val="0"/>
                <w:sz w:val="19"/>
              </w:rPr>
              <w:t>/api/v1/cases/{id}/analyze</w:t>
            </w:r>
          </w:p>
        </w:tc>
        <w:tc>
          <w:tcPr>
            <w:tcW w:type="dxa" w:w="1440"/>
            <w:vAlign w:val="center"/>
          </w:tcPr>
          <w:p>
            <w:r/>
            <w:r>
              <w:rPr>
                <w:b w:val="0"/>
                <w:sz w:val="19"/>
              </w:rPr>
              <w:t>POST</w:t>
            </w:r>
          </w:p>
        </w:tc>
        <w:tc>
          <w:tcPr>
            <w:tcW w:type="dxa" w:w="5760"/>
            <w:vAlign w:val="center"/>
          </w:tcPr>
          <w:p>
            <w:r/>
            <w:r>
              <w:rPr>
                <w:b w:val="0"/>
                <w:sz w:val="19"/>
              </w:rPr>
              <w:t>Run intelligence workflow</w:t>
            </w:r>
          </w:p>
        </w:tc>
      </w:tr>
      <w:tr>
        <w:tc>
          <w:tcPr>
            <w:tcW w:type="dxa" w:w="3744"/>
            <w:vAlign w:val="center"/>
          </w:tcPr>
          <w:p>
            <w:r/>
            <w:r>
              <w:rPr>
                <w:b w:val="0"/>
                <w:sz w:val="19"/>
              </w:rPr>
              <w:t>/api/v1/cases/{id}/recommendation</w:t>
            </w:r>
          </w:p>
        </w:tc>
        <w:tc>
          <w:tcPr>
            <w:tcW w:type="dxa" w:w="1440"/>
            <w:vAlign w:val="center"/>
          </w:tcPr>
          <w:p>
            <w:r/>
            <w:r>
              <w:rPr>
                <w:b w:val="0"/>
                <w:sz w:val="19"/>
              </w:rPr>
              <w:t>GET</w:t>
            </w:r>
          </w:p>
        </w:tc>
        <w:tc>
          <w:tcPr>
            <w:tcW w:type="dxa" w:w="5760"/>
            <w:vAlign w:val="center"/>
          </w:tcPr>
          <w:p>
            <w:r/>
            <w:r>
              <w:rPr>
                <w:b w:val="0"/>
                <w:sz w:val="19"/>
              </w:rPr>
              <w:t>Fetch current recommended action</w:t>
            </w:r>
          </w:p>
        </w:tc>
      </w:tr>
      <w:tr>
        <w:tc>
          <w:tcPr>
            <w:tcW w:type="dxa" w:w="3744"/>
            <w:vAlign w:val="center"/>
          </w:tcPr>
          <w:p>
            <w:r/>
            <w:r>
              <w:rPr>
                <w:b w:val="0"/>
                <w:sz w:val="19"/>
              </w:rPr>
              <w:t>/api/v1/cases/{id}/decision</w:t>
            </w:r>
          </w:p>
        </w:tc>
        <w:tc>
          <w:tcPr>
            <w:tcW w:type="dxa" w:w="1440"/>
            <w:vAlign w:val="center"/>
          </w:tcPr>
          <w:p>
            <w:r/>
            <w:r>
              <w:rPr>
                <w:b w:val="0"/>
                <w:sz w:val="19"/>
              </w:rPr>
              <w:t>POST</w:t>
            </w:r>
          </w:p>
        </w:tc>
        <w:tc>
          <w:tcPr>
            <w:tcW w:type="dxa" w:w="5760"/>
            <w:vAlign w:val="center"/>
          </w:tcPr>
          <w:p>
            <w:r/>
            <w:r>
              <w:rPr>
                <w:b w:val="0"/>
                <w:sz w:val="19"/>
              </w:rPr>
              <w:t>Approve/reject/escalate</w:t>
            </w:r>
          </w:p>
        </w:tc>
      </w:tr>
      <w:tr>
        <w:tc>
          <w:tcPr>
            <w:tcW w:type="dxa" w:w="3744"/>
            <w:vAlign w:val="center"/>
          </w:tcPr>
          <w:p>
            <w:r/>
            <w:r>
              <w:rPr>
                <w:b w:val="0"/>
                <w:sz w:val="19"/>
              </w:rPr>
              <w:t>/api/v1/incidents</w:t>
            </w:r>
          </w:p>
        </w:tc>
        <w:tc>
          <w:tcPr>
            <w:tcW w:type="dxa" w:w="1440"/>
            <w:vAlign w:val="center"/>
          </w:tcPr>
          <w:p>
            <w:r/>
            <w:r>
              <w:rPr>
                <w:b w:val="0"/>
                <w:sz w:val="19"/>
              </w:rPr>
              <w:t>GET</w:t>
            </w:r>
          </w:p>
        </w:tc>
        <w:tc>
          <w:tcPr>
            <w:tcW w:type="dxa" w:w="5760"/>
            <w:vAlign w:val="center"/>
          </w:tcPr>
          <w:p>
            <w:r/>
            <w:r>
              <w:rPr>
                <w:b w:val="0"/>
                <w:sz w:val="19"/>
              </w:rPr>
              <w:t>List detected incident candidates</w:t>
            </w:r>
          </w:p>
        </w:tc>
      </w:tr>
      <w:tr>
        <w:tc>
          <w:tcPr>
            <w:tcW w:type="dxa" w:w="3744"/>
            <w:vAlign w:val="center"/>
          </w:tcPr>
          <w:p>
            <w:r/>
            <w:r>
              <w:rPr>
                <w:b w:val="0"/>
                <w:sz w:val="19"/>
              </w:rPr>
              <w:t>/api/v1/incidents/{id}</w:t>
            </w:r>
          </w:p>
        </w:tc>
        <w:tc>
          <w:tcPr>
            <w:tcW w:type="dxa" w:w="1440"/>
            <w:vAlign w:val="center"/>
          </w:tcPr>
          <w:p>
            <w:r/>
            <w:r>
              <w:rPr>
                <w:b w:val="0"/>
                <w:sz w:val="19"/>
              </w:rPr>
              <w:t>GET</w:t>
            </w:r>
          </w:p>
        </w:tc>
        <w:tc>
          <w:tcPr>
            <w:tcW w:type="dxa" w:w="5760"/>
            <w:vAlign w:val="center"/>
          </w:tcPr>
          <w:p>
            <w:r/>
            <w:r>
              <w:rPr>
                <w:b w:val="0"/>
                <w:sz w:val="19"/>
              </w:rPr>
              <w:t>View evidence and linked cases</w:t>
            </w:r>
          </w:p>
        </w:tc>
      </w:tr>
      <w:tr>
        <w:tc>
          <w:tcPr>
            <w:tcW w:type="dxa" w:w="3744"/>
            <w:vAlign w:val="center"/>
          </w:tcPr>
          <w:p>
            <w:r/>
            <w:r>
              <w:rPr>
                <w:b w:val="0"/>
                <w:sz w:val="19"/>
              </w:rPr>
              <w:t>/api/v1/metrics</w:t>
            </w:r>
          </w:p>
        </w:tc>
        <w:tc>
          <w:tcPr>
            <w:tcW w:type="dxa" w:w="1440"/>
            <w:vAlign w:val="center"/>
          </w:tcPr>
          <w:p>
            <w:r/>
            <w:r>
              <w:rPr>
                <w:b w:val="0"/>
                <w:sz w:val="19"/>
              </w:rPr>
              <w:t>GET</w:t>
            </w:r>
          </w:p>
        </w:tc>
        <w:tc>
          <w:tcPr>
            <w:tcW w:type="dxa" w:w="5760"/>
            <w:vAlign w:val="center"/>
          </w:tcPr>
          <w:p>
            <w:r/>
            <w:r>
              <w:rPr>
                <w:b w:val="0"/>
                <w:sz w:val="19"/>
              </w:rPr>
              <w:t>Dashboard KPIs</w:t>
            </w:r>
          </w:p>
        </w:tc>
      </w:tr>
    </w:tbl>
    <w:p/>
    <w:p>
      <w:r>
        <w:t>Use idempotency keys for actions such as refunds or ticket updates so repeated agent calls do not execute the same business action twice.</w:t>
      </w:r>
    </w:p>
    <w:p>
      <w:pPr>
        <w:pStyle w:val="Heading1"/>
      </w:pPr>
      <w:r>
        <w:t>14. Frontend and Decision Workspace</w:t>
      </w:r>
    </w:p>
    <w:p>
      <w:pPr>
        <w:pStyle w:val="Heading2"/>
      </w:pPr>
      <w:r>
        <w:t>14.1 Complaint queue</w:t>
      </w:r>
    </w:p>
    <w:p>
      <w:r>
        <w:t>Shows all active cases with category, severity, SLA status, customer, assigned owner and state. Sort by risk and SLA rather than only by arrival time.</w:t>
      </w:r>
    </w:p>
    <w:p>
      <w:pPr>
        <w:pStyle w:val="Heading2"/>
      </w:pPr>
      <w:r>
        <w:t>14.2 Case intelligence panel</w:t>
      </w:r>
    </w:p>
    <w:p>
      <w:r>
        <w:t>Displays the complaint summary, customer context, SLA status, sentiment, related cases, incident candidates, policy evidence and recommended action.</w:t>
      </w:r>
    </w:p>
    <w:p>
      <w:pPr>
        <w:pStyle w:val="Heading2"/>
      </w:pPr>
      <w:r>
        <w:t>14.3 Decision controls</w:t>
      </w:r>
    </w:p>
    <w:p>
      <w:r>
        <w:t>The operator can Approve, Edit or Escalate. A human override should always be recorded as an audit event and linked to the final case outcome.</w:t>
      </w:r>
    </w:p>
    <w:p>
      <w:pPr>
        <w:pStyle w:val="Heading2"/>
      </w:pPr>
      <w:r>
        <w:t>14.4 Operations intelligence view</w:t>
      </w:r>
    </w:p>
    <w:p>
      <w:r>
        <w:t>Shows complaint clusters, emerging incidents, volume trends, SLA breaches and the most common root-cause signals. This is what expands the product from support tooling into business intelligence.</w:t>
      </w:r>
    </w:p>
    <w:p>
      <w:pPr>
        <w:pStyle w:val="Heading1"/>
      </w:pPr>
      <w:r>
        <w:t>15. Evaluation Strategy and KPIs</w:t>
      </w:r>
    </w:p>
    <w:p>
      <w:r>
        <w:t>The target percentages in the PPT are prototype goals. The correct way to defend them is to define a representative evaluation set and compare the baseline workflow with ResolveIQ.</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7365D"/>
          </w:tcPr>
          <w:p>
            <w:r/>
            <w:r>
              <w:rPr>
                <w:b/>
                <w:color w:val="FFFFFF"/>
                <w:sz w:val="20"/>
              </w:rPr>
              <w:t>Metric</w:t>
            </w:r>
          </w:p>
        </w:tc>
        <w:tc>
          <w:tcPr>
            <w:tcW w:type="dxa" w:w="5760"/>
            <w:vAlign w:val="center"/>
            <w:shd w:fill="17365D"/>
          </w:tcPr>
          <w:p>
            <w:r/>
            <w:r>
              <w:rPr>
                <w:b/>
                <w:color w:val="FFFFFF"/>
                <w:sz w:val="20"/>
              </w:rPr>
              <w:t>How to measure</w:t>
            </w:r>
          </w:p>
        </w:tc>
        <w:tc>
          <w:tcPr>
            <w:tcW w:type="dxa" w:w="2736"/>
            <w:vAlign w:val="center"/>
            <w:shd w:fill="17365D"/>
          </w:tcPr>
          <w:p>
            <w:r/>
            <w:r>
              <w:rPr>
                <w:b/>
                <w:color w:val="FFFFFF"/>
                <w:sz w:val="20"/>
              </w:rPr>
              <w:t>Target / intent</w:t>
            </w:r>
          </w:p>
        </w:tc>
      </w:tr>
      <w:tr>
        <w:tc>
          <w:tcPr>
            <w:tcW w:type="dxa" w:w="2448"/>
            <w:vAlign w:val="center"/>
          </w:tcPr>
          <w:p>
            <w:r/>
            <w:r>
              <w:rPr>
                <w:b w:val="0"/>
                <w:sz w:val="19"/>
              </w:rPr>
              <w:t>First Response Time</w:t>
            </w:r>
          </w:p>
        </w:tc>
        <w:tc>
          <w:tcPr>
            <w:tcW w:type="dxa" w:w="5760"/>
            <w:vAlign w:val="center"/>
          </w:tcPr>
          <w:p>
            <w:r/>
            <w:r>
              <w:rPr>
                <w:b w:val="0"/>
                <w:sz w:val="19"/>
              </w:rPr>
              <w:t>Average time from case creation to first valid response</w:t>
            </w:r>
          </w:p>
        </w:tc>
        <w:tc>
          <w:tcPr>
            <w:tcW w:type="dxa" w:w="2736"/>
            <w:vAlign w:val="center"/>
          </w:tcPr>
          <w:p>
            <w:r/>
            <w:r>
              <w:rPr>
                <w:b w:val="0"/>
                <w:sz w:val="19"/>
              </w:rPr>
              <w:t>Down 50-70% prototype target</w:t>
            </w:r>
          </w:p>
        </w:tc>
      </w:tr>
      <w:tr>
        <w:tc>
          <w:tcPr>
            <w:tcW w:type="dxa" w:w="2448"/>
            <w:vAlign w:val="center"/>
          </w:tcPr>
          <w:p>
            <w:r/>
            <w:r>
              <w:rPr>
                <w:b w:val="0"/>
                <w:sz w:val="19"/>
              </w:rPr>
              <w:t>Resolution Time</w:t>
            </w:r>
          </w:p>
        </w:tc>
        <w:tc>
          <w:tcPr>
            <w:tcW w:type="dxa" w:w="5760"/>
            <w:vAlign w:val="center"/>
          </w:tcPr>
          <w:p>
            <w:r/>
            <w:r>
              <w:rPr>
                <w:b w:val="0"/>
                <w:sz w:val="19"/>
              </w:rPr>
              <w:t>Time from intake to final case closure</w:t>
            </w:r>
          </w:p>
        </w:tc>
        <w:tc>
          <w:tcPr>
            <w:tcW w:type="dxa" w:w="2736"/>
            <w:vAlign w:val="center"/>
          </w:tcPr>
          <w:p>
            <w:r/>
            <w:r>
              <w:rPr>
                <w:b w:val="0"/>
                <w:sz w:val="19"/>
              </w:rPr>
              <w:t>Down 30-50% target</w:t>
            </w:r>
          </w:p>
        </w:tc>
      </w:tr>
      <w:tr>
        <w:tc>
          <w:tcPr>
            <w:tcW w:type="dxa" w:w="2448"/>
            <w:vAlign w:val="center"/>
          </w:tcPr>
          <w:p>
            <w:r/>
            <w:r>
              <w:rPr>
                <w:b w:val="0"/>
                <w:sz w:val="19"/>
              </w:rPr>
              <w:t>Manual Triage</w:t>
            </w:r>
          </w:p>
        </w:tc>
        <w:tc>
          <w:tcPr>
            <w:tcW w:type="dxa" w:w="5760"/>
            <w:vAlign w:val="center"/>
          </w:tcPr>
          <w:p>
            <w:r/>
            <w:r>
              <w:rPr>
                <w:b w:val="0"/>
                <w:sz w:val="19"/>
              </w:rPr>
              <w:t>Human minutes per complaint</w:t>
            </w:r>
          </w:p>
        </w:tc>
        <w:tc>
          <w:tcPr>
            <w:tcW w:type="dxa" w:w="2736"/>
            <w:vAlign w:val="center"/>
          </w:tcPr>
          <w:p>
            <w:r/>
            <w:r>
              <w:rPr>
                <w:b w:val="0"/>
                <w:sz w:val="19"/>
              </w:rPr>
              <w:t>Down 60%+ target</w:t>
            </w:r>
          </w:p>
        </w:tc>
      </w:tr>
      <w:tr>
        <w:tc>
          <w:tcPr>
            <w:tcW w:type="dxa" w:w="2448"/>
            <w:vAlign w:val="center"/>
          </w:tcPr>
          <w:p>
            <w:r/>
            <w:r>
              <w:rPr>
                <w:b w:val="0"/>
                <w:sz w:val="19"/>
              </w:rPr>
              <w:t>Classification Accuracy</w:t>
            </w:r>
          </w:p>
        </w:tc>
        <w:tc>
          <w:tcPr>
            <w:tcW w:type="dxa" w:w="5760"/>
            <w:vAlign w:val="center"/>
          </w:tcPr>
          <w:p>
            <w:r/>
            <w:r>
              <w:rPr>
                <w:b w:val="0"/>
                <w:sz w:val="19"/>
              </w:rPr>
              <w:t>Correct complaint categories / total</w:t>
            </w:r>
          </w:p>
        </w:tc>
        <w:tc>
          <w:tcPr>
            <w:tcW w:type="dxa" w:w="2736"/>
            <w:vAlign w:val="center"/>
          </w:tcPr>
          <w:p>
            <w:r/>
            <w:r>
              <w:rPr>
                <w:b w:val="0"/>
                <w:sz w:val="19"/>
              </w:rPr>
              <w:t>&gt;90% target</w:t>
            </w:r>
          </w:p>
        </w:tc>
      </w:tr>
      <w:tr>
        <w:tc>
          <w:tcPr>
            <w:tcW w:type="dxa" w:w="2448"/>
            <w:vAlign w:val="center"/>
          </w:tcPr>
          <w:p>
            <w:r/>
            <w:r>
              <w:rPr>
                <w:b w:val="0"/>
                <w:sz w:val="19"/>
              </w:rPr>
              <w:t>SLA Detection Recall</w:t>
            </w:r>
          </w:p>
        </w:tc>
        <w:tc>
          <w:tcPr>
            <w:tcW w:type="dxa" w:w="5760"/>
            <w:vAlign w:val="center"/>
          </w:tcPr>
          <w:p>
            <w:r/>
            <w:r>
              <w:rPr>
                <w:b w:val="0"/>
                <w:sz w:val="19"/>
              </w:rPr>
              <w:t>Breaches correctly identified / actual breaches</w:t>
            </w:r>
          </w:p>
        </w:tc>
        <w:tc>
          <w:tcPr>
            <w:tcW w:type="dxa" w:w="2736"/>
            <w:vAlign w:val="center"/>
          </w:tcPr>
          <w:p>
            <w:r/>
            <w:r>
              <w:rPr>
                <w:b w:val="0"/>
                <w:sz w:val="19"/>
              </w:rPr>
              <w:t>&gt;95% target</w:t>
            </w:r>
          </w:p>
        </w:tc>
      </w:tr>
      <w:tr>
        <w:tc>
          <w:tcPr>
            <w:tcW w:type="dxa" w:w="2448"/>
            <w:vAlign w:val="center"/>
          </w:tcPr>
          <w:p>
            <w:r/>
            <w:r>
              <w:rPr>
                <w:b w:val="0"/>
                <w:sz w:val="19"/>
              </w:rPr>
              <w:t>Related Case Precision</w:t>
            </w:r>
          </w:p>
        </w:tc>
        <w:tc>
          <w:tcPr>
            <w:tcW w:type="dxa" w:w="5760"/>
            <w:vAlign w:val="center"/>
          </w:tcPr>
          <w:p>
            <w:r/>
            <w:r>
              <w:rPr>
                <w:b w:val="0"/>
                <w:sz w:val="19"/>
              </w:rPr>
              <w:t>True related cases / retrieved related cases</w:t>
            </w:r>
          </w:p>
        </w:tc>
        <w:tc>
          <w:tcPr>
            <w:tcW w:type="dxa" w:w="2736"/>
            <w:vAlign w:val="center"/>
          </w:tcPr>
          <w:p>
            <w:r/>
            <w:r>
              <w:rPr>
                <w:b w:val="0"/>
                <w:sz w:val="19"/>
              </w:rPr>
              <w:t>&gt;90% target</w:t>
            </w:r>
          </w:p>
        </w:tc>
      </w:tr>
      <w:tr>
        <w:tc>
          <w:tcPr>
            <w:tcW w:type="dxa" w:w="2448"/>
            <w:vAlign w:val="center"/>
          </w:tcPr>
          <w:p>
            <w:r/>
            <w:r>
              <w:rPr>
                <w:b w:val="0"/>
                <w:sz w:val="19"/>
              </w:rPr>
              <w:t>Resolution Acceptance</w:t>
            </w:r>
          </w:p>
        </w:tc>
        <w:tc>
          <w:tcPr>
            <w:tcW w:type="dxa" w:w="5760"/>
            <w:vAlign w:val="center"/>
          </w:tcPr>
          <w:p>
            <w:r/>
            <w:r>
              <w:rPr>
                <w:b w:val="0"/>
                <w:sz w:val="19"/>
              </w:rPr>
              <w:t>Human reviewers accepting recommendation</w:t>
            </w:r>
          </w:p>
        </w:tc>
        <w:tc>
          <w:tcPr>
            <w:tcW w:type="dxa" w:w="2736"/>
            <w:vAlign w:val="center"/>
          </w:tcPr>
          <w:p>
            <w:r/>
            <w:r>
              <w:rPr>
                <w:b w:val="0"/>
                <w:sz w:val="19"/>
              </w:rPr>
              <w:t>Track quality and safety</w:t>
            </w:r>
          </w:p>
        </w:tc>
      </w:tr>
      <w:tr>
        <w:tc>
          <w:tcPr>
            <w:tcW w:type="dxa" w:w="2448"/>
            <w:vAlign w:val="center"/>
          </w:tcPr>
          <w:p>
            <w:r/>
            <w:r>
              <w:rPr>
                <w:b w:val="0"/>
                <w:sz w:val="19"/>
              </w:rPr>
              <w:t>Escalation Rate</w:t>
            </w:r>
          </w:p>
        </w:tc>
        <w:tc>
          <w:tcPr>
            <w:tcW w:type="dxa" w:w="5760"/>
            <w:vAlign w:val="center"/>
          </w:tcPr>
          <w:p>
            <w:r/>
            <w:r>
              <w:rPr>
                <w:b w:val="0"/>
                <w:sz w:val="19"/>
              </w:rPr>
              <w:t>Cases routed to humans / all cases</w:t>
            </w:r>
          </w:p>
        </w:tc>
        <w:tc>
          <w:tcPr>
            <w:tcW w:type="dxa" w:w="2736"/>
            <w:vAlign w:val="center"/>
          </w:tcPr>
          <w:p>
            <w:r/>
            <w:r>
              <w:rPr>
                <w:b w:val="0"/>
                <w:sz w:val="19"/>
              </w:rPr>
              <w:t>Trend downward for low-risk cases</w:t>
            </w:r>
          </w:p>
        </w:tc>
      </w:tr>
    </w:tbl>
    <w:p/>
    <w:p>
      <w:pPr>
        <w:pStyle w:val="Heading2"/>
      </w:pPr>
      <w:r>
        <w:t>15.1 Evaluation set</w:t>
      </w:r>
    </w:p>
    <w:p>
      <w:r>
        <w:t>Build a golden set of representative complaints covering delivery, payment, returns, account issues, policy exceptions and repeated contacts. Label category, severity, SLA state, expected action and known relationships. Use the set for prompt, retrieval and agent regression testing.</w:t>
      </w:r>
    </w:p>
    <w:p>
      <w:pPr>
        <w:pStyle w:val="Heading1"/>
      </w:pPr>
      <w:r>
        <w:t>16. Hackathon MVP Scope and Build Plan</w:t>
      </w:r>
    </w:p>
    <w:p>
      <w:r>
        <w:t>The goal is not to integrate with every enterprise platform. The goal is to create a believable end-to-end loop using mock enterprise services.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7365D"/>
          </w:tcPr>
          <w:p>
            <w:r/>
            <w:r>
              <w:rPr>
                <w:b/>
                <w:color w:val="FFFFFF"/>
                <w:sz w:val="20"/>
              </w:rPr>
              <w:t>Phase</w:t>
            </w:r>
          </w:p>
        </w:tc>
        <w:tc>
          <w:tcPr>
            <w:tcW w:type="dxa" w:w="8064"/>
            <w:vAlign w:val="center"/>
            <w:shd w:fill="17365D"/>
          </w:tcPr>
          <w:p>
            <w:r/>
            <w:r>
              <w:rPr>
                <w:b/>
                <w:color w:val="FFFFFF"/>
                <w:sz w:val="20"/>
              </w:rPr>
              <w:t>Deliverable</w:t>
            </w:r>
          </w:p>
        </w:tc>
      </w:tr>
      <w:tr>
        <w:tc>
          <w:tcPr>
            <w:tcW w:type="dxa" w:w="3168"/>
            <w:vAlign w:val="center"/>
          </w:tcPr>
          <w:p>
            <w:r/>
            <w:r>
              <w:rPr>
                <w:b w:val="0"/>
                <w:sz w:val="19"/>
              </w:rPr>
              <w:t>Phase A - Foundation</w:t>
            </w:r>
          </w:p>
        </w:tc>
        <w:tc>
          <w:tcPr>
            <w:tcW w:type="dxa" w:w="8064"/>
            <w:vAlign w:val="center"/>
          </w:tcPr>
          <w:p>
            <w:r/>
            <w:r>
              <w:rPr>
                <w:b w:val="0"/>
                <w:sz w:val="19"/>
              </w:rPr>
              <w:t>Create schemas, PostgreSQL tables, FastAPI service, React shell and sample data.</w:t>
            </w:r>
          </w:p>
        </w:tc>
      </w:tr>
      <w:tr>
        <w:tc>
          <w:tcPr>
            <w:tcW w:type="dxa" w:w="3168"/>
            <w:vAlign w:val="center"/>
          </w:tcPr>
          <w:p>
            <w:r/>
            <w:r>
              <w:rPr>
                <w:b w:val="0"/>
                <w:sz w:val="19"/>
              </w:rPr>
              <w:t>Phase B - Core AI</w:t>
            </w:r>
          </w:p>
        </w:tc>
        <w:tc>
          <w:tcPr>
            <w:tcW w:type="dxa" w:w="8064"/>
            <w:vAlign w:val="center"/>
          </w:tcPr>
          <w:p>
            <w:r/>
            <w:r>
              <w:rPr>
                <w:b w:val="0"/>
                <w:sz w:val="19"/>
              </w:rPr>
              <w:t>Implement structured classification, sentiment, severity and complaint summarisation.</w:t>
            </w:r>
          </w:p>
        </w:tc>
      </w:tr>
      <w:tr>
        <w:tc>
          <w:tcPr>
            <w:tcW w:type="dxa" w:w="3168"/>
            <w:vAlign w:val="center"/>
          </w:tcPr>
          <w:p>
            <w:r/>
            <w:r>
              <w:rPr>
                <w:b w:val="0"/>
                <w:sz w:val="19"/>
              </w:rPr>
              <w:t>Phase C - RAG</w:t>
            </w:r>
          </w:p>
        </w:tc>
        <w:tc>
          <w:tcPr>
            <w:tcW w:type="dxa" w:w="8064"/>
            <w:vAlign w:val="center"/>
          </w:tcPr>
          <w:p>
            <w:r/>
            <w:r>
              <w:rPr>
                <w:b w:val="0"/>
                <w:sz w:val="19"/>
              </w:rPr>
              <w:t>Ingest policy documents, create embeddings, implement retrieval and source display.</w:t>
            </w:r>
          </w:p>
        </w:tc>
      </w:tr>
      <w:tr>
        <w:tc>
          <w:tcPr>
            <w:tcW w:type="dxa" w:w="3168"/>
            <w:vAlign w:val="center"/>
          </w:tcPr>
          <w:p>
            <w:r/>
            <w:r>
              <w:rPr>
                <w:b w:val="0"/>
                <w:sz w:val="19"/>
              </w:rPr>
              <w:t>Phase D - Agent tools</w:t>
            </w:r>
          </w:p>
        </w:tc>
        <w:tc>
          <w:tcPr>
            <w:tcW w:type="dxa" w:w="8064"/>
            <w:vAlign w:val="center"/>
          </w:tcPr>
          <w:p>
            <w:r/>
            <w:r>
              <w:rPr>
                <w:b w:val="0"/>
                <w:sz w:val="19"/>
              </w:rPr>
              <w:t>Implement customer lookup, order lookup, previous ticket search and action simulation.</w:t>
            </w:r>
          </w:p>
        </w:tc>
      </w:tr>
      <w:tr>
        <w:tc>
          <w:tcPr>
            <w:tcW w:type="dxa" w:w="3168"/>
            <w:vAlign w:val="center"/>
          </w:tcPr>
          <w:p>
            <w:r/>
            <w:r>
              <w:rPr>
                <w:b w:val="0"/>
                <w:sz w:val="19"/>
              </w:rPr>
              <w:t>Phase E - Supervisor</w:t>
            </w:r>
          </w:p>
        </w:tc>
        <w:tc>
          <w:tcPr>
            <w:tcW w:type="dxa" w:w="8064"/>
            <w:vAlign w:val="center"/>
          </w:tcPr>
          <w:p>
            <w:r/>
            <w:r>
              <w:rPr>
                <w:b w:val="0"/>
                <w:sz w:val="19"/>
              </w:rPr>
              <w:t>Implement risk rules, approval flow and audit logging.</w:t>
            </w:r>
          </w:p>
        </w:tc>
      </w:tr>
      <w:tr>
        <w:tc>
          <w:tcPr>
            <w:tcW w:type="dxa" w:w="3168"/>
            <w:vAlign w:val="center"/>
          </w:tcPr>
          <w:p>
            <w:r/>
            <w:r>
              <w:rPr>
                <w:b w:val="0"/>
                <w:sz w:val="19"/>
              </w:rPr>
              <w:t>Phase F - Incident intelligence</w:t>
            </w:r>
          </w:p>
        </w:tc>
        <w:tc>
          <w:tcPr>
            <w:tcW w:type="dxa" w:w="8064"/>
            <w:vAlign w:val="center"/>
          </w:tcPr>
          <w:p>
            <w:r/>
            <w:r>
              <w:rPr>
                <w:b w:val="0"/>
                <w:sz w:val="19"/>
              </w:rPr>
              <w:t>Implement similarity search, complaint clustering and incident dashboard.</w:t>
            </w:r>
          </w:p>
        </w:tc>
      </w:tr>
      <w:tr>
        <w:tc>
          <w:tcPr>
            <w:tcW w:type="dxa" w:w="3168"/>
            <w:vAlign w:val="center"/>
          </w:tcPr>
          <w:p>
            <w:r/>
            <w:r>
              <w:rPr>
                <w:b w:val="0"/>
                <w:sz w:val="19"/>
              </w:rPr>
              <w:t>Phase G - Demo polish</w:t>
            </w:r>
          </w:p>
        </w:tc>
        <w:tc>
          <w:tcPr>
            <w:tcW w:type="dxa" w:w="8064"/>
            <w:vAlign w:val="center"/>
          </w:tcPr>
          <w:p>
            <w:r/>
            <w:r>
              <w:rPr>
                <w:b w:val="0"/>
                <w:sz w:val="19"/>
              </w:rPr>
              <w:t>Add seeded data, animations/status transitions, clean dashboard, error handling and one strong narrative scenario.</w:t>
            </w:r>
          </w:p>
        </w:tc>
      </w:tr>
    </w:tbl>
    <w:p/>
    <w:p>
      <w:pPr>
        <w:pStyle w:val="Heading1"/>
      </w:pPr>
      <w:r>
        <w:t>17. Demo Script</w:t>
      </w:r>
    </w:p>
    <w:p>
      <w:r>
        <w:t>The ideal demo should take approximately 3-5 minutes and show the full lifecycle rather than a collection of disconnected screens.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7365D"/>
          </w:tcPr>
          <w:p>
            <w:r/>
            <w:r>
              <w:rPr>
                <w:b/>
                <w:color w:val="FFFFFF"/>
                <w:sz w:val="20"/>
              </w:rPr>
              <w:t>Demo moment</w:t>
            </w:r>
          </w:p>
        </w:tc>
        <w:tc>
          <w:tcPr>
            <w:tcW w:type="dxa" w:w="8928"/>
            <w:vAlign w:val="center"/>
            <w:shd w:fill="17365D"/>
          </w:tcPr>
          <w:p>
            <w:r/>
            <w:r>
              <w:rPr>
                <w:b/>
                <w:color w:val="FFFFFF"/>
                <w:sz w:val="20"/>
              </w:rPr>
              <w:t>What to show</w:t>
            </w:r>
          </w:p>
        </w:tc>
      </w:tr>
      <w:tr>
        <w:tc>
          <w:tcPr>
            <w:tcW w:type="dxa" w:w="2304"/>
            <w:vAlign w:val="center"/>
          </w:tcPr>
          <w:p>
            <w:r/>
            <w:r>
              <w:rPr>
                <w:b w:val="0"/>
                <w:sz w:val="19"/>
              </w:rPr>
              <w:t>1. Intake</w:t>
            </w:r>
          </w:p>
        </w:tc>
        <w:tc>
          <w:tcPr>
            <w:tcW w:type="dxa" w:w="8928"/>
            <w:vAlign w:val="center"/>
          </w:tcPr>
          <w:p>
            <w:r/>
            <w:r>
              <w:rPr>
                <w:b w:val="0"/>
                <w:sz w:val="19"/>
              </w:rPr>
              <w:t>Submit an angry delivery complaint through a simulated email endpoint.</w:t>
            </w:r>
          </w:p>
        </w:tc>
      </w:tr>
      <w:tr>
        <w:tc>
          <w:tcPr>
            <w:tcW w:type="dxa" w:w="2304"/>
            <w:vAlign w:val="center"/>
          </w:tcPr>
          <w:p>
            <w:r/>
            <w:r>
              <w:rPr>
                <w:b w:val="0"/>
                <w:sz w:val="19"/>
              </w:rPr>
              <w:t>2. Understanding</w:t>
            </w:r>
          </w:p>
        </w:tc>
        <w:tc>
          <w:tcPr>
            <w:tcW w:type="dxa" w:w="8928"/>
            <w:vAlign w:val="center"/>
          </w:tcPr>
          <w:p>
            <w:r/>
            <w:r>
              <w:rPr>
                <w:b w:val="0"/>
                <w:sz w:val="19"/>
              </w:rPr>
              <w:t>Show category = Delivery, sentiment = Frustrated, severity = High.</w:t>
            </w:r>
          </w:p>
        </w:tc>
      </w:tr>
      <w:tr>
        <w:tc>
          <w:tcPr>
            <w:tcW w:type="dxa" w:w="2304"/>
            <w:vAlign w:val="center"/>
          </w:tcPr>
          <w:p>
            <w:r/>
            <w:r>
              <w:rPr>
                <w:b w:val="0"/>
                <w:sz w:val="19"/>
              </w:rPr>
              <w:t>3. Context</w:t>
            </w:r>
          </w:p>
        </w:tc>
        <w:tc>
          <w:tcPr>
            <w:tcW w:type="dxa" w:w="8928"/>
            <w:vAlign w:val="center"/>
          </w:tcPr>
          <w:p>
            <w:r/>
            <w:r>
              <w:rPr>
                <w:b w:val="0"/>
                <w:sz w:val="19"/>
              </w:rPr>
              <w:t>Retrieve the order and two previous contacts; show SLA breach.</w:t>
            </w:r>
          </w:p>
        </w:tc>
      </w:tr>
      <w:tr>
        <w:tc>
          <w:tcPr>
            <w:tcW w:type="dxa" w:w="2304"/>
            <w:vAlign w:val="center"/>
          </w:tcPr>
          <w:p>
            <w:r/>
            <w:r>
              <w:rPr>
                <w:b w:val="0"/>
                <w:sz w:val="19"/>
              </w:rPr>
              <w:t>4. Investigation</w:t>
            </w:r>
          </w:p>
        </w:tc>
        <w:tc>
          <w:tcPr>
            <w:tcW w:type="dxa" w:w="8928"/>
            <w:vAlign w:val="center"/>
          </w:tcPr>
          <w:p>
            <w:r/>
            <w:r>
              <w:rPr>
                <w:b w:val="0"/>
                <w:sz w:val="19"/>
              </w:rPr>
              <w:t>Show 18 similar complaints and an emerging incident.</w:t>
            </w:r>
          </w:p>
        </w:tc>
      </w:tr>
      <w:tr>
        <w:tc>
          <w:tcPr>
            <w:tcW w:type="dxa" w:w="2304"/>
            <w:vAlign w:val="center"/>
          </w:tcPr>
          <w:p>
            <w:r/>
            <w:r>
              <w:rPr>
                <w:b w:val="0"/>
                <w:sz w:val="19"/>
              </w:rPr>
              <w:t>5. Policy</w:t>
            </w:r>
          </w:p>
        </w:tc>
        <w:tc>
          <w:tcPr>
            <w:tcW w:type="dxa" w:w="8928"/>
            <w:vAlign w:val="center"/>
          </w:tcPr>
          <w:p>
            <w:r/>
            <w:r>
              <w:rPr>
                <w:b w:val="0"/>
                <w:sz w:val="19"/>
              </w:rPr>
              <w:t>Display the compensation policy passage that permits a fee waiver.</w:t>
            </w:r>
          </w:p>
        </w:tc>
      </w:tr>
      <w:tr>
        <w:tc>
          <w:tcPr>
            <w:tcW w:type="dxa" w:w="2304"/>
            <w:vAlign w:val="center"/>
          </w:tcPr>
          <w:p>
            <w:r/>
            <w:r>
              <w:rPr>
                <w:b w:val="0"/>
                <w:sz w:val="19"/>
              </w:rPr>
              <w:t>6. Resolution</w:t>
            </w:r>
          </w:p>
        </w:tc>
        <w:tc>
          <w:tcPr>
            <w:tcW w:type="dxa" w:w="8928"/>
            <w:vAlign w:val="center"/>
          </w:tcPr>
          <w:p>
            <w:r/>
            <w:r>
              <w:rPr>
                <w:b w:val="0"/>
                <w:sz w:val="19"/>
              </w:rPr>
              <w:t>Show priority replacement + fee waiver recommendation at 94% confidence.</w:t>
            </w:r>
          </w:p>
        </w:tc>
      </w:tr>
      <w:tr>
        <w:tc>
          <w:tcPr>
            <w:tcW w:type="dxa" w:w="2304"/>
            <w:vAlign w:val="center"/>
          </w:tcPr>
          <w:p>
            <w:r/>
            <w:r>
              <w:rPr>
                <w:b w:val="0"/>
                <w:sz w:val="19"/>
              </w:rPr>
              <w:t>7. Supervisor</w:t>
            </w:r>
          </w:p>
        </w:tc>
        <w:tc>
          <w:tcPr>
            <w:tcW w:type="dxa" w:w="8928"/>
            <w:vAlign w:val="center"/>
          </w:tcPr>
          <w:p>
            <w:r/>
            <w:r>
              <w:rPr>
                <w:b w:val="0"/>
                <w:sz w:val="19"/>
              </w:rPr>
              <w:t>Show auto-resolve for the safe action and escalation for the operational incident.</w:t>
            </w:r>
          </w:p>
        </w:tc>
      </w:tr>
      <w:tr>
        <w:tc>
          <w:tcPr>
            <w:tcW w:type="dxa" w:w="2304"/>
            <w:vAlign w:val="center"/>
          </w:tcPr>
          <w:p>
            <w:r/>
            <w:r>
              <w:rPr>
                <w:b w:val="0"/>
                <w:sz w:val="19"/>
              </w:rPr>
              <w:t>8. Outcome</w:t>
            </w:r>
          </w:p>
        </w:tc>
        <w:tc>
          <w:tcPr>
            <w:tcW w:type="dxa" w:w="8928"/>
            <w:vAlign w:val="center"/>
          </w:tcPr>
          <w:p>
            <w:r/>
            <w:r>
              <w:rPr>
                <w:b w:val="0"/>
                <w:sz w:val="19"/>
              </w:rPr>
              <w:t>Show customer response draft and operations incident dashboard.</w:t>
            </w:r>
          </w:p>
        </w:tc>
      </w:tr>
    </w:tbl>
    <w:p/>
    <w:p>
      <w:r>
        <w:t>Closing line: “One complaint resolved. One business problem discovered.”</w:t>
      </w:r>
    </w:p>
    <w:p>
      <w:pPr>
        <w:pStyle w:val="Heading1"/>
      </w:pPr>
      <w:r>
        <w:t>18. Limitations,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7365D"/>
          </w:tcPr>
          <w:p>
            <w:r/>
            <w:r>
              <w:rPr>
                <w:b/>
                <w:color w:val="FFFFFF"/>
                <w:sz w:val="20"/>
              </w:rPr>
              <w:t>Risk</w:t>
            </w:r>
          </w:p>
        </w:tc>
        <w:tc>
          <w:tcPr>
            <w:tcW w:type="dxa" w:w="4176"/>
            <w:vAlign w:val="center"/>
            <w:shd w:fill="17365D"/>
          </w:tcPr>
          <w:p>
            <w:r/>
            <w:r>
              <w:rPr>
                <w:b/>
                <w:color w:val="FFFFFF"/>
                <w:sz w:val="20"/>
              </w:rPr>
              <w:t>Why it matters</w:t>
            </w:r>
          </w:p>
        </w:tc>
        <w:tc>
          <w:tcPr>
            <w:tcW w:type="dxa" w:w="4608"/>
            <w:vAlign w:val="center"/>
            <w:shd w:fill="17365D"/>
          </w:tcPr>
          <w:p>
            <w:r/>
            <w:r>
              <w:rPr>
                <w:b/>
                <w:color w:val="FFFFFF"/>
                <w:sz w:val="20"/>
              </w:rPr>
              <w:t>Mitigation</w:t>
            </w:r>
          </w:p>
        </w:tc>
      </w:tr>
      <w:tr>
        <w:tc>
          <w:tcPr>
            <w:tcW w:type="dxa" w:w="2448"/>
            <w:vAlign w:val="center"/>
          </w:tcPr>
          <w:p>
            <w:r/>
            <w:r>
              <w:rPr>
                <w:b w:val="0"/>
                <w:sz w:val="19"/>
              </w:rPr>
              <w:t>Incorrect identity match</w:t>
            </w:r>
          </w:p>
        </w:tc>
        <w:tc>
          <w:tcPr>
            <w:tcW w:type="dxa" w:w="4176"/>
            <w:vAlign w:val="center"/>
          </w:tcPr>
          <w:p>
            <w:r/>
            <w:r>
              <w:rPr>
                <w:b w:val="0"/>
                <w:sz w:val="19"/>
              </w:rPr>
              <w:t>Could attach the complaint to the wrong customer</w:t>
            </w:r>
          </w:p>
        </w:tc>
        <w:tc>
          <w:tcPr>
            <w:tcW w:type="dxa" w:w="4608"/>
            <w:vAlign w:val="center"/>
          </w:tcPr>
          <w:p>
            <w:r/>
            <w:r>
              <w:rPr>
                <w:b w:val="0"/>
                <w:sz w:val="19"/>
              </w:rPr>
              <w:t>Deterministic identifiers first; confidence threshold; human review for ambiguous matches</w:t>
            </w:r>
          </w:p>
        </w:tc>
      </w:tr>
      <w:tr>
        <w:tc>
          <w:tcPr>
            <w:tcW w:type="dxa" w:w="2448"/>
            <w:vAlign w:val="center"/>
          </w:tcPr>
          <w:p>
            <w:r/>
            <w:r>
              <w:rPr>
                <w:b w:val="0"/>
                <w:sz w:val="19"/>
              </w:rPr>
              <w:t>Hallucinated policy</w:t>
            </w:r>
          </w:p>
        </w:tc>
        <w:tc>
          <w:tcPr>
            <w:tcW w:type="dxa" w:w="4176"/>
            <w:vAlign w:val="center"/>
          </w:tcPr>
          <w:p>
            <w:r/>
            <w:r>
              <w:rPr>
                <w:b w:val="0"/>
                <w:sz w:val="19"/>
              </w:rPr>
              <w:t>Could recommend an invalid action</w:t>
            </w:r>
          </w:p>
        </w:tc>
        <w:tc>
          <w:tcPr>
            <w:tcW w:type="dxa" w:w="4608"/>
            <w:vAlign w:val="center"/>
          </w:tcPr>
          <w:p>
            <w:r/>
            <w:r>
              <w:rPr>
                <w:b w:val="0"/>
                <w:sz w:val="19"/>
              </w:rPr>
              <w:t>RAG with source citations + policy validation</w:t>
            </w:r>
          </w:p>
        </w:tc>
      </w:tr>
      <w:tr>
        <w:tc>
          <w:tcPr>
            <w:tcW w:type="dxa" w:w="2448"/>
            <w:vAlign w:val="center"/>
          </w:tcPr>
          <w:p>
            <w:r/>
            <w:r>
              <w:rPr>
                <w:b w:val="0"/>
                <w:sz w:val="19"/>
              </w:rPr>
              <w:t>Wrong classification</w:t>
            </w:r>
          </w:p>
        </w:tc>
        <w:tc>
          <w:tcPr>
            <w:tcW w:type="dxa" w:w="4176"/>
            <w:vAlign w:val="center"/>
          </w:tcPr>
          <w:p>
            <w:r/>
            <w:r>
              <w:rPr>
                <w:b w:val="0"/>
                <w:sz w:val="19"/>
              </w:rPr>
              <w:t>Could mis-prioritise a case</w:t>
            </w:r>
          </w:p>
        </w:tc>
        <w:tc>
          <w:tcPr>
            <w:tcW w:type="dxa" w:w="4608"/>
            <w:vAlign w:val="center"/>
          </w:tcPr>
          <w:p>
            <w:r/>
            <w:r>
              <w:rPr>
                <w:b w:val="0"/>
                <w:sz w:val="19"/>
              </w:rPr>
              <w:t>Golden-set evaluation; fallback queue; human override</w:t>
            </w:r>
          </w:p>
        </w:tc>
      </w:tr>
      <w:tr>
        <w:tc>
          <w:tcPr>
            <w:tcW w:type="dxa" w:w="2448"/>
            <w:vAlign w:val="center"/>
          </w:tcPr>
          <w:p>
            <w:r/>
            <w:r>
              <w:rPr>
                <w:b w:val="0"/>
                <w:sz w:val="19"/>
              </w:rPr>
              <w:t>Unsafe automation</w:t>
            </w:r>
          </w:p>
        </w:tc>
        <w:tc>
          <w:tcPr>
            <w:tcW w:type="dxa" w:w="4176"/>
            <w:vAlign w:val="center"/>
          </w:tcPr>
          <w:p>
            <w:r/>
            <w:r>
              <w:rPr>
                <w:b w:val="0"/>
                <w:sz w:val="19"/>
              </w:rPr>
              <w:t>Could cause financial/reputational damage</w:t>
            </w:r>
          </w:p>
        </w:tc>
        <w:tc>
          <w:tcPr>
            <w:tcW w:type="dxa" w:w="4608"/>
            <w:vAlign w:val="center"/>
          </w:tcPr>
          <w:p>
            <w:r/>
            <w:r>
              <w:rPr>
                <w:b w:val="0"/>
                <w:sz w:val="19"/>
              </w:rPr>
              <w:t>Risk tiers + supervisor + approval gates</w:t>
            </w:r>
          </w:p>
        </w:tc>
      </w:tr>
      <w:tr>
        <w:tc>
          <w:tcPr>
            <w:tcW w:type="dxa" w:w="2448"/>
            <w:vAlign w:val="center"/>
          </w:tcPr>
          <w:p>
            <w:r/>
            <w:r>
              <w:rPr>
                <w:b w:val="0"/>
                <w:sz w:val="19"/>
              </w:rPr>
              <w:t>Poor source data</w:t>
            </w:r>
          </w:p>
        </w:tc>
        <w:tc>
          <w:tcPr>
            <w:tcW w:type="dxa" w:w="4176"/>
            <w:vAlign w:val="center"/>
          </w:tcPr>
          <w:p>
            <w:r/>
            <w:r>
              <w:rPr>
                <w:b w:val="0"/>
                <w:sz w:val="19"/>
              </w:rPr>
              <w:t>Can degrade context quality</w:t>
            </w:r>
          </w:p>
        </w:tc>
        <w:tc>
          <w:tcPr>
            <w:tcW w:type="dxa" w:w="4608"/>
            <w:vAlign w:val="center"/>
          </w:tcPr>
          <w:p>
            <w:r/>
            <w:r>
              <w:rPr>
                <w:b w:val="0"/>
                <w:sz w:val="19"/>
              </w:rPr>
              <w:t>Data-quality checks; missing-context flags</w:t>
            </w:r>
          </w:p>
        </w:tc>
      </w:tr>
      <w:tr>
        <w:tc>
          <w:tcPr>
            <w:tcW w:type="dxa" w:w="2448"/>
            <w:vAlign w:val="center"/>
          </w:tcPr>
          <w:p>
            <w:r/>
            <w:r>
              <w:rPr>
                <w:b w:val="0"/>
                <w:sz w:val="19"/>
              </w:rPr>
              <w:t>False root-cause inference</w:t>
            </w:r>
          </w:p>
        </w:tc>
        <w:tc>
          <w:tcPr>
            <w:tcW w:type="dxa" w:w="4176"/>
            <w:vAlign w:val="center"/>
          </w:tcPr>
          <w:p>
            <w:r/>
            <w:r>
              <w:rPr>
                <w:b w:val="0"/>
                <w:sz w:val="19"/>
              </w:rPr>
              <w:t>Could mislead operations</w:t>
            </w:r>
          </w:p>
        </w:tc>
        <w:tc>
          <w:tcPr>
            <w:tcW w:type="dxa" w:w="4608"/>
            <w:vAlign w:val="center"/>
          </w:tcPr>
          <w:p>
            <w:r/>
            <w:r>
              <w:rPr>
                <w:b w:val="0"/>
                <w:sz w:val="19"/>
              </w:rPr>
              <w:t>Present as evidence-backed hypothesis; require confirmation</w:t>
            </w:r>
          </w:p>
        </w:tc>
      </w:tr>
      <w:tr>
        <w:tc>
          <w:tcPr>
            <w:tcW w:type="dxa" w:w="2448"/>
            <w:vAlign w:val="center"/>
          </w:tcPr>
          <w:p>
            <w:r/>
            <w:r>
              <w:rPr>
                <w:b w:val="0"/>
                <w:sz w:val="19"/>
              </w:rPr>
              <w:t>LLM latency/cost</w:t>
            </w:r>
          </w:p>
        </w:tc>
        <w:tc>
          <w:tcPr>
            <w:tcW w:type="dxa" w:w="4176"/>
            <w:vAlign w:val="center"/>
          </w:tcPr>
          <w:p>
            <w:r/>
            <w:r>
              <w:rPr>
                <w:b w:val="0"/>
                <w:sz w:val="19"/>
              </w:rPr>
              <w:t>Can affect throughput</w:t>
            </w:r>
          </w:p>
        </w:tc>
        <w:tc>
          <w:tcPr>
            <w:tcW w:type="dxa" w:w="4608"/>
            <w:vAlign w:val="center"/>
          </w:tcPr>
          <w:p>
            <w:r/>
            <w:r>
              <w:rPr>
                <w:b w:val="0"/>
                <w:sz w:val="19"/>
              </w:rPr>
              <w:t>Caching, smaller models for extraction, async processing</w:t>
            </w:r>
          </w:p>
        </w:tc>
      </w:tr>
      <w:tr>
        <w:tc>
          <w:tcPr>
            <w:tcW w:type="dxa" w:w="2448"/>
            <w:vAlign w:val="center"/>
          </w:tcPr>
          <w:p>
            <w:r/>
            <w:r>
              <w:rPr>
                <w:b w:val="0"/>
                <w:sz w:val="19"/>
              </w:rPr>
              <w:t>Duplicate actions</w:t>
            </w:r>
          </w:p>
        </w:tc>
        <w:tc>
          <w:tcPr>
            <w:tcW w:type="dxa" w:w="4176"/>
            <w:vAlign w:val="center"/>
          </w:tcPr>
          <w:p>
            <w:r/>
            <w:r>
              <w:rPr>
                <w:b w:val="0"/>
                <w:sz w:val="19"/>
              </w:rPr>
              <w:t>Could trigger twice</w:t>
            </w:r>
          </w:p>
        </w:tc>
        <w:tc>
          <w:tcPr>
            <w:tcW w:type="dxa" w:w="4608"/>
            <w:vAlign w:val="center"/>
          </w:tcPr>
          <w:p>
            <w:r/>
            <w:r>
              <w:rPr>
                <w:b w:val="0"/>
                <w:sz w:val="19"/>
              </w:rPr>
              <w:t>Idempotency keys and transaction logs</w:t>
            </w:r>
          </w:p>
        </w:tc>
      </w:tr>
    </w:tbl>
    <w:p/>
    <w:p>
      <w:pPr>
        <w:pStyle w:val="Heading1"/>
      </w:pPr>
      <w:r>
        <w:t>19. Future Roadmap</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7365D"/>
          </w:tcPr>
          <w:p>
            <w:r/>
            <w:r>
              <w:rPr>
                <w:b/>
                <w:color w:val="FFFFFF"/>
                <w:sz w:val="20"/>
              </w:rPr>
              <w:t>Stage</w:t>
            </w:r>
          </w:p>
        </w:tc>
        <w:tc>
          <w:tcPr>
            <w:tcW w:type="dxa" w:w="9072"/>
            <w:vAlign w:val="center"/>
            <w:shd w:fill="17365D"/>
          </w:tcPr>
          <w:p>
            <w:r/>
            <w:r>
              <w:rPr>
                <w:b/>
                <w:color w:val="FFFFFF"/>
                <w:sz w:val="20"/>
              </w:rPr>
              <w:t>Expansion</w:t>
            </w:r>
          </w:p>
        </w:tc>
      </w:tr>
      <w:tr>
        <w:tc>
          <w:tcPr>
            <w:tcW w:type="dxa" w:w="2016"/>
            <w:vAlign w:val="center"/>
          </w:tcPr>
          <w:p>
            <w:r/>
            <w:r>
              <w:rPr>
                <w:b w:val="0"/>
                <w:sz w:val="19"/>
              </w:rPr>
              <w:t>Phase 1</w:t>
            </w:r>
          </w:p>
        </w:tc>
        <w:tc>
          <w:tcPr>
            <w:tcW w:type="dxa" w:w="9072"/>
            <w:vAlign w:val="center"/>
          </w:tcPr>
          <w:p>
            <w:r/>
            <w:r>
              <w:rPr>
                <w:b w:val="0"/>
                <w:sz w:val="19"/>
              </w:rPr>
              <w:t>Classification, prioritisation, RAG recommendations</w:t>
            </w:r>
          </w:p>
        </w:tc>
      </w:tr>
      <w:tr>
        <w:tc>
          <w:tcPr>
            <w:tcW w:type="dxa" w:w="2016"/>
            <w:vAlign w:val="center"/>
          </w:tcPr>
          <w:p>
            <w:r/>
            <w:r>
              <w:rPr>
                <w:b w:val="0"/>
                <w:sz w:val="19"/>
              </w:rPr>
              <w:t>Phase 2</w:t>
            </w:r>
          </w:p>
        </w:tc>
        <w:tc>
          <w:tcPr>
            <w:tcW w:type="dxa" w:w="9072"/>
            <w:vAlign w:val="center"/>
          </w:tcPr>
          <w:p>
            <w:r/>
            <w:r>
              <w:rPr>
                <w:b w:val="0"/>
                <w:sz w:val="19"/>
              </w:rPr>
              <w:t>Multi-channel ingestion and low-risk auto-resolution</w:t>
            </w:r>
          </w:p>
        </w:tc>
      </w:tr>
      <w:tr>
        <w:tc>
          <w:tcPr>
            <w:tcW w:type="dxa" w:w="2016"/>
            <w:vAlign w:val="center"/>
          </w:tcPr>
          <w:p>
            <w:r/>
            <w:r>
              <w:rPr>
                <w:b w:val="0"/>
                <w:sz w:val="19"/>
              </w:rPr>
              <w:t>Phase 3</w:t>
            </w:r>
          </w:p>
        </w:tc>
        <w:tc>
          <w:tcPr>
            <w:tcW w:type="dxa" w:w="9072"/>
            <w:vAlign w:val="center"/>
          </w:tcPr>
          <w:p>
            <w:r/>
            <w:r>
              <w:rPr>
                <w:b w:val="0"/>
                <w:sz w:val="19"/>
              </w:rPr>
              <w:t>Complaint clustering and root-cause intelligence</w:t>
            </w:r>
          </w:p>
        </w:tc>
      </w:tr>
      <w:tr>
        <w:tc>
          <w:tcPr>
            <w:tcW w:type="dxa" w:w="2016"/>
            <w:vAlign w:val="center"/>
          </w:tcPr>
          <w:p>
            <w:r/>
            <w:r>
              <w:rPr>
                <w:b w:val="0"/>
                <w:sz w:val="19"/>
              </w:rPr>
              <w:t>Phase 4</w:t>
            </w:r>
          </w:p>
        </w:tc>
        <w:tc>
          <w:tcPr>
            <w:tcW w:type="dxa" w:w="9072"/>
            <w:vAlign w:val="center"/>
          </w:tcPr>
          <w:p>
            <w:r/>
            <w:r>
              <w:rPr>
                <w:b w:val="0"/>
                <w:sz w:val="19"/>
              </w:rPr>
              <w:t>Predictive complaint operations and proactive customer communication</w:t>
            </w:r>
          </w:p>
        </w:tc>
      </w:tr>
      <w:tr>
        <w:tc>
          <w:tcPr>
            <w:tcW w:type="dxa" w:w="2016"/>
            <w:vAlign w:val="center"/>
          </w:tcPr>
          <w:p>
            <w:r/>
            <w:r>
              <w:rPr>
                <w:b w:val="0"/>
                <w:sz w:val="19"/>
              </w:rPr>
              <w:t>Long term</w:t>
            </w:r>
          </w:p>
        </w:tc>
        <w:tc>
          <w:tcPr>
            <w:tcW w:type="dxa" w:w="9072"/>
            <w:vAlign w:val="center"/>
          </w:tcPr>
          <w:p>
            <w:r/>
            <w:r>
              <w:rPr>
                <w:b w:val="0"/>
                <w:sz w:val="19"/>
              </w:rPr>
              <w:t>Autonomous customer operations with monitored agent workflows</w:t>
            </w:r>
          </w:p>
        </w:tc>
      </w:tr>
    </w:tbl>
    <w:p/>
    <w:p>
      <w:pPr>
        <w:pStyle w:val="Heading2"/>
      </w:pPr>
      <w:r>
        <w:t>19.1 Potential extensions</w:t>
      </w:r>
    </w:p>
    <w:p>
      <w:pPr>
        <w:pStyle w:val="ListBullet"/>
        <w:spacing w:after="40"/>
      </w:pPr>
      <w:r>
        <w:t>Multilingual complaint understanding</w:t>
      </w:r>
    </w:p>
    <w:p>
      <w:pPr>
        <w:pStyle w:val="ListBullet"/>
        <w:spacing w:after="40"/>
      </w:pPr>
      <w:r>
        <w:t>Voice-channel transcription and call summarisation</w:t>
      </w:r>
    </w:p>
    <w:p>
      <w:pPr>
        <w:pStyle w:val="ListBullet"/>
        <w:spacing w:after="40"/>
      </w:pPr>
      <w:r>
        <w:t>Proactive notification to customers affected by an incident</w:t>
      </w:r>
    </w:p>
    <w:p>
      <w:pPr>
        <w:pStyle w:val="ListBullet"/>
        <w:spacing w:after="40"/>
      </w:pPr>
      <w:r>
        <w:t>Agent coaching using historical resolutions</w:t>
      </w:r>
    </w:p>
    <w:p>
      <w:pPr>
        <w:pStyle w:val="ListBullet"/>
        <w:spacing w:after="40"/>
      </w:pPr>
      <w:r>
        <w:t>A/B testing of response strategies</w:t>
      </w:r>
    </w:p>
    <w:p>
      <w:pPr>
        <w:pStyle w:val="ListBullet"/>
        <w:spacing w:after="40"/>
      </w:pPr>
      <w:r>
        <w:t>Enterprise SSO and role-based access</w:t>
      </w:r>
    </w:p>
    <w:p>
      <w:pPr>
        <w:pStyle w:val="ListBullet"/>
        <w:spacing w:after="40"/>
      </w:pPr>
      <w:r>
        <w:t>Continuous evaluation and prompt/model versioning</w:t>
      </w:r>
    </w:p>
    <w:p>
      <w:pPr>
        <w:pStyle w:val="Heading1"/>
      </w:pPr>
      <w:r>
        <w:t>20. Final One-Minute Explanation</w:t>
      </w:r>
    </w:p>
    <w:p>
      <w:r>
        <w:t>“ResolveIQ is a multi-agent AI platform for customer complaint resolution. It ingests complaints from multiple channels, unifies them into a single case, understands intent, sentiment and severity, retrieves customer and order context, checks current company policies through RAG, investigates related complaints, and recommends the safest resolution. A supervisor agent controls whether the recommendation can be executed automatically, requires human approval or must be escalated. The key differentiator is that ResolveIQ also clusters related complaints to detect emerging operational incidents. So we are not only automating support; we are turning complaint data into business intelligence. The result is faster resolution, less repetitive work for support teams, better policy consistency and earlier visibility into problems before they grow.”</w:t>
      </w:r>
    </w:p>
    <w:p>
      <w:pPr>
        <w:pStyle w:val="Heading1"/>
      </w:pPr>
      <w:r>
        <w:t>Appendix A - Suggested Repository Structure</w:t>
      </w:r>
    </w:p>
    <w:p>
      <w:pPr>
        <w:spacing w:before="80" w:after="120"/>
        <w:ind w:left="432" w:right="432"/>
      </w:pPr>
      <w:r>
        <w:rPr>
          <w:rFonts w:ascii="Consolas" w:hAnsi="Consolas"/>
          <w:sz w:val="18"/>
        </w:rPr>
        <w:t>resolveiq/</w:t>
        <w:br/>
        <w:t xml:space="preserve">  frontend/</w:t>
        <w:br/>
        <w:t xml:space="preserve">  backend/</w:t>
        <w:br/>
        <w:t xml:space="preserve">  agents/</w:t>
        <w:br/>
        <w:t xml:space="preserve">    intake/</w:t>
        <w:br/>
        <w:t xml:space="preserve">    intelligence/</w:t>
        <w:br/>
        <w:t xml:space="preserve">    context/</w:t>
        <w:br/>
        <w:t xml:space="preserve">    investigation/</w:t>
        <w:br/>
        <w:t xml:space="preserve">    policy/</w:t>
        <w:br/>
        <w:t xml:space="preserve">    resolution/</w:t>
        <w:br/>
        <w:t xml:space="preserve">    supervisor/</w:t>
        <w:br/>
        <w:t xml:space="preserve">  rag/</w:t>
        <w:br/>
        <w:t xml:space="preserve">  database/</w:t>
        <w:br/>
        <w:t xml:space="preserve">  integrations/</w:t>
        <w:br/>
        <w:t xml:space="preserve">  evaluation/</w:t>
        <w:br/>
        <w:t xml:space="preserve">  deployment/</w:t>
        <w:br/>
        <w:t xml:space="preserve">  docs/</w:t>
      </w:r>
    </w:p>
    <w:p>
      <w:pPr>
        <w:pStyle w:val="Heading1"/>
      </w:pPr>
      <w:r>
        <w:t>Appendix B - Example Complaint Processing Event</w:t>
      </w:r>
    </w:p>
    <w:p>
      <w:pPr>
        <w:spacing w:before="80" w:after="120"/>
        <w:ind w:left="432" w:right="432"/>
      </w:pPr>
      <w:r>
        <w:rPr>
          <w:rFonts w:ascii="Consolas" w:hAnsi="Consolas"/>
          <w:sz w:val="18"/>
        </w:rPr>
        <w:t>{</w:t>
        <w:br/>
        <w:t xml:space="preserve">  "event_id": "evt_001",</w:t>
        <w:br/>
        <w:t xml:space="preserve">  "source": "email",</w:t>
        <w:br/>
        <w:t xml:space="preserve">  "customer_ref": "cust_101",</w:t>
        <w:br/>
        <w:t xml:space="preserve">  "text": "My order is five days late...",</w:t>
        <w:br/>
        <w:t xml:space="preserve">  "timestamp": "2026-08-19T18:00:00Z",</w:t>
        <w:br/>
        <w:t xml:space="preserve">  "attachments": []</w:t>
        <w:br/>
        <w:t>}</w:t>
      </w:r>
    </w:p>
    <w:p>
      <w:pPr>
        <w:pStyle w:val="Heading1"/>
      </w:pPr>
      <w:r>
        <w:t>Appendix C - Example Resolution Record</w:t>
      </w:r>
    </w:p>
    <w:p>
      <w:pPr>
        <w:spacing w:before="80" w:after="120"/>
        <w:ind w:left="432" w:right="432"/>
      </w:pPr>
      <w:r>
        <w:rPr>
          <w:rFonts w:ascii="Consolas" w:hAnsi="Consolas"/>
          <w:sz w:val="18"/>
        </w:rPr>
        <w:t>{</w:t>
        <w:br/>
        <w:t xml:space="preserve">  "case_id": "CR-48291",</w:t>
        <w:br/>
        <w:t xml:space="preserve">  "category": "delivery",</w:t>
        <w:br/>
        <w:t xml:space="preserve">  "severity": "high",</w:t>
        <w:br/>
        <w:t xml:space="preserve">  "sla_breached": true,</w:t>
        <w:br/>
        <w:t xml:space="preserve">  "related_cases": 18,</w:t>
        <w:br/>
        <w:t xml:space="preserve">  "incident_candidate": "INC-219",</w:t>
        <w:br/>
        <w:t xml:space="preserve">  "action": "priority_replacement",</w:t>
        <w:br/>
        <w:t xml:space="preserve">  "compensation": "delivery_fee_waiver",</w:t>
        <w:br/>
        <w:t xml:space="preserve">  "policy_source": "Compensation v3.2",</w:t>
        <w:br/>
        <w:t xml:space="preserve">  "confidence": 0.94,</w:t>
        <w:br/>
        <w:t xml:space="preserve">  "decision": "auto_resolve_customer_and_escalate_incident"</w:t>
        <w:br/>
        <w: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ResolveIQ | Project Deep Dive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ResolveIQ Project Deep Dive</dc:title>
  <dc:subject>Detailed documentation for the ResolveIQ hackathon project</dc:subject>
  <dc:creator>ResolveIQ Team</dc:creator>
  <cp:keywords>Customer Complaint Resolution, Multi-Agent AI, RAG, Agentic AI, Hackathon</cp:keywords>
  <dc:description>generated by python-docx</dc:description>
  <cp:lastModifiedBy/>
  <cp:revision>1</cp:revision>
  <dcterms:created xsi:type="dcterms:W3CDTF">2013-12-23T23:15:00Z</dcterms:created>
  <dcterms:modified xsi:type="dcterms:W3CDTF">2013-12-23T23:15:00Z</dcterms:modified>
  <cp:category/>
</cp:coreProperties>
</file>