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51523" w14:textId="0C878448" w:rsidR="00033E63" w:rsidRDefault="00AA06F9" w:rsidP="008C4555">
      <w:pPr>
        <w:spacing w:line="360" w:lineRule="auto"/>
        <w:ind w:left="-1080" w:right="-1080"/>
        <w:jc w:val="both"/>
        <w:rPr>
          <w:rFonts w:ascii="Times New Roman" w:hAnsi="Times New Roman" w:cs="Times New Roman"/>
          <w:b/>
          <w:bCs/>
        </w:rPr>
      </w:pPr>
      <w:r>
        <w:rPr>
          <w:rFonts w:ascii="Times New Roman" w:hAnsi="Times New Roman" w:cs="Times New Roman"/>
          <w:b/>
          <w:bCs/>
        </w:rPr>
        <w:t xml:space="preserve">Publication - </w:t>
      </w:r>
      <w:r w:rsidR="00033E63" w:rsidRPr="00033E63">
        <w:rPr>
          <w:rFonts w:ascii="Times New Roman" w:hAnsi="Times New Roman" w:cs="Times New Roman"/>
          <w:b/>
          <w:bCs/>
        </w:rPr>
        <w:t>IEEE Transactions on Transportation Electrification</w:t>
      </w:r>
    </w:p>
    <w:p w14:paraId="08FAB5AB" w14:textId="77777777" w:rsidR="00802962" w:rsidRDefault="00773B96" w:rsidP="008C4555">
      <w:pPr>
        <w:spacing w:after="0" w:line="360" w:lineRule="auto"/>
        <w:ind w:left="-1080" w:right="-1080"/>
        <w:jc w:val="both"/>
        <w:rPr>
          <w:rStyle w:val="Strong"/>
          <w:rFonts w:ascii="Segoe UI" w:hAnsi="Segoe UI" w:cs="Segoe UI"/>
          <w:color w:val="0F1115"/>
          <w:shd w:val="clear" w:color="auto" w:fill="FFFFFF"/>
        </w:rPr>
      </w:pPr>
      <w:r w:rsidRPr="002F47D2">
        <w:rPr>
          <w:rFonts w:ascii="Times New Roman" w:hAnsi="Times New Roman" w:cs="Times New Roman"/>
          <w:b/>
          <w:bCs/>
        </w:rPr>
        <w:t xml:space="preserve">Title - </w:t>
      </w:r>
      <w:r w:rsidR="00802962">
        <w:rPr>
          <w:rStyle w:val="Strong"/>
          <w:rFonts w:ascii="Segoe UI" w:hAnsi="Segoe UI" w:cs="Segoe UI"/>
          <w:color w:val="0F1115"/>
          <w:shd w:val="clear" w:color="auto" w:fill="FFFFFF"/>
        </w:rPr>
        <w:t xml:space="preserve">Design and Implementation of an IoT-Enabled Hybrid Energy Management System for EV    </w:t>
      </w:r>
    </w:p>
    <w:p w14:paraId="14EF4928" w14:textId="7D2DFF77" w:rsidR="00B66B86" w:rsidRDefault="00802962" w:rsidP="008C4555">
      <w:pPr>
        <w:spacing w:after="0" w:line="360" w:lineRule="auto"/>
        <w:ind w:left="-1080" w:right="-1080"/>
        <w:jc w:val="both"/>
        <w:rPr>
          <w:rStyle w:val="Strong"/>
          <w:rFonts w:ascii="Segoe UI" w:hAnsi="Segoe UI" w:cs="Segoe UI"/>
          <w:color w:val="0F1115"/>
          <w:shd w:val="clear" w:color="auto" w:fill="FFFFFF"/>
        </w:rPr>
      </w:pPr>
      <w:r>
        <w:rPr>
          <w:rFonts w:ascii="Times New Roman" w:hAnsi="Times New Roman" w:cs="Times New Roman"/>
          <w:b/>
          <w:bCs/>
        </w:rPr>
        <w:t xml:space="preserve">            </w:t>
      </w:r>
      <w:r>
        <w:rPr>
          <w:rStyle w:val="Strong"/>
          <w:rFonts w:ascii="Segoe UI" w:hAnsi="Segoe UI" w:cs="Segoe UI"/>
          <w:color w:val="0F1115"/>
          <w:shd w:val="clear" w:color="auto" w:fill="FFFFFF"/>
        </w:rPr>
        <w:t>Charging Infrastructure with Simulation and Hardware Validation</w:t>
      </w:r>
    </w:p>
    <w:p w14:paraId="7F8259B2" w14:textId="77777777" w:rsidR="00374B02" w:rsidRPr="002F47D2" w:rsidRDefault="00374B02" w:rsidP="008C4555">
      <w:pPr>
        <w:spacing w:after="0" w:line="360" w:lineRule="auto"/>
        <w:ind w:left="-1080" w:right="-1080"/>
        <w:jc w:val="both"/>
        <w:rPr>
          <w:rFonts w:ascii="Times New Roman" w:hAnsi="Times New Roman" w:cs="Times New Roman"/>
          <w:b/>
          <w:bCs/>
        </w:rPr>
      </w:pPr>
    </w:p>
    <w:p w14:paraId="60C2CEDB" w14:textId="28D5EA3A" w:rsidR="00575B41" w:rsidRDefault="003B6FE6" w:rsidP="008C4555">
      <w:pPr>
        <w:spacing w:line="360" w:lineRule="auto"/>
        <w:ind w:left="-1080" w:right="-1080"/>
        <w:jc w:val="both"/>
        <w:rPr>
          <w:rFonts w:ascii="Times New Roman" w:hAnsi="Times New Roman" w:cs="Times New Roman"/>
        </w:rPr>
      </w:pPr>
      <w:r w:rsidRPr="00426A3B">
        <w:rPr>
          <w:rFonts w:ascii="Times New Roman" w:hAnsi="Times New Roman" w:cs="Times New Roman"/>
          <w:b/>
          <w:bCs/>
        </w:rPr>
        <w:t xml:space="preserve">Authors </w:t>
      </w:r>
      <w:r w:rsidR="00E868F3" w:rsidRPr="00426A3B">
        <w:rPr>
          <w:rFonts w:ascii="Times New Roman" w:hAnsi="Times New Roman" w:cs="Times New Roman"/>
          <w:b/>
          <w:bCs/>
        </w:rPr>
        <w:t>–</w:t>
      </w:r>
      <w:r>
        <w:rPr>
          <w:rFonts w:ascii="Times New Roman" w:hAnsi="Times New Roman" w:cs="Times New Roman"/>
        </w:rPr>
        <w:t xml:space="preserve"> </w:t>
      </w:r>
      <w:r w:rsidR="00575B41">
        <w:rPr>
          <w:rFonts w:ascii="Times New Roman" w:hAnsi="Times New Roman" w:cs="Times New Roman"/>
        </w:rPr>
        <w:t xml:space="preserve">Dr. Sujith Kalluri, </w:t>
      </w:r>
      <w:r w:rsidR="00BD59D1">
        <w:rPr>
          <w:rFonts w:ascii="Times New Roman" w:hAnsi="Times New Roman" w:cs="Times New Roman"/>
        </w:rPr>
        <w:t>Ph. D</w:t>
      </w:r>
      <w:r w:rsidR="00575B41">
        <w:rPr>
          <w:rFonts w:ascii="Times New Roman" w:hAnsi="Times New Roman" w:cs="Times New Roman"/>
        </w:rPr>
        <w:t xml:space="preserve"> Electronics and Communication Engineering, SRM University AP.</w:t>
      </w:r>
    </w:p>
    <w:p w14:paraId="44D8E3D0" w14:textId="5D77C696" w:rsidR="003B6FE6" w:rsidRDefault="00E868F3" w:rsidP="008C4555">
      <w:pPr>
        <w:spacing w:line="360" w:lineRule="auto"/>
        <w:ind w:left="-1080" w:right="-1080" w:firstLine="1080"/>
        <w:jc w:val="both"/>
        <w:rPr>
          <w:rFonts w:ascii="Times New Roman" w:hAnsi="Times New Roman" w:cs="Times New Roman"/>
        </w:rPr>
      </w:pPr>
      <w:r>
        <w:rPr>
          <w:rFonts w:ascii="Times New Roman" w:hAnsi="Times New Roman" w:cs="Times New Roman"/>
        </w:rPr>
        <w:t xml:space="preserve">Mr. Jagadeeswara </w:t>
      </w:r>
      <w:proofErr w:type="spellStart"/>
      <w:r>
        <w:rPr>
          <w:rFonts w:ascii="Times New Roman" w:hAnsi="Times New Roman" w:cs="Times New Roman"/>
        </w:rPr>
        <w:t>chandra</w:t>
      </w:r>
      <w:proofErr w:type="spellEnd"/>
      <w:r>
        <w:rPr>
          <w:rFonts w:ascii="Times New Roman" w:hAnsi="Times New Roman" w:cs="Times New Roman"/>
        </w:rPr>
        <w:t xml:space="preserve"> </w:t>
      </w:r>
      <w:proofErr w:type="spellStart"/>
      <w:r>
        <w:rPr>
          <w:rFonts w:ascii="Times New Roman" w:hAnsi="Times New Roman" w:cs="Times New Roman"/>
        </w:rPr>
        <w:t>bose</w:t>
      </w:r>
      <w:proofErr w:type="spellEnd"/>
      <w:r>
        <w:rPr>
          <w:rFonts w:ascii="Times New Roman" w:hAnsi="Times New Roman" w:cs="Times New Roman"/>
        </w:rPr>
        <w:t xml:space="preserve"> </w:t>
      </w:r>
      <w:r w:rsidR="0058756A">
        <w:rPr>
          <w:rFonts w:ascii="Times New Roman" w:hAnsi="Times New Roman" w:cs="Times New Roman"/>
        </w:rPr>
        <w:t>K</w:t>
      </w:r>
      <w:r>
        <w:rPr>
          <w:rFonts w:ascii="Times New Roman" w:hAnsi="Times New Roman" w:cs="Times New Roman"/>
        </w:rPr>
        <w:t>amarajugadda</w:t>
      </w:r>
      <w:r w:rsidR="007B3E6F">
        <w:rPr>
          <w:rFonts w:ascii="Times New Roman" w:hAnsi="Times New Roman" w:cs="Times New Roman"/>
        </w:rPr>
        <w:t xml:space="preserve">, </w:t>
      </w:r>
      <w:r w:rsidR="00BD59D1">
        <w:rPr>
          <w:rFonts w:ascii="Times New Roman" w:hAnsi="Times New Roman" w:cs="Times New Roman"/>
        </w:rPr>
        <w:t>M. Tech</w:t>
      </w:r>
      <w:r w:rsidR="007B3E6F">
        <w:rPr>
          <w:rFonts w:ascii="Times New Roman" w:hAnsi="Times New Roman" w:cs="Times New Roman"/>
        </w:rPr>
        <w:t xml:space="preserve"> Internet of Things, SRM University AP.</w:t>
      </w:r>
    </w:p>
    <w:p w14:paraId="17E14159" w14:textId="5A307E32" w:rsidR="005C7D0E" w:rsidRDefault="00821E15" w:rsidP="008C4555">
      <w:pPr>
        <w:spacing w:line="360" w:lineRule="auto"/>
        <w:ind w:left="-1080" w:right="-1080" w:firstLine="1080"/>
        <w:jc w:val="both"/>
        <w:rPr>
          <w:rFonts w:ascii="Times New Roman" w:hAnsi="Times New Roman" w:cs="Times New Roman"/>
        </w:rPr>
      </w:pPr>
      <w:r>
        <w:rPr>
          <w:rFonts w:ascii="Times New Roman" w:hAnsi="Times New Roman" w:cs="Times New Roman"/>
        </w:rPr>
        <w:t>Mr. Syeed Sameer</w:t>
      </w:r>
      <w:r w:rsidRPr="00821E15">
        <w:rPr>
          <w:rFonts w:ascii="Times New Roman" w:hAnsi="Times New Roman" w:cs="Times New Roman"/>
        </w:rPr>
        <w:t xml:space="preserve">, </w:t>
      </w:r>
      <w:r w:rsidR="00BD59D1" w:rsidRPr="00821E15">
        <w:rPr>
          <w:rFonts w:ascii="Times New Roman" w:hAnsi="Times New Roman" w:cs="Times New Roman"/>
        </w:rPr>
        <w:t>M. Tech</w:t>
      </w:r>
      <w:r w:rsidRPr="00821E15">
        <w:rPr>
          <w:rFonts w:ascii="Times New Roman" w:hAnsi="Times New Roman" w:cs="Times New Roman"/>
        </w:rPr>
        <w:t xml:space="preserve"> Internet of Things, SRM University AP.</w:t>
      </w:r>
    </w:p>
    <w:p w14:paraId="7B75FF5D" w14:textId="1EC478A5" w:rsidR="00821E15" w:rsidRDefault="00821E15" w:rsidP="008C4555">
      <w:pPr>
        <w:spacing w:line="360" w:lineRule="auto"/>
        <w:ind w:left="-1080" w:right="-108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Mr. </w:t>
      </w:r>
      <w:proofErr w:type="spellStart"/>
      <w:r>
        <w:rPr>
          <w:rFonts w:ascii="Times New Roman" w:hAnsi="Times New Roman" w:cs="Times New Roman"/>
        </w:rPr>
        <w:t>G</w:t>
      </w:r>
      <w:r w:rsidR="004448E6">
        <w:rPr>
          <w:rFonts w:ascii="Times New Roman" w:hAnsi="Times New Roman" w:cs="Times New Roman"/>
        </w:rPr>
        <w:t>antasala</w:t>
      </w:r>
      <w:proofErr w:type="spellEnd"/>
      <w:r w:rsidR="004448E6">
        <w:rPr>
          <w:rFonts w:ascii="Times New Roman" w:hAnsi="Times New Roman" w:cs="Times New Roman"/>
        </w:rPr>
        <w:t xml:space="preserve"> Jaswanth </w:t>
      </w:r>
      <w:r w:rsidR="00BD59D1">
        <w:rPr>
          <w:rFonts w:ascii="Times New Roman" w:hAnsi="Times New Roman" w:cs="Times New Roman"/>
        </w:rPr>
        <w:t>Kumar</w:t>
      </w:r>
      <w:r w:rsidR="004448E6">
        <w:rPr>
          <w:rFonts w:ascii="Times New Roman" w:hAnsi="Times New Roman" w:cs="Times New Roman"/>
        </w:rPr>
        <w:t xml:space="preserve">, </w:t>
      </w:r>
      <w:r w:rsidR="00BD59D1" w:rsidRPr="004448E6">
        <w:rPr>
          <w:rFonts w:ascii="Times New Roman" w:hAnsi="Times New Roman" w:cs="Times New Roman"/>
        </w:rPr>
        <w:t>M. Tech</w:t>
      </w:r>
      <w:r w:rsidR="004448E6" w:rsidRPr="004448E6">
        <w:rPr>
          <w:rFonts w:ascii="Times New Roman" w:hAnsi="Times New Roman" w:cs="Times New Roman"/>
        </w:rPr>
        <w:t xml:space="preserve"> Internet of Things, SRM University AP.</w:t>
      </w:r>
    </w:p>
    <w:p w14:paraId="51340C1F" w14:textId="2A4A59C7" w:rsidR="005C0801" w:rsidRDefault="00DB1954" w:rsidP="008C4555">
      <w:pPr>
        <w:spacing w:after="0" w:line="360" w:lineRule="auto"/>
        <w:ind w:left="-1080" w:right="-1080"/>
        <w:jc w:val="both"/>
        <w:rPr>
          <w:rFonts w:ascii="Times New Roman" w:hAnsi="Times New Roman" w:cs="Times New Roman"/>
        </w:rPr>
      </w:pPr>
      <w:r w:rsidRPr="00426A3B">
        <w:rPr>
          <w:rFonts w:ascii="Times New Roman" w:hAnsi="Times New Roman" w:cs="Times New Roman"/>
          <w:b/>
          <w:bCs/>
        </w:rPr>
        <w:t xml:space="preserve">Abstract </w:t>
      </w:r>
      <w:r w:rsidR="005C0801">
        <w:rPr>
          <w:rFonts w:ascii="Times New Roman" w:hAnsi="Times New Roman" w:cs="Times New Roman"/>
          <w:b/>
          <w:bCs/>
        </w:rPr>
        <w:t>–</w:t>
      </w:r>
      <w:r>
        <w:rPr>
          <w:rFonts w:ascii="Times New Roman" w:hAnsi="Times New Roman" w:cs="Times New Roman"/>
        </w:rPr>
        <w:t xml:space="preserve"> </w:t>
      </w:r>
    </w:p>
    <w:p w14:paraId="28E426FC" w14:textId="4B27CEC4" w:rsidR="00DB1954" w:rsidRDefault="00DB1954" w:rsidP="008C4555">
      <w:pPr>
        <w:spacing w:after="0" w:line="360" w:lineRule="auto"/>
        <w:ind w:left="-1080" w:right="-1080"/>
        <w:jc w:val="both"/>
        <w:rPr>
          <w:rFonts w:ascii="Times New Roman" w:hAnsi="Times New Roman" w:cs="Times New Roman"/>
        </w:rPr>
      </w:pPr>
      <w:r w:rsidRPr="005C0801">
        <w:rPr>
          <w:rFonts w:ascii="Times New Roman" w:hAnsi="Times New Roman" w:cs="Times New Roman"/>
          <w:sz w:val="40"/>
          <w:szCs w:val="40"/>
        </w:rPr>
        <w:t>T</w:t>
      </w:r>
      <w:r w:rsidRPr="00DB1954">
        <w:rPr>
          <w:rFonts w:ascii="Times New Roman" w:hAnsi="Times New Roman" w:cs="Times New Roman"/>
        </w:rPr>
        <w:t xml:space="preserve">he exponential rise in electric vehicle adoption demands robust charging infrastructure, yet grid-dependent systems trigger load instability, exorbitant operational costs, and inefficient renewable integration due to fragmented real-time monitoring and energy orchestration gaps. This research pioneers </w:t>
      </w:r>
      <w:r w:rsidR="00EE2676">
        <w:rPr>
          <w:rFonts w:ascii="Times New Roman" w:hAnsi="Times New Roman" w:cs="Times New Roman"/>
        </w:rPr>
        <w:t>e</w:t>
      </w:r>
      <w:r w:rsidR="00EE2676" w:rsidRPr="00EE2676">
        <w:rPr>
          <w:rFonts w:ascii="Times New Roman" w:hAnsi="Times New Roman" w:cs="Times New Roman"/>
        </w:rPr>
        <w:t>xisting systems often rely heavily on grid power, leading to operational inefficiencies, high costs, and increased grid stress, while proposed smart solutions frequently remain confined to simulation studies without practical validation. This paper addresses this gap by presenting a novel, hardware-implemented Internet of Things (IoT) architecture for hybrid energy management in EV charging stations. The core of the system is an intelligent Point of Common Coupling (PCC) that seamlessly integrates solar photovoltaic generation, an Energy Storage System (ESS), and the main grid, governed by a rule-based automation algorithm that dynamically prioritizes renewable sources. A five-layer IoT framework—encompassing sensor networks, edge processing, cloud analytics, and user dashboards—enables real-time monitoring, predictive control, and remote management. The design is rigorously validated through both detailed MATLAB/Simulink simulations and a comprehensive hardware prototype built with ESP32 microcontrollers, power converters, and a full sensor suite, with data pipeline integration to Node-RED and AWS cloud services. Experimental results demonstrate that the proposed system significantly optimizes energy utilization, drastically reduces operational expenditure, and enhances grid stability. This work provides a crucial step beyond pure simulation, offering a validated, deployable blueprint for smart, sustainable, and cost-effective EV charging infrastructure that directly supports the integration of renewable energy and the evolution of smart grids.</w:t>
      </w:r>
    </w:p>
    <w:p w14:paraId="5ACC6284" w14:textId="77777777" w:rsidR="001B4A93" w:rsidRDefault="001B4A93" w:rsidP="008C4555">
      <w:pPr>
        <w:spacing w:line="360" w:lineRule="auto"/>
        <w:ind w:left="-1080" w:right="-1080"/>
        <w:jc w:val="both"/>
        <w:rPr>
          <w:rFonts w:ascii="Times New Roman" w:hAnsi="Times New Roman" w:cs="Times New Roman"/>
        </w:rPr>
      </w:pPr>
    </w:p>
    <w:p w14:paraId="19FB3537" w14:textId="737351D5" w:rsidR="001B4A93" w:rsidRPr="001B4A93" w:rsidRDefault="001B4A93" w:rsidP="008C4555">
      <w:pPr>
        <w:spacing w:line="360" w:lineRule="auto"/>
        <w:ind w:left="-1080" w:right="-1080"/>
        <w:jc w:val="both"/>
        <w:rPr>
          <w:rFonts w:ascii="Times New Roman" w:hAnsi="Times New Roman" w:cs="Times New Roman"/>
          <w:b/>
          <w:bCs/>
        </w:rPr>
      </w:pPr>
      <w:r w:rsidRPr="001B4A93">
        <w:rPr>
          <w:rFonts w:ascii="Times New Roman" w:hAnsi="Times New Roman" w:cs="Times New Roman"/>
          <w:b/>
          <w:bCs/>
        </w:rPr>
        <w:t xml:space="preserve">Keywords - </w:t>
      </w:r>
    </w:p>
    <w:p w14:paraId="53B85595" w14:textId="659C2002" w:rsidR="00DB1954" w:rsidRDefault="001B4A93" w:rsidP="008C4555">
      <w:pPr>
        <w:spacing w:line="360" w:lineRule="auto"/>
        <w:ind w:left="-1080" w:right="-1080"/>
        <w:jc w:val="both"/>
        <w:rPr>
          <w:rFonts w:ascii="Times New Roman" w:hAnsi="Times New Roman" w:cs="Times New Roman"/>
        </w:rPr>
      </w:pPr>
      <w:r w:rsidRPr="001B4A93">
        <w:rPr>
          <w:rFonts w:ascii="Times New Roman" w:hAnsi="Times New Roman" w:cs="Times New Roman"/>
        </w:rPr>
        <w:t>IoT Architecture, EV Charging Infrastructure, Point of Common Coupling (PCC), Solar MPPT, ESS Management, Reverse Grid Integration, MATLAB Simulation, Node-RED Dashboard, Hardware Prototype, Multi-Mode Automation</w:t>
      </w:r>
      <w:r>
        <w:rPr>
          <w:rFonts w:ascii="Times New Roman" w:hAnsi="Times New Roman" w:cs="Times New Roman"/>
        </w:rPr>
        <w:t>.</w:t>
      </w:r>
    </w:p>
    <w:p w14:paraId="527F83C5" w14:textId="77777777" w:rsidR="001B4A93" w:rsidRDefault="001B4A93" w:rsidP="008C4555">
      <w:pPr>
        <w:spacing w:line="360" w:lineRule="auto"/>
        <w:ind w:left="-1080" w:right="-1080"/>
        <w:jc w:val="both"/>
        <w:rPr>
          <w:rFonts w:ascii="Times New Roman" w:hAnsi="Times New Roman" w:cs="Times New Roman"/>
        </w:rPr>
      </w:pPr>
    </w:p>
    <w:p w14:paraId="5250CD04" w14:textId="77777777" w:rsidR="007520BB" w:rsidRDefault="007520BB" w:rsidP="008C4555">
      <w:pPr>
        <w:spacing w:line="360" w:lineRule="auto"/>
        <w:ind w:left="-1080" w:right="-1080"/>
        <w:jc w:val="both"/>
        <w:rPr>
          <w:rFonts w:ascii="Times New Roman" w:hAnsi="Times New Roman" w:cs="Times New Roman"/>
        </w:rPr>
      </w:pPr>
    </w:p>
    <w:p w14:paraId="26327D8F" w14:textId="77777777" w:rsidR="003C5A38" w:rsidRDefault="003C5A38" w:rsidP="008C4555">
      <w:pPr>
        <w:spacing w:line="360" w:lineRule="auto"/>
        <w:ind w:left="-1080" w:right="-1080"/>
        <w:jc w:val="both"/>
        <w:rPr>
          <w:rFonts w:ascii="Times New Roman" w:hAnsi="Times New Roman" w:cs="Times New Roman"/>
        </w:rPr>
      </w:pPr>
    </w:p>
    <w:p w14:paraId="7271088C" w14:textId="7B835CEE" w:rsidR="00C57DFD" w:rsidRPr="00C95C00" w:rsidRDefault="00CE1EAB" w:rsidP="00C95C00">
      <w:pPr>
        <w:pStyle w:val="ListParagraph"/>
        <w:numPr>
          <w:ilvl w:val="0"/>
          <w:numId w:val="1"/>
        </w:numPr>
        <w:spacing w:line="360" w:lineRule="auto"/>
        <w:ind w:right="-1080"/>
        <w:jc w:val="both"/>
        <w:rPr>
          <w:rFonts w:ascii="Times New Roman" w:hAnsi="Times New Roman" w:cs="Times New Roman"/>
          <w:b/>
          <w:bCs/>
        </w:rPr>
      </w:pPr>
      <w:r w:rsidRPr="00C95C00">
        <w:rPr>
          <w:rFonts w:ascii="Times New Roman" w:hAnsi="Times New Roman" w:cs="Times New Roman"/>
          <w:b/>
          <w:bCs/>
        </w:rPr>
        <w:lastRenderedPageBreak/>
        <w:t>Introduction -</w:t>
      </w:r>
    </w:p>
    <w:p w14:paraId="5858416F" w14:textId="61814489" w:rsidR="00E42D77" w:rsidRDefault="008C3184" w:rsidP="008C4555">
      <w:pPr>
        <w:spacing w:line="360" w:lineRule="auto"/>
        <w:ind w:left="-1080" w:right="-1080"/>
        <w:jc w:val="both"/>
        <w:rPr>
          <w:rFonts w:ascii="Times New Roman" w:hAnsi="Times New Roman" w:cs="Times New Roman"/>
        </w:rPr>
      </w:pPr>
      <w:r w:rsidRPr="008C3184">
        <w:rPr>
          <w:rFonts w:ascii="Times New Roman" w:hAnsi="Times New Roman" w:cs="Times New Roman"/>
        </w:rPr>
        <w:t xml:space="preserve">The global transportation sector is undergoing a revolutionary shift toward electrification, driven by the imperative to reduce carbon emissions and fossil fuel dependency. Electric vehicles (EVs) stand at the forefront of this transition, with market penetration accelerating rapidly due to advancements in battery technology, supportive policy frameworks, and growing consumer adoption. However, the sustainability and scalability of this electric mobility revolution are fundamentally contingent upon the development of a robust, intelligent, and economically viable charging infrastructure. The current paradigm of grid-dependent charging stations presents significant challenges, including exacerbated peak demand on utility grids, high operational costs susceptible to volatile energy prices, and </w:t>
      </w:r>
      <w:r w:rsidR="00CF4533" w:rsidRPr="008C3184">
        <w:rPr>
          <w:rFonts w:ascii="Times New Roman" w:hAnsi="Times New Roman" w:cs="Times New Roman"/>
        </w:rPr>
        <w:t>failure</w:t>
      </w:r>
      <w:r w:rsidRPr="008C3184">
        <w:rPr>
          <w:rFonts w:ascii="Times New Roman" w:hAnsi="Times New Roman" w:cs="Times New Roman"/>
        </w:rPr>
        <w:t xml:space="preserve"> to fully leverage renewable energy sources, thereby diluting the environmental benefits of EVs. To address these limitations, the integration of distributed renewable generation, primarily solar photovoltaics (PV), with energy storage systems (ESS) at charging stations has emerged as a critical solution. This hybrid approach promises greater grid independence, cost stability, and enhanced sustainability. Concurrently, the Internet of Things (IoT) provides the essential technological framework to transform these hybrid stations from passive energy loads into intelligent, networked nodes within a smart grid ecosystem. IoT enables real-time monitoring, data-driven optimization, and automated control of complex energy flows between sources, storage, and loads. While the theoretical synergy of renewables, storage, and IoT for smart charging is well-established in literature, a pronounced gap exists between simulation-based proposals and physically validated, deployable systems. Much of the existing research remains confined to software models and algorithmic studies, often overlooking the practical intricacies of hardware integration, communication reliability, sensor interfacing, and the development of a complete, layered architectural stack. This paper bridges that gap by presenting the design, simulation, and, crucially, the comprehensive hardware implementation of a novel IoT-enabled hybrid energy management system for EV charging infrastructure. We propose and demonstrate a five-layer IoT architecture that seamlessly spans from edge-layer sensors and microcontrollers to cloud analytics and user-facing dashboards, all orchestrated by an intelligent automation logic centered on a Point of Common Coupling (PCC). The system dynamically arbitrates energy flow between solar PV, ESS, and the grid, prioritizing renewables to minimize operational expenditure and grid impact. Furthermore, it supports both battery swapping stations and DC fast charging ports, offering operational flexibility. The design is first validated through detailed MATLAB/Simulink simulations, followed by the construction and testing of a fully functional hardware prototype utilizing ESP32 microcontrollers, a suite of sensors, power electronics converters, and integration with </w:t>
      </w:r>
      <w:r w:rsidR="00E756B3" w:rsidRPr="00E756B3">
        <w:rPr>
          <w:rFonts w:ascii="Times New Roman" w:hAnsi="Times New Roman" w:cs="Times New Roman"/>
        </w:rPr>
        <w:t xml:space="preserve">cloud connectivity </w:t>
      </w:r>
      <w:r w:rsidR="00E756B3">
        <w:rPr>
          <w:rFonts w:ascii="Times New Roman" w:hAnsi="Times New Roman" w:cs="Times New Roman"/>
        </w:rPr>
        <w:t xml:space="preserve">and </w:t>
      </w:r>
      <w:r w:rsidRPr="008C3184">
        <w:rPr>
          <w:rFonts w:ascii="Times New Roman" w:hAnsi="Times New Roman" w:cs="Times New Roman"/>
        </w:rPr>
        <w:t>Node-RED for and visualization. This work contributes a crucial step from theoretical concept to a proven, prototype-ready blueprint, offering a scalable and practical model for deploying cost-effective, efficient, and sustainable EV charging infrastructure that actively supports renewable energy integration and grid stability.</w:t>
      </w:r>
    </w:p>
    <w:p w14:paraId="610CDAF7" w14:textId="77777777" w:rsidR="009227EF" w:rsidRDefault="009227EF" w:rsidP="008C4555">
      <w:pPr>
        <w:spacing w:line="360" w:lineRule="auto"/>
        <w:ind w:left="-1080" w:right="-1080"/>
        <w:jc w:val="both"/>
        <w:rPr>
          <w:rFonts w:ascii="Times New Roman" w:hAnsi="Times New Roman" w:cs="Times New Roman"/>
        </w:rPr>
      </w:pPr>
    </w:p>
    <w:p w14:paraId="3922A532" w14:textId="77777777" w:rsidR="009227EF" w:rsidRDefault="009227EF" w:rsidP="008C4555">
      <w:pPr>
        <w:spacing w:line="360" w:lineRule="auto"/>
        <w:ind w:left="-1080" w:right="-1080"/>
        <w:jc w:val="both"/>
        <w:rPr>
          <w:rFonts w:ascii="Times New Roman" w:hAnsi="Times New Roman" w:cs="Times New Roman"/>
        </w:rPr>
      </w:pPr>
    </w:p>
    <w:p w14:paraId="7EFBDA42" w14:textId="77777777" w:rsidR="009227EF" w:rsidRDefault="009227EF" w:rsidP="008C4555">
      <w:pPr>
        <w:spacing w:line="360" w:lineRule="auto"/>
        <w:ind w:left="-1080" w:right="-1080"/>
        <w:jc w:val="both"/>
        <w:rPr>
          <w:rFonts w:ascii="Times New Roman" w:hAnsi="Times New Roman" w:cs="Times New Roman"/>
        </w:rPr>
      </w:pPr>
    </w:p>
    <w:p w14:paraId="2373AE69" w14:textId="77777777" w:rsidR="009227EF" w:rsidRDefault="009227EF" w:rsidP="008C4555">
      <w:pPr>
        <w:spacing w:line="360" w:lineRule="auto"/>
        <w:ind w:left="-1080" w:right="-1080"/>
        <w:jc w:val="both"/>
        <w:rPr>
          <w:rFonts w:ascii="Times New Roman" w:hAnsi="Times New Roman" w:cs="Times New Roman"/>
        </w:rPr>
      </w:pPr>
    </w:p>
    <w:p w14:paraId="3F4D5321" w14:textId="77777777" w:rsidR="009227EF" w:rsidRDefault="009227EF" w:rsidP="008C4555">
      <w:pPr>
        <w:spacing w:line="360" w:lineRule="auto"/>
        <w:ind w:left="-1080" w:right="-1080"/>
        <w:jc w:val="both"/>
        <w:rPr>
          <w:rFonts w:ascii="Times New Roman" w:hAnsi="Times New Roman" w:cs="Times New Roman"/>
        </w:rPr>
      </w:pPr>
    </w:p>
    <w:p w14:paraId="49D13710" w14:textId="4FA166D7" w:rsidR="009227EF" w:rsidRDefault="009227EF" w:rsidP="009227EF">
      <w:pPr>
        <w:spacing w:line="360" w:lineRule="auto"/>
        <w:ind w:left="-1080" w:right="-1080"/>
        <w:jc w:val="center"/>
        <w:rPr>
          <w:rFonts w:ascii="Times New Roman" w:hAnsi="Times New Roman" w:cs="Times New Roman"/>
        </w:rPr>
      </w:pPr>
      <w:r w:rsidRPr="009227EF">
        <w:rPr>
          <w:rFonts w:ascii="Times New Roman" w:hAnsi="Times New Roman" w:cs="Times New Roman"/>
          <w:noProof/>
        </w:rPr>
        <w:lastRenderedPageBreak/>
        <w:drawing>
          <wp:inline distT="0" distB="0" distL="0" distR="0" wp14:anchorId="10821C54" wp14:editId="6894DC53">
            <wp:extent cx="4040733" cy="2282258"/>
            <wp:effectExtent l="0" t="0" r="0" b="3810"/>
            <wp:docPr id="12022254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53181" cy="2289289"/>
                    </a:xfrm>
                    <a:prstGeom prst="rect">
                      <a:avLst/>
                    </a:prstGeom>
                    <a:noFill/>
                    <a:ln>
                      <a:noFill/>
                    </a:ln>
                  </pic:spPr>
                </pic:pic>
              </a:graphicData>
            </a:graphic>
          </wp:inline>
        </w:drawing>
      </w:r>
    </w:p>
    <w:p w14:paraId="5EBE1DD4" w14:textId="5A95E714" w:rsidR="009227EF" w:rsidRDefault="009227EF" w:rsidP="009227EF">
      <w:pPr>
        <w:spacing w:line="360" w:lineRule="auto"/>
        <w:ind w:left="-1080" w:right="-1080"/>
        <w:jc w:val="center"/>
        <w:rPr>
          <w:rFonts w:ascii="Times New Roman" w:hAnsi="Times New Roman" w:cs="Times New Roman"/>
        </w:rPr>
      </w:pPr>
      <w:r w:rsidRPr="009227EF">
        <w:rPr>
          <w:rFonts w:ascii="Times New Roman" w:hAnsi="Times New Roman" w:cs="Times New Roman"/>
        </w:rPr>
        <w:t>Fig. 1: High-level overview of the proposed IoT-enabled hybrid EV charging system, showing integration of solar, ESS, grid, and loads via the PCC.</w:t>
      </w:r>
    </w:p>
    <w:p w14:paraId="102B0FC1" w14:textId="0DCB2F53" w:rsidR="00173D69" w:rsidRDefault="00173D69" w:rsidP="00173D69">
      <w:pPr>
        <w:spacing w:line="360" w:lineRule="auto"/>
        <w:ind w:left="-1080" w:right="-1080"/>
        <w:jc w:val="both"/>
        <w:rPr>
          <w:rFonts w:ascii="Times New Roman" w:hAnsi="Times New Roman" w:cs="Times New Roman"/>
        </w:rPr>
      </w:pPr>
      <w:r w:rsidRPr="00173D69">
        <w:rPr>
          <w:rFonts w:ascii="Times New Roman" w:hAnsi="Times New Roman" w:cs="Times New Roman"/>
        </w:rPr>
        <w:t>This paper bridges that gap by presenting the design, simulation, and, crucially, the comprehensive hardware implementation of a novel IoT-enabled hybrid energy management system for EV charging infrastructure</w:t>
      </w:r>
      <w:r>
        <w:rPr>
          <w:rFonts w:ascii="Times New Roman" w:hAnsi="Times New Roman" w:cs="Times New Roman"/>
        </w:rPr>
        <w:t xml:space="preserve"> management and remote monitoring with cloud integration and real time data dashboard</w:t>
      </w:r>
      <w:r w:rsidRPr="00173D69">
        <w:rPr>
          <w:rFonts w:ascii="Times New Roman" w:hAnsi="Times New Roman" w:cs="Times New Roman"/>
        </w:rPr>
        <w:t xml:space="preserve">. We propose and demonstrate a complete five-layer IoT architecture that seamlessly spans from the physical device layer—comprising sensors, </w:t>
      </w:r>
      <w:r w:rsidR="004448B6">
        <w:rPr>
          <w:rFonts w:ascii="Times New Roman" w:hAnsi="Times New Roman" w:cs="Times New Roman"/>
        </w:rPr>
        <w:t xml:space="preserve">IOT enabled </w:t>
      </w:r>
      <w:r w:rsidRPr="00173D69">
        <w:rPr>
          <w:rFonts w:ascii="Times New Roman" w:hAnsi="Times New Roman" w:cs="Times New Roman"/>
        </w:rPr>
        <w:t>microcontrollers, and power converters—through network and edge computing layers, to a cloud layer for data aggregation and analytics, culminating in an application layer for user interaction and system visualization. At the core of this architecture is an intelligent energy management logic executed at a dynamically controlled Point of Common Coupling (PCC), which acts as the system's brain. The PCC automation algorithm, governed by a set of operational rules, continuously arbitrates energy flow between three primary sources—solar PV, ESS, and the main grid—based on real-time availability, state-of-charge (SOC) thresholds, and load demand. This prioritization ensures maximum utilization of free solar energy, optimal use of stored capacity, and minimal, cost-effective reliance on grid power, while a unique reverse power flow capability allows surplus renewable energy to be fed back to the grid, transforming the charging station into a prosumer entity.</w:t>
      </w:r>
    </w:p>
    <w:p w14:paraId="56BA9A20" w14:textId="4F03AFFC" w:rsidR="00173D69" w:rsidRPr="00173D69" w:rsidRDefault="009227EF" w:rsidP="00173D69">
      <w:pPr>
        <w:spacing w:line="360" w:lineRule="auto"/>
        <w:ind w:left="-1080" w:right="-1080"/>
        <w:jc w:val="both"/>
        <w:rPr>
          <w:rFonts w:ascii="Times New Roman" w:hAnsi="Times New Roman" w:cs="Times New Roman"/>
        </w:rPr>
      </w:pPr>
      <w:r>
        <w:rPr>
          <w:rFonts w:ascii="Times New Roman" w:hAnsi="Times New Roman" w:cs="Times New Roman"/>
        </w:rPr>
        <w:t>T</w:t>
      </w:r>
      <w:r w:rsidR="00173D69" w:rsidRPr="00173D69">
        <w:rPr>
          <w:rFonts w:ascii="Times New Roman" w:hAnsi="Times New Roman" w:cs="Times New Roman"/>
        </w:rPr>
        <w:t xml:space="preserve">he system's versatility is demonstrated through its support for two complementary and forward-looking EV refueling models: Battery Swapping Stations (BSS) for rapid battery exchange and DC Fast Charging (DCFC) stations for conventional high-speed charging, as illustrated in the system overview (Figure 1). This dual-load approach highlights </w:t>
      </w:r>
      <w:r w:rsidR="00EB53E7" w:rsidRPr="00173D69">
        <w:rPr>
          <w:rFonts w:ascii="Times New Roman" w:hAnsi="Times New Roman" w:cs="Times New Roman"/>
        </w:rPr>
        <w:t>architecture’s</w:t>
      </w:r>
      <w:r w:rsidR="00173D69" w:rsidRPr="00173D69">
        <w:rPr>
          <w:rFonts w:ascii="Times New Roman" w:hAnsi="Times New Roman" w:cs="Times New Roman"/>
        </w:rPr>
        <w:t xml:space="preserve"> adaptability to different business models and user needs within a unified management framework. Our validation methodology is twofold. First, we develop a detailed simulation model in MATLAB/Simulink to design, test, and optimize the system's energy logic and predict its performance metrics under various operational scenarios</w:t>
      </w:r>
      <w:r w:rsidR="00EE5E58">
        <w:rPr>
          <w:rFonts w:ascii="Times New Roman" w:hAnsi="Times New Roman" w:cs="Times New Roman"/>
        </w:rPr>
        <w:t xml:space="preserve"> in PCC – Point of common coupling</w:t>
      </w:r>
      <w:r w:rsidR="00173D69" w:rsidRPr="00173D69">
        <w:rPr>
          <w:rFonts w:ascii="Times New Roman" w:hAnsi="Times New Roman" w:cs="Times New Roman"/>
        </w:rPr>
        <w:t xml:space="preserve">. Key simulation results, such as the dynamic power sharing between sources and the resulting state-of-charge profile of the </w:t>
      </w:r>
      <w:r w:rsidR="00BD59D1" w:rsidRPr="00173D69">
        <w:rPr>
          <w:rFonts w:ascii="Times New Roman" w:hAnsi="Times New Roman" w:cs="Times New Roman"/>
        </w:rPr>
        <w:t>ESS,</w:t>
      </w:r>
      <w:r w:rsidR="00173D69" w:rsidRPr="00173D69">
        <w:rPr>
          <w:rFonts w:ascii="Times New Roman" w:hAnsi="Times New Roman" w:cs="Times New Roman"/>
        </w:rPr>
        <w:t xml:space="preserve"> confirm the theoretical efficiency and stability of the proposed control strategy. Second, and most significantly, we translate this simulated design into a fully functional, small-scale hardware prototype. </w:t>
      </w:r>
      <w:r w:rsidR="002E2BB8" w:rsidRPr="00173D69">
        <w:rPr>
          <w:rFonts w:ascii="Times New Roman" w:hAnsi="Times New Roman" w:cs="Times New Roman"/>
        </w:rPr>
        <w:t>This prototype</w:t>
      </w:r>
      <w:r w:rsidR="00D7364A">
        <w:rPr>
          <w:rFonts w:ascii="Times New Roman" w:hAnsi="Times New Roman" w:cs="Times New Roman"/>
        </w:rPr>
        <w:t xml:space="preserve"> </w:t>
      </w:r>
      <w:r w:rsidR="00173D69" w:rsidRPr="00173D69">
        <w:rPr>
          <w:rFonts w:ascii="Times New Roman" w:hAnsi="Times New Roman" w:cs="Times New Roman"/>
        </w:rPr>
        <w:t xml:space="preserve">incorporates ESP32 microcontrollers for data acquisition and control, a comprehensive sensor suite (voltage, current, temperature), the necessary power electronics (DC-DC boost converters, inverters), and lead-acid batteries representing the ESS. The prototype is fully integrated with a cloud backend via AWS IoT services and a real-time dashboard built in Node-RED, enabling remote monitoring and control as shown in the dashboard </w:t>
      </w:r>
      <w:r w:rsidR="00D7364A" w:rsidRPr="00173D69">
        <w:rPr>
          <w:rFonts w:ascii="Times New Roman" w:hAnsi="Times New Roman" w:cs="Times New Roman"/>
        </w:rPr>
        <w:t>interface</w:t>
      </w:r>
      <w:r w:rsidR="00D7364A">
        <w:rPr>
          <w:rFonts w:ascii="Times New Roman" w:hAnsi="Times New Roman" w:cs="Times New Roman"/>
        </w:rPr>
        <w:t>.</w:t>
      </w:r>
      <w:r w:rsidR="00173D69" w:rsidRPr="00173D69">
        <w:rPr>
          <w:rFonts w:ascii="Times New Roman" w:hAnsi="Times New Roman" w:cs="Times New Roman"/>
        </w:rPr>
        <w:t xml:space="preserve"> The comparison between the simulated energy flows and the actual measured </w:t>
      </w:r>
      <w:r w:rsidR="00173D69" w:rsidRPr="00173D69">
        <w:rPr>
          <w:rFonts w:ascii="Times New Roman" w:hAnsi="Times New Roman" w:cs="Times New Roman"/>
        </w:rPr>
        <w:lastRenderedPageBreak/>
        <w:t>data from the hardware prototype validates the fidelity of our model and demonstrates the practical realizability of the system.</w:t>
      </w:r>
    </w:p>
    <w:p w14:paraId="5A0BCB55" w14:textId="13C3A0B7" w:rsidR="00E42D77" w:rsidRDefault="00173D69" w:rsidP="003D5EEA">
      <w:pPr>
        <w:spacing w:line="360" w:lineRule="auto"/>
        <w:ind w:left="-1080" w:right="-1080"/>
        <w:jc w:val="both"/>
        <w:rPr>
          <w:rFonts w:ascii="Times New Roman" w:hAnsi="Times New Roman" w:cs="Times New Roman"/>
        </w:rPr>
      </w:pPr>
      <w:r w:rsidRPr="00173D69">
        <w:rPr>
          <w:rFonts w:ascii="Times New Roman" w:hAnsi="Times New Roman" w:cs="Times New Roman"/>
        </w:rPr>
        <w:t xml:space="preserve">This work provides a crucial, missing link in the research landscape by moving from a promising simulation to a proven, prototype-ready </w:t>
      </w:r>
      <w:r w:rsidR="00EB53E7">
        <w:rPr>
          <w:rFonts w:ascii="Times New Roman" w:hAnsi="Times New Roman" w:cs="Times New Roman"/>
        </w:rPr>
        <w:t>hardware demonstration</w:t>
      </w:r>
      <w:r w:rsidRPr="00173D69">
        <w:rPr>
          <w:rFonts w:ascii="Times New Roman" w:hAnsi="Times New Roman" w:cs="Times New Roman"/>
        </w:rPr>
        <w:t>. It offers a comprehensive, scalable, and practical model for deploying next-generation EV charging infrastructure that is not only intelligent and efficient but also economically sustainable and grid-supportive, thereby accelerating the transition to a fully electrified and renewable-powered transportation future.</w:t>
      </w:r>
    </w:p>
    <w:p w14:paraId="5258D65C" w14:textId="1599A577" w:rsidR="00970DFE" w:rsidRPr="00C577E2" w:rsidRDefault="00970DFE" w:rsidP="00C577E2">
      <w:pPr>
        <w:pStyle w:val="ListParagraph"/>
        <w:numPr>
          <w:ilvl w:val="0"/>
          <w:numId w:val="1"/>
        </w:numPr>
        <w:spacing w:line="360" w:lineRule="auto"/>
        <w:ind w:right="-1080"/>
        <w:jc w:val="both"/>
        <w:rPr>
          <w:rFonts w:ascii="Times New Roman" w:hAnsi="Times New Roman" w:cs="Times New Roman"/>
          <w:b/>
          <w:bCs/>
        </w:rPr>
      </w:pPr>
      <w:r w:rsidRPr="00C577E2">
        <w:rPr>
          <w:rFonts w:ascii="Times New Roman" w:hAnsi="Times New Roman" w:cs="Times New Roman"/>
          <w:b/>
          <w:bCs/>
        </w:rPr>
        <w:t>Literature Survey</w:t>
      </w:r>
    </w:p>
    <w:p w14:paraId="5074B059" w14:textId="23CBDACD" w:rsidR="00970DFE" w:rsidRPr="00E42D77" w:rsidRDefault="00970DFE" w:rsidP="008C4555">
      <w:pPr>
        <w:spacing w:line="360" w:lineRule="auto"/>
        <w:ind w:left="-1080" w:right="-1080"/>
        <w:jc w:val="both"/>
        <w:rPr>
          <w:rFonts w:ascii="Times New Roman" w:hAnsi="Times New Roman" w:cs="Times New Roman"/>
        </w:rPr>
      </w:pPr>
      <w:r w:rsidRPr="00970DFE">
        <w:rPr>
          <w:rFonts w:ascii="Times New Roman" w:hAnsi="Times New Roman" w:cs="Times New Roman"/>
        </w:rPr>
        <w:t>The proliferation of electric vehicles (EVs) has intensified research into smart charging infrastructure, yet significant gaps persist between theoretical proposals and deployable, economically viable systems. Existing literature extensively the challenges of grid instability, high operational costs, and the environmental of EVs charged via fossil-fuel-dependent grids [1-3]. While IoT-based solutions have been proposed to enable real-time monitoring and predictive scheduling [9, 10], these architectures often remain fragmented, focusing on singular aspects like residential charging interfaces [17] or standalone battery monitoring [10], without a holistic framework that integrates the entire energy value chain from generation to consumption. Research on renewable integration, such as PV-predictive ESS management [14] and microgrid optimization [15], demonstrates potential but typically operates in simulation silos [14], lacking validation through physical hardware and failing to address the real-world intricacies of communication protocols, sensor interoperability, and reliable edge-cloud data pipelines. Similarly, studies on power quality enhancement using active filters [18] and fault detection [19] address critical grid-support issues but are seldom integrated into a unified control strategy with dynamic source switching at the Point of Common Coupling (PCC). Furthermore, although battery swapping is recognized for its potential to alleviate grid stress and reduce downtime [22-24], its integration with conventional fast charging within a single, IoT-managed ecosystem remains underexplored, with most studies treating them as separate entities [24]. This body of work collectively reveals a critical research gap: the absence of a validated, multi-layer IoT architecture that cohesively unifies hybrid renewable energy integration (Solar, ESS, Grid), intelligent PCC-based automation, dual-load management (Swapping &amp; Fast Charging), and cloud-edge analytics into a single, scalable, and hardware-proven system. Our work directly addresses this gap by moving beyond simulation to deliver a prototype-validated architecture that not only proposes but physically demonstrates the seamless orchestration of these components, thereby bridging the disconnect between conceptual smart charging models and their practical, economically sustainable implementation.</w:t>
      </w:r>
    </w:p>
    <w:p w14:paraId="573A9B60" w14:textId="39BBB7AC" w:rsidR="001B4A93" w:rsidRPr="00C577E2" w:rsidRDefault="00C577E2" w:rsidP="00C577E2">
      <w:pPr>
        <w:pStyle w:val="ListParagraph"/>
        <w:numPr>
          <w:ilvl w:val="0"/>
          <w:numId w:val="1"/>
        </w:numPr>
        <w:shd w:val="clear" w:color="auto" w:fill="FFFFFF"/>
        <w:spacing w:after="240" w:line="510" w:lineRule="atLeast"/>
        <w:outlineLvl w:val="0"/>
        <w:rPr>
          <w:rFonts w:ascii="Times New Roman" w:hAnsi="Times New Roman" w:cs="Times New Roman"/>
          <w:b/>
          <w:bCs/>
        </w:rPr>
      </w:pPr>
      <w:r w:rsidRPr="00C577E2">
        <w:rPr>
          <w:rFonts w:ascii="Times New Roman" w:hAnsi="Times New Roman" w:cs="Times New Roman"/>
          <w:b/>
          <w:bCs/>
        </w:rPr>
        <w:t>Methodology</w:t>
      </w:r>
    </w:p>
    <w:p w14:paraId="257732F1" w14:textId="5B3FE497" w:rsidR="00C95C00" w:rsidRDefault="00C95C00" w:rsidP="008C4555">
      <w:pPr>
        <w:spacing w:line="360" w:lineRule="auto"/>
        <w:ind w:left="-1080" w:right="-1080"/>
        <w:jc w:val="both"/>
        <w:rPr>
          <w:rFonts w:ascii="Times New Roman" w:hAnsi="Times New Roman" w:cs="Times New Roman"/>
        </w:rPr>
      </w:pPr>
      <w:r w:rsidRPr="00C577E2">
        <w:rPr>
          <w:rFonts w:ascii="Times New Roman" w:hAnsi="Times New Roman" w:cs="Times New Roman"/>
        </w:rPr>
        <w:t>This section details the comprehensive methodology adopted for designing, simulating, and implementing the proposed IoT-enabled hybrid energy management system for EV charging infrastructure. The approach is structured into four interconnected pillars: (1) the design of a five-layer IoT architecture for system orchestration; (2) the definition of the power flow and operational logic; (3) the specification of core automation algorithms; and (4) the hardware development and prototyping process. This methodology ensures a holistic transition from conceptual design and software simulation to physical validation.</w:t>
      </w:r>
    </w:p>
    <w:p w14:paraId="2D705BDF" w14:textId="77777777" w:rsidR="003E2B1B" w:rsidRPr="003E2B1B" w:rsidRDefault="003E2B1B" w:rsidP="003E2B1B">
      <w:pPr>
        <w:spacing w:line="360" w:lineRule="auto"/>
        <w:ind w:left="-1080" w:right="-1080"/>
        <w:jc w:val="both"/>
        <w:rPr>
          <w:rFonts w:ascii="Times New Roman" w:hAnsi="Times New Roman" w:cs="Times New Roman"/>
          <w:b/>
          <w:bCs/>
        </w:rPr>
      </w:pPr>
      <w:r w:rsidRPr="003E2B1B">
        <w:rPr>
          <w:rFonts w:ascii="Times New Roman" w:hAnsi="Times New Roman" w:cs="Times New Roman"/>
          <w:b/>
          <w:bCs/>
        </w:rPr>
        <w:lastRenderedPageBreak/>
        <w:t>3.1 Proposed System Design and Architecture</w:t>
      </w:r>
    </w:p>
    <w:p w14:paraId="4A814B3C" w14:textId="07A551CD" w:rsidR="003E2B1B" w:rsidRPr="003E2B1B" w:rsidRDefault="003E2B1B" w:rsidP="003E2B1B">
      <w:pPr>
        <w:spacing w:line="360" w:lineRule="auto"/>
        <w:ind w:left="-1080" w:right="-1080"/>
        <w:jc w:val="both"/>
        <w:rPr>
          <w:rFonts w:ascii="Times New Roman" w:hAnsi="Times New Roman" w:cs="Times New Roman"/>
        </w:rPr>
      </w:pPr>
      <w:r w:rsidRPr="003E2B1B">
        <w:rPr>
          <w:rFonts w:ascii="Times New Roman" w:hAnsi="Times New Roman" w:cs="Times New Roman"/>
        </w:rPr>
        <w:t xml:space="preserve">The core of the proposed solution is </w:t>
      </w:r>
      <w:r w:rsidR="00C33A74" w:rsidRPr="003E2B1B">
        <w:rPr>
          <w:rFonts w:ascii="Times New Roman" w:hAnsi="Times New Roman" w:cs="Times New Roman"/>
        </w:rPr>
        <w:t>hierarchical</w:t>
      </w:r>
      <w:r w:rsidRPr="003E2B1B">
        <w:rPr>
          <w:rFonts w:ascii="Times New Roman" w:hAnsi="Times New Roman" w:cs="Times New Roman"/>
        </w:rPr>
        <w:t xml:space="preserve"> IoT architecture engineered to facilitate seamless data acquisition, processing, communication, and control across the hybrid charging ecosystem. This architecture, depicted in Fig. 7, is composed of five distinct layers, each serving a critical function in the system's operation.</w:t>
      </w:r>
    </w:p>
    <w:p w14:paraId="5D3012BD" w14:textId="17433587" w:rsidR="003E2B1B" w:rsidRPr="003E2B1B" w:rsidRDefault="00D133F4" w:rsidP="00D133F4">
      <w:pPr>
        <w:spacing w:line="360" w:lineRule="auto"/>
        <w:ind w:left="-1080" w:right="-1080"/>
        <w:jc w:val="center"/>
        <w:rPr>
          <w:rFonts w:ascii="Times New Roman" w:hAnsi="Times New Roman" w:cs="Times New Roman"/>
        </w:rPr>
      </w:pPr>
      <w:r w:rsidRPr="00D133F4">
        <w:rPr>
          <w:rFonts w:ascii="Times New Roman" w:hAnsi="Times New Roman" w:cs="Times New Roman"/>
          <w:noProof/>
        </w:rPr>
        <w:drawing>
          <wp:inline distT="0" distB="0" distL="0" distR="0" wp14:anchorId="096AF73F" wp14:editId="69984D8D">
            <wp:extent cx="5731510" cy="2305878"/>
            <wp:effectExtent l="0" t="0" r="2540" b="0"/>
            <wp:docPr id="87364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3338" cy="2318683"/>
                    </a:xfrm>
                    <a:prstGeom prst="rect">
                      <a:avLst/>
                    </a:prstGeom>
                    <a:noFill/>
                    <a:ln>
                      <a:noFill/>
                    </a:ln>
                  </pic:spPr>
                </pic:pic>
              </a:graphicData>
            </a:graphic>
          </wp:inline>
        </w:drawing>
      </w:r>
    </w:p>
    <w:p w14:paraId="184BC39D" w14:textId="77777777" w:rsidR="003E2B1B" w:rsidRPr="003E2B1B" w:rsidRDefault="003E2B1B" w:rsidP="00D133F4">
      <w:pPr>
        <w:spacing w:line="360" w:lineRule="auto"/>
        <w:ind w:left="-1080" w:right="-1080"/>
        <w:jc w:val="center"/>
        <w:rPr>
          <w:rFonts w:ascii="Times New Roman" w:hAnsi="Times New Roman" w:cs="Times New Roman"/>
        </w:rPr>
      </w:pPr>
      <w:r w:rsidRPr="003E2B1B">
        <w:rPr>
          <w:rFonts w:ascii="Times New Roman" w:hAnsi="Times New Roman" w:cs="Times New Roman"/>
        </w:rPr>
        <w:t>Fig. 7: Proposed Five-Layer IoT Architecture for EV Charging Management</w:t>
      </w:r>
    </w:p>
    <w:p w14:paraId="5AA5BA3D" w14:textId="77777777" w:rsidR="003E2B1B" w:rsidRPr="00723BFA" w:rsidRDefault="003E2B1B" w:rsidP="003E2B1B">
      <w:pPr>
        <w:spacing w:line="360" w:lineRule="auto"/>
        <w:ind w:left="-1080" w:right="-1080"/>
        <w:jc w:val="both"/>
        <w:rPr>
          <w:rFonts w:ascii="Times New Roman" w:hAnsi="Times New Roman" w:cs="Times New Roman"/>
          <w:b/>
          <w:bCs/>
        </w:rPr>
      </w:pPr>
      <w:r w:rsidRPr="00723BFA">
        <w:rPr>
          <w:rFonts w:ascii="Times New Roman" w:hAnsi="Times New Roman" w:cs="Times New Roman"/>
          <w:b/>
          <w:bCs/>
        </w:rPr>
        <w:t>a) IoT Architecture</w:t>
      </w:r>
    </w:p>
    <w:p w14:paraId="22E69F96" w14:textId="77777777" w:rsidR="003E2B1B" w:rsidRPr="003E2B1B" w:rsidRDefault="003E2B1B" w:rsidP="003E2B1B">
      <w:pPr>
        <w:spacing w:line="360" w:lineRule="auto"/>
        <w:ind w:left="-1080" w:right="-1080"/>
        <w:jc w:val="both"/>
        <w:rPr>
          <w:rFonts w:ascii="Times New Roman" w:hAnsi="Times New Roman" w:cs="Times New Roman"/>
        </w:rPr>
      </w:pPr>
      <w:r w:rsidRPr="001D2C6C">
        <w:rPr>
          <w:rFonts w:ascii="Times New Roman" w:hAnsi="Times New Roman" w:cs="Times New Roman"/>
          <w:b/>
          <w:bCs/>
        </w:rPr>
        <w:t>1. Sensor Layer:</w:t>
      </w:r>
      <w:r w:rsidRPr="003E2B1B">
        <w:rPr>
          <w:rFonts w:ascii="Times New Roman" w:hAnsi="Times New Roman" w:cs="Times New Roman"/>
        </w:rPr>
        <w:t xml:space="preserve"> This foundational layer constitutes the physical interface with the charging station's components. An array of sensors is deployed to capture real-time electrical and environmental parameters. This includes voltage sensors (ACS712 modules) and current sensors across the Solar PV output, ESS terminals, and Grid connection points; temperature and humidity sensors (DHT11) at the ESS and charging units; and insulation resistance detectors. The data from this layer forms the primary input for all monitoring and control decisions.</w:t>
      </w:r>
    </w:p>
    <w:p w14:paraId="7E61A621" w14:textId="67E2D112" w:rsidR="003E2B1B" w:rsidRPr="003E2B1B" w:rsidRDefault="003E2B1B" w:rsidP="003E2B1B">
      <w:pPr>
        <w:spacing w:line="360" w:lineRule="auto"/>
        <w:ind w:left="-1080" w:right="-1080"/>
        <w:jc w:val="both"/>
        <w:rPr>
          <w:rFonts w:ascii="Times New Roman" w:hAnsi="Times New Roman" w:cs="Times New Roman"/>
        </w:rPr>
      </w:pPr>
      <w:r w:rsidRPr="00DC4216">
        <w:rPr>
          <w:rFonts w:ascii="Times New Roman" w:hAnsi="Times New Roman" w:cs="Times New Roman"/>
          <w:b/>
          <w:bCs/>
        </w:rPr>
        <w:t>2.</w:t>
      </w:r>
      <w:r w:rsidRPr="003E2B1B">
        <w:rPr>
          <w:rFonts w:ascii="Times New Roman" w:hAnsi="Times New Roman" w:cs="Times New Roman"/>
        </w:rPr>
        <w:t xml:space="preserve"> </w:t>
      </w:r>
      <w:r w:rsidRPr="00DC4216">
        <w:rPr>
          <w:rFonts w:ascii="Times New Roman" w:hAnsi="Times New Roman" w:cs="Times New Roman"/>
          <w:b/>
          <w:bCs/>
        </w:rPr>
        <w:t>Microcontroller and Data Acquisition Layer:</w:t>
      </w:r>
      <w:r w:rsidRPr="003E2B1B">
        <w:rPr>
          <w:rFonts w:ascii="Times New Roman" w:hAnsi="Times New Roman" w:cs="Times New Roman"/>
        </w:rPr>
        <w:t xml:space="preserve"> This layer functions as the local "edge intelligence." ESP32 development boards were selected as the core microcontrollers due to their integrated Wi-Fi/Bluetooth capabilities and sufficient processing power. One ESP32 unit is dedicated to aggregating raw analog and digital data from all sensors, performing initial signal conditioning (filtering, scaling), and packaging the data. A second ESP32 is responsible for executing local control algorithms, such as the preliminary State of Charge (SOC) estimation </w:t>
      </w:r>
      <w:r w:rsidR="009210B0">
        <w:rPr>
          <w:rFonts w:ascii="Times New Roman" w:hAnsi="Times New Roman" w:cs="Times New Roman"/>
        </w:rPr>
        <w:t>and real time data monitoring.</w:t>
      </w:r>
    </w:p>
    <w:p w14:paraId="452EDB73" w14:textId="77777777" w:rsidR="003E2B1B" w:rsidRPr="003E2B1B" w:rsidRDefault="003E2B1B" w:rsidP="003E2B1B">
      <w:pPr>
        <w:spacing w:line="360" w:lineRule="auto"/>
        <w:ind w:left="-1080" w:right="-1080"/>
        <w:jc w:val="both"/>
        <w:rPr>
          <w:rFonts w:ascii="Times New Roman" w:hAnsi="Times New Roman" w:cs="Times New Roman"/>
        </w:rPr>
      </w:pPr>
      <w:r w:rsidRPr="009210B0">
        <w:rPr>
          <w:rFonts w:ascii="Times New Roman" w:hAnsi="Times New Roman" w:cs="Times New Roman"/>
          <w:b/>
          <w:bCs/>
        </w:rPr>
        <w:t>3. Communication Layer:</w:t>
      </w:r>
      <w:r w:rsidRPr="003E2B1B">
        <w:rPr>
          <w:rFonts w:ascii="Times New Roman" w:hAnsi="Times New Roman" w:cs="Times New Roman"/>
        </w:rPr>
        <w:t xml:space="preserve"> This layer ensures robust and reliable data transmission between the edge devices and the cloud backend. It employs a hybrid protocol strategy. The MQTT (Message Queuing Telemetry Transport) protocol, a lightweight publish-subscribe messaging protocol, is used for efficient, low-power telemetry data streaming from the ESP32s to the cloud broker. HTTP/HTTPS protocols are utilized for RESTful API calls, particularly for dashboard updates and receiving configuration parameters from the cloud application.</w:t>
      </w:r>
    </w:p>
    <w:p w14:paraId="3A334F60" w14:textId="79F91675" w:rsidR="003E2B1B" w:rsidRPr="003E2B1B" w:rsidRDefault="003E2B1B" w:rsidP="003E2B1B">
      <w:pPr>
        <w:spacing w:line="360" w:lineRule="auto"/>
        <w:ind w:left="-1080" w:right="-1080"/>
        <w:jc w:val="both"/>
        <w:rPr>
          <w:rFonts w:ascii="Times New Roman" w:hAnsi="Times New Roman" w:cs="Times New Roman"/>
        </w:rPr>
      </w:pPr>
      <w:r w:rsidRPr="00CB0602">
        <w:rPr>
          <w:rFonts w:ascii="Times New Roman" w:hAnsi="Times New Roman" w:cs="Times New Roman"/>
          <w:b/>
          <w:bCs/>
        </w:rPr>
        <w:t>4. Cloud Server and Data Storage Layer:</w:t>
      </w:r>
      <w:r w:rsidRPr="003E2B1B">
        <w:rPr>
          <w:rFonts w:ascii="Times New Roman" w:hAnsi="Times New Roman" w:cs="Times New Roman"/>
        </w:rPr>
        <w:t xml:space="preserve"> This layer provides </w:t>
      </w:r>
      <w:r w:rsidR="00CB0602" w:rsidRPr="003E2B1B">
        <w:rPr>
          <w:rFonts w:ascii="Times New Roman" w:hAnsi="Times New Roman" w:cs="Times New Roman"/>
        </w:rPr>
        <w:t>centralized</w:t>
      </w:r>
      <w:r w:rsidRPr="003E2B1B">
        <w:rPr>
          <w:rFonts w:ascii="Times New Roman" w:hAnsi="Times New Roman" w:cs="Times New Roman"/>
        </w:rPr>
        <w:t xml:space="preserve"> data management, analytics, and historical logging capabilities. The Amazon Web Services (AWS) IoT Core service acts as the MQTT broker and device registry. Time-series sensor data is persistently stored for long-term trend analysis and reporting. This layer also hosts predictive analytics routines and the master automation logic that oversees the PCC's state transitions, sending high-level commands back to the edge layer.</w:t>
      </w:r>
    </w:p>
    <w:p w14:paraId="047706CF" w14:textId="77777777" w:rsidR="003E2B1B" w:rsidRPr="003E2B1B" w:rsidRDefault="003E2B1B" w:rsidP="003E2B1B">
      <w:pPr>
        <w:spacing w:line="360" w:lineRule="auto"/>
        <w:ind w:left="-1080" w:right="-1080"/>
        <w:jc w:val="both"/>
        <w:rPr>
          <w:rFonts w:ascii="Times New Roman" w:hAnsi="Times New Roman" w:cs="Times New Roman"/>
        </w:rPr>
      </w:pPr>
      <w:r w:rsidRPr="007514AB">
        <w:rPr>
          <w:rFonts w:ascii="Times New Roman" w:hAnsi="Times New Roman" w:cs="Times New Roman"/>
          <w:b/>
          <w:bCs/>
        </w:rPr>
        <w:lastRenderedPageBreak/>
        <w:t>5. User Interface Application Layer:</w:t>
      </w:r>
      <w:r w:rsidRPr="003E2B1B">
        <w:rPr>
          <w:rFonts w:ascii="Times New Roman" w:hAnsi="Times New Roman" w:cs="Times New Roman"/>
        </w:rPr>
        <w:t xml:space="preserve"> This top layer delivers accessibility and user control. A real-time operational dashboard was developed using Node-RED, a flow-based programming tool. The dashboard, accessible via a web browser, visualizes key metrics: live power flow diagrams, SOC of ESS, solar generation, grid import/export, and status of each charging/swapping port (Fig. 8). It also provides interfaces for manual overrides, alert logs, and system configuration.</w:t>
      </w:r>
    </w:p>
    <w:p w14:paraId="654CF5CF" w14:textId="4301496D" w:rsidR="003E2B1B" w:rsidRPr="003E2B1B" w:rsidRDefault="007B41A5" w:rsidP="007B41A5">
      <w:pPr>
        <w:spacing w:line="360" w:lineRule="auto"/>
        <w:ind w:left="-1080" w:right="-1080"/>
        <w:jc w:val="center"/>
        <w:rPr>
          <w:rFonts w:ascii="Times New Roman" w:hAnsi="Times New Roman" w:cs="Times New Roman"/>
        </w:rPr>
      </w:pPr>
      <w:r w:rsidRPr="007B41A5">
        <w:rPr>
          <w:rFonts w:ascii="Times New Roman" w:hAnsi="Times New Roman" w:cs="Times New Roman"/>
          <w:noProof/>
        </w:rPr>
        <w:drawing>
          <wp:inline distT="0" distB="0" distL="0" distR="0" wp14:anchorId="1D3B2BBA" wp14:editId="7EC64897">
            <wp:extent cx="5731510" cy="2205990"/>
            <wp:effectExtent l="0" t="0" r="2540" b="3810"/>
            <wp:docPr id="13723462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205990"/>
                    </a:xfrm>
                    <a:prstGeom prst="rect">
                      <a:avLst/>
                    </a:prstGeom>
                    <a:noFill/>
                    <a:ln>
                      <a:noFill/>
                    </a:ln>
                  </pic:spPr>
                </pic:pic>
              </a:graphicData>
            </a:graphic>
          </wp:inline>
        </w:drawing>
      </w:r>
      <w:r w:rsidRPr="007B41A5">
        <w:rPr>
          <w:rFonts w:ascii="Times New Roman" w:hAnsi="Times New Roman" w:cs="Times New Roman"/>
          <w:noProof/>
        </w:rPr>
        <w:drawing>
          <wp:inline distT="0" distB="0" distL="0" distR="0" wp14:anchorId="556B71B7" wp14:editId="27406E87">
            <wp:extent cx="5731510" cy="1963420"/>
            <wp:effectExtent l="0" t="0" r="2540" b="0"/>
            <wp:docPr id="2302570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963420"/>
                    </a:xfrm>
                    <a:prstGeom prst="rect">
                      <a:avLst/>
                    </a:prstGeom>
                    <a:noFill/>
                    <a:ln>
                      <a:noFill/>
                    </a:ln>
                  </pic:spPr>
                </pic:pic>
              </a:graphicData>
            </a:graphic>
          </wp:inline>
        </w:drawing>
      </w:r>
    </w:p>
    <w:p w14:paraId="547EF265" w14:textId="77777777" w:rsidR="003E2B1B" w:rsidRPr="003E2B1B" w:rsidRDefault="003E2B1B" w:rsidP="007B41A5">
      <w:pPr>
        <w:spacing w:line="360" w:lineRule="auto"/>
        <w:ind w:left="-1080" w:right="-1080"/>
        <w:jc w:val="center"/>
        <w:rPr>
          <w:rFonts w:ascii="Times New Roman" w:hAnsi="Times New Roman" w:cs="Times New Roman"/>
        </w:rPr>
      </w:pPr>
      <w:r w:rsidRPr="003E2B1B">
        <w:rPr>
          <w:rFonts w:ascii="Times New Roman" w:hAnsi="Times New Roman" w:cs="Times New Roman"/>
        </w:rPr>
        <w:t>Fig. 8: Node-RED Dashboard for Real-Time System Monitoring and Control</w:t>
      </w:r>
    </w:p>
    <w:p w14:paraId="2525F19F" w14:textId="77777777" w:rsidR="003E2B1B" w:rsidRPr="003E2B1B" w:rsidRDefault="003E2B1B" w:rsidP="003E2B1B">
      <w:pPr>
        <w:spacing w:line="360" w:lineRule="auto"/>
        <w:ind w:left="-1080" w:right="-1080"/>
        <w:jc w:val="both"/>
        <w:rPr>
          <w:rFonts w:ascii="Times New Roman" w:hAnsi="Times New Roman" w:cs="Times New Roman"/>
        </w:rPr>
      </w:pPr>
    </w:p>
    <w:p w14:paraId="3BB32DF0" w14:textId="77777777" w:rsidR="003E2B1B" w:rsidRPr="00984960" w:rsidRDefault="003E2B1B" w:rsidP="003E2B1B">
      <w:pPr>
        <w:spacing w:line="360" w:lineRule="auto"/>
        <w:ind w:left="-1080" w:right="-1080"/>
        <w:jc w:val="both"/>
        <w:rPr>
          <w:rFonts w:ascii="Times New Roman" w:hAnsi="Times New Roman" w:cs="Times New Roman"/>
          <w:b/>
          <w:bCs/>
        </w:rPr>
      </w:pPr>
      <w:r w:rsidRPr="00984960">
        <w:rPr>
          <w:rFonts w:ascii="Times New Roman" w:hAnsi="Times New Roman" w:cs="Times New Roman"/>
          <w:b/>
          <w:bCs/>
        </w:rPr>
        <w:t>b) Power Flow and Operational Logic</w:t>
      </w:r>
    </w:p>
    <w:p w14:paraId="63F62D79" w14:textId="77777777" w:rsidR="003E2B1B" w:rsidRPr="003E2B1B" w:rsidRDefault="003E2B1B" w:rsidP="003E2B1B">
      <w:pPr>
        <w:spacing w:line="360" w:lineRule="auto"/>
        <w:ind w:left="-1080" w:right="-1080"/>
        <w:jc w:val="both"/>
        <w:rPr>
          <w:rFonts w:ascii="Times New Roman" w:hAnsi="Times New Roman" w:cs="Times New Roman"/>
        </w:rPr>
      </w:pPr>
      <w:r w:rsidRPr="003E2B1B">
        <w:rPr>
          <w:rFonts w:ascii="Times New Roman" w:hAnsi="Times New Roman" w:cs="Times New Roman"/>
        </w:rPr>
        <w:t>The energy management strategy governs the flow of power between the three primary sources (Solar, ESS, Grid) and the two load types (Battery Swapping Station, DC Fast Chargers) at the Point of Common Coupling (PCC). The logic prioritizes renewable energy utilization and ESS optimization, following a predefined state machine with the following key operational modes:</w:t>
      </w:r>
    </w:p>
    <w:p w14:paraId="5E02BE57" w14:textId="77777777" w:rsidR="003E2B1B" w:rsidRPr="003E2B1B" w:rsidRDefault="003E2B1B" w:rsidP="003E2B1B">
      <w:pPr>
        <w:spacing w:line="360" w:lineRule="auto"/>
        <w:ind w:left="-1080" w:right="-1080"/>
        <w:jc w:val="both"/>
        <w:rPr>
          <w:rFonts w:ascii="Times New Roman" w:hAnsi="Times New Roman" w:cs="Times New Roman"/>
        </w:rPr>
      </w:pPr>
      <w:r w:rsidRPr="00A82560">
        <w:rPr>
          <w:rFonts w:ascii="Times New Roman" w:hAnsi="Times New Roman" w:cs="Times New Roman"/>
          <w:b/>
          <w:bCs/>
        </w:rPr>
        <w:t>Mode 1 (Solar Priority):</w:t>
      </w:r>
      <w:r w:rsidRPr="003E2B1B">
        <w:rPr>
          <w:rFonts w:ascii="Times New Roman" w:hAnsi="Times New Roman" w:cs="Times New Roman"/>
        </w:rPr>
        <w:t xml:space="preserve"> Solar ON → ESS Charging → Grid OFF → Load ON. Available solar power charges the ESS while simultaneously supporting the loads.</w:t>
      </w:r>
    </w:p>
    <w:p w14:paraId="647F0241" w14:textId="77777777" w:rsidR="003E2B1B" w:rsidRPr="003E2B1B" w:rsidRDefault="003E2B1B" w:rsidP="003E2B1B">
      <w:pPr>
        <w:spacing w:line="360" w:lineRule="auto"/>
        <w:ind w:left="-1080" w:right="-1080"/>
        <w:jc w:val="both"/>
        <w:rPr>
          <w:rFonts w:ascii="Times New Roman" w:hAnsi="Times New Roman" w:cs="Times New Roman"/>
        </w:rPr>
      </w:pPr>
      <w:r w:rsidRPr="00A82560">
        <w:rPr>
          <w:rFonts w:ascii="Times New Roman" w:hAnsi="Times New Roman" w:cs="Times New Roman"/>
          <w:b/>
          <w:bCs/>
        </w:rPr>
        <w:t>Mode 2 (ESS Support):</w:t>
      </w:r>
      <w:r w:rsidRPr="003E2B1B">
        <w:rPr>
          <w:rFonts w:ascii="Times New Roman" w:hAnsi="Times New Roman" w:cs="Times New Roman"/>
        </w:rPr>
        <w:t xml:space="preserve"> Solar OFF → ESS ON → Grid OFF → Load ON. When solar is unavailable, the ESS discharges to meet the load demand.</w:t>
      </w:r>
    </w:p>
    <w:p w14:paraId="7BACAA3C" w14:textId="77777777" w:rsidR="003E2B1B" w:rsidRPr="003E2B1B" w:rsidRDefault="003E2B1B" w:rsidP="003E2B1B">
      <w:pPr>
        <w:spacing w:line="360" w:lineRule="auto"/>
        <w:ind w:left="-1080" w:right="-1080"/>
        <w:jc w:val="both"/>
        <w:rPr>
          <w:rFonts w:ascii="Times New Roman" w:hAnsi="Times New Roman" w:cs="Times New Roman"/>
        </w:rPr>
      </w:pPr>
      <w:r w:rsidRPr="00A82560">
        <w:rPr>
          <w:rFonts w:ascii="Times New Roman" w:hAnsi="Times New Roman" w:cs="Times New Roman"/>
          <w:b/>
          <w:bCs/>
        </w:rPr>
        <w:t>Mode 3 (Grid Backup):</w:t>
      </w:r>
      <w:r w:rsidRPr="003E2B1B">
        <w:rPr>
          <w:rFonts w:ascii="Times New Roman" w:hAnsi="Times New Roman" w:cs="Times New Roman"/>
        </w:rPr>
        <w:t xml:space="preserve"> Solar OFF → ESS &lt;20% → Grid ON → Load ON. The grid supplies power when both solar and ESS are insufficient.</w:t>
      </w:r>
    </w:p>
    <w:p w14:paraId="1DD7A883" w14:textId="622B4C33" w:rsidR="003E2B1B" w:rsidRPr="003E2B1B" w:rsidRDefault="003E2B1B" w:rsidP="003E2B1B">
      <w:pPr>
        <w:spacing w:line="360" w:lineRule="auto"/>
        <w:ind w:left="-1080" w:right="-1080"/>
        <w:jc w:val="both"/>
        <w:rPr>
          <w:rFonts w:ascii="Times New Roman" w:hAnsi="Times New Roman" w:cs="Times New Roman"/>
        </w:rPr>
      </w:pPr>
      <w:r w:rsidRPr="00A82560">
        <w:rPr>
          <w:rFonts w:ascii="Times New Roman" w:hAnsi="Times New Roman" w:cs="Times New Roman"/>
          <w:b/>
          <w:bCs/>
        </w:rPr>
        <w:lastRenderedPageBreak/>
        <w:t>Mode 4 (</w:t>
      </w:r>
      <w:r w:rsidR="00A82560" w:rsidRPr="00A82560">
        <w:rPr>
          <w:rFonts w:ascii="Times New Roman" w:hAnsi="Times New Roman" w:cs="Times New Roman"/>
          <w:b/>
          <w:bCs/>
        </w:rPr>
        <w:t xml:space="preserve">Reverse </w:t>
      </w:r>
      <w:r w:rsidRPr="00A82560">
        <w:rPr>
          <w:rFonts w:ascii="Times New Roman" w:hAnsi="Times New Roman" w:cs="Times New Roman"/>
          <w:b/>
          <w:bCs/>
        </w:rPr>
        <w:t>Grid):</w:t>
      </w:r>
      <w:r w:rsidRPr="003E2B1B">
        <w:rPr>
          <w:rFonts w:ascii="Times New Roman" w:hAnsi="Times New Roman" w:cs="Times New Roman"/>
        </w:rPr>
        <w:t xml:space="preserve"> Solar ON → ESS &gt;80% → Grid ON (Reverse). Excess solar energy, after charging ESS to its upper threshold, is fed back to the grid via a bi-directional converter.</w:t>
      </w:r>
    </w:p>
    <w:p w14:paraId="403741CE" w14:textId="77777777" w:rsidR="003E2B1B" w:rsidRPr="003E2B1B" w:rsidRDefault="003E2B1B" w:rsidP="003E2B1B">
      <w:pPr>
        <w:spacing w:line="360" w:lineRule="auto"/>
        <w:ind w:left="-1080" w:right="-1080"/>
        <w:jc w:val="both"/>
        <w:rPr>
          <w:rFonts w:ascii="Times New Roman" w:hAnsi="Times New Roman" w:cs="Times New Roman"/>
        </w:rPr>
      </w:pPr>
      <w:r w:rsidRPr="0070767B">
        <w:rPr>
          <w:rFonts w:ascii="Times New Roman" w:hAnsi="Times New Roman" w:cs="Times New Roman"/>
          <w:b/>
          <w:bCs/>
        </w:rPr>
        <w:t>Mode 5 (ESS Grid-Charge):</w:t>
      </w:r>
      <w:r w:rsidRPr="003E2B1B">
        <w:rPr>
          <w:rFonts w:ascii="Times New Roman" w:hAnsi="Times New Roman" w:cs="Times New Roman"/>
        </w:rPr>
        <w:t xml:space="preserve"> Solar OFF → ESS Charging → Grid ON → Load OFF. During off-peak hours or low load periods, the grid can recharge a depleted ESS.</w:t>
      </w:r>
    </w:p>
    <w:p w14:paraId="22E44E09" w14:textId="77777777" w:rsidR="003E2B1B" w:rsidRPr="003E2B1B" w:rsidRDefault="003E2B1B" w:rsidP="003E2B1B">
      <w:pPr>
        <w:spacing w:line="360" w:lineRule="auto"/>
        <w:ind w:left="-1080" w:right="-1080"/>
        <w:jc w:val="both"/>
        <w:rPr>
          <w:rFonts w:ascii="Times New Roman" w:hAnsi="Times New Roman" w:cs="Times New Roman"/>
        </w:rPr>
      </w:pPr>
    </w:p>
    <w:p w14:paraId="2B926CB6" w14:textId="77777777" w:rsidR="003E2B1B" w:rsidRPr="0070767B" w:rsidRDefault="003E2B1B" w:rsidP="003E2B1B">
      <w:pPr>
        <w:spacing w:line="360" w:lineRule="auto"/>
        <w:ind w:left="-1080" w:right="-1080"/>
        <w:jc w:val="both"/>
        <w:rPr>
          <w:rFonts w:ascii="Times New Roman" w:hAnsi="Times New Roman" w:cs="Times New Roman"/>
          <w:b/>
          <w:bCs/>
        </w:rPr>
      </w:pPr>
      <w:r w:rsidRPr="0070767B">
        <w:rPr>
          <w:rFonts w:ascii="Times New Roman" w:hAnsi="Times New Roman" w:cs="Times New Roman"/>
          <w:b/>
          <w:bCs/>
        </w:rPr>
        <w:t>c) PCC Integration and Automation</w:t>
      </w:r>
    </w:p>
    <w:p w14:paraId="2B6159DC" w14:textId="77777777" w:rsidR="003E2B1B" w:rsidRPr="003E2B1B" w:rsidRDefault="003E2B1B" w:rsidP="003E2B1B">
      <w:pPr>
        <w:spacing w:line="360" w:lineRule="auto"/>
        <w:ind w:left="-1080" w:right="-1080"/>
        <w:jc w:val="both"/>
        <w:rPr>
          <w:rFonts w:ascii="Times New Roman" w:hAnsi="Times New Roman" w:cs="Times New Roman"/>
        </w:rPr>
      </w:pPr>
      <w:r w:rsidRPr="003E2B1B">
        <w:rPr>
          <w:rFonts w:ascii="Times New Roman" w:hAnsi="Times New Roman" w:cs="Times New Roman"/>
        </w:rPr>
        <w:t>The PCC is the physical and logical nexus where the sources and loads converge. Its integration and automation are implemented through a combination of hardware and software. The hardware comprises solid-state relays (SSRs) and contactors controlled by the ESP32's GPIO pins to physically connect or disconnect sources. The automation logic, coded in C++ on the ESP32 and reinforced in the cloud, continuously evaluates sensor inputs against the state machine rules to activate the appropriate relays, thereby automating the power flow as described in section 3.1(b). A flowchart of this decision logic is presented in Fig. 9.</w:t>
      </w:r>
    </w:p>
    <w:p w14:paraId="50C11B4C" w14:textId="05E42339" w:rsidR="003E2B1B" w:rsidRPr="003E2B1B" w:rsidRDefault="007B41A5" w:rsidP="007B41A5">
      <w:pPr>
        <w:spacing w:line="360" w:lineRule="auto"/>
        <w:ind w:left="-1080" w:right="-1080"/>
        <w:jc w:val="center"/>
        <w:rPr>
          <w:rFonts w:ascii="Times New Roman" w:hAnsi="Times New Roman" w:cs="Times New Roman"/>
        </w:rPr>
      </w:pPr>
      <w:r w:rsidRPr="007B41A5">
        <w:rPr>
          <w:rFonts w:ascii="Times New Roman" w:hAnsi="Times New Roman" w:cs="Times New Roman"/>
          <w:noProof/>
        </w:rPr>
        <w:drawing>
          <wp:inline distT="0" distB="0" distL="0" distR="0" wp14:anchorId="7B72AD42" wp14:editId="70A48DC1">
            <wp:extent cx="5731510" cy="2808605"/>
            <wp:effectExtent l="0" t="0" r="2540" b="0"/>
            <wp:docPr id="13282649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08605"/>
                    </a:xfrm>
                    <a:prstGeom prst="rect">
                      <a:avLst/>
                    </a:prstGeom>
                    <a:noFill/>
                    <a:ln>
                      <a:noFill/>
                    </a:ln>
                  </pic:spPr>
                </pic:pic>
              </a:graphicData>
            </a:graphic>
          </wp:inline>
        </w:drawing>
      </w:r>
    </w:p>
    <w:p w14:paraId="1B410C4D" w14:textId="77777777" w:rsidR="003E2B1B" w:rsidRPr="003E2B1B" w:rsidRDefault="003E2B1B" w:rsidP="007B41A5">
      <w:pPr>
        <w:spacing w:line="360" w:lineRule="auto"/>
        <w:ind w:left="-1080" w:right="-1080"/>
        <w:jc w:val="center"/>
        <w:rPr>
          <w:rFonts w:ascii="Times New Roman" w:hAnsi="Times New Roman" w:cs="Times New Roman"/>
        </w:rPr>
      </w:pPr>
      <w:r w:rsidRPr="003E2B1B">
        <w:rPr>
          <w:rFonts w:ascii="Times New Roman" w:hAnsi="Times New Roman" w:cs="Times New Roman"/>
        </w:rPr>
        <w:t>Fig. 9: PCC Automation Logic Flowchart</w:t>
      </w:r>
    </w:p>
    <w:p w14:paraId="2981A9B6" w14:textId="77777777" w:rsidR="003E2B1B" w:rsidRPr="003E2B1B" w:rsidRDefault="003E2B1B" w:rsidP="003E2B1B">
      <w:pPr>
        <w:spacing w:line="360" w:lineRule="auto"/>
        <w:ind w:left="-1080" w:right="-1080"/>
        <w:jc w:val="both"/>
        <w:rPr>
          <w:rFonts w:ascii="Times New Roman" w:hAnsi="Times New Roman" w:cs="Times New Roman"/>
        </w:rPr>
      </w:pPr>
    </w:p>
    <w:p w14:paraId="6E586662" w14:textId="77777777" w:rsidR="003E2B1B" w:rsidRPr="0070767B" w:rsidRDefault="003E2B1B" w:rsidP="003E2B1B">
      <w:pPr>
        <w:spacing w:line="360" w:lineRule="auto"/>
        <w:ind w:left="-1080" w:right="-1080"/>
        <w:jc w:val="both"/>
        <w:rPr>
          <w:rFonts w:ascii="Times New Roman" w:hAnsi="Times New Roman" w:cs="Times New Roman"/>
          <w:b/>
          <w:bCs/>
        </w:rPr>
      </w:pPr>
      <w:r w:rsidRPr="0070767B">
        <w:rPr>
          <w:rFonts w:ascii="Times New Roman" w:hAnsi="Times New Roman" w:cs="Times New Roman"/>
          <w:b/>
          <w:bCs/>
        </w:rPr>
        <w:t>d) Core Algorithms</w:t>
      </w:r>
    </w:p>
    <w:p w14:paraId="505CB171" w14:textId="77777777" w:rsidR="003E2B1B" w:rsidRPr="003E2B1B" w:rsidRDefault="003E2B1B" w:rsidP="003E2B1B">
      <w:pPr>
        <w:spacing w:line="360" w:lineRule="auto"/>
        <w:ind w:left="-1080" w:right="-1080"/>
        <w:jc w:val="both"/>
        <w:rPr>
          <w:rFonts w:ascii="Times New Roman" w:hAnsi="Times New Roman" w:cs="Times New Roman"/>
        </w:rPr>
      </w:pPr>
      <w:r w:rsidRPr="003E2B1B">
        <w:rPr>
          <w:rFonts w:ascii="Times New Roman" w:hAnsi="Times New Roman" w:cs="Times New Roman"/>
        </w:rPr>
        <w:t>The intelligent management is driven by several key algorithms implemented at the edge and cloud layers:</w:t>
      </w:r>
    </w:p>
    <w:p w14:paraId="761C2965" w14:textId="77777777" w:rsidR="003E2B1B" w:rsidRPr="003E2B1B" w:rsidRDefault="003E2B1B" w:rsidP="003E2B1B">
      <w:pPr>
        <w:spacing w:line="360" w:lineRule="auto"/>
        <w:ind w:left="-1080" w:right="-1080"/>
        <w:jc w:val="both"/>
        <w:rPr>
          <w:rFonts w:ascii="Times New Roman" w:hAnsi="Times New Roman" w:cs="Times New Roman"/>
        </w:rPr>
      </w:pPr>
      <w:r w:rsidRPr="002A1C85">
        <w:rPr>
          <w:rFonts w:ascii="Times New Roman" w:hAnsi="Times New Roman" w:cs="Times New Roman"/>
          <w:b/>
          <w:bCs/>
        </w:rPr>
        <w:t>1) State of Charge (SOC) Calculation Algorithm:</w:t>
      </w:r>
      <w:r w:rsidRPr="003E2B1B">
        <w:rPr>
          <w:rFonts w:ascii="Times New Roman" w:hAnsi="Times New Roman" w:cs="Times New Roman"/>
        </w:rPr>
        <w:t xml:space="preserve"> This algorithm estimates the remaining capacity of the ESS. It employs a Coulomb-counting (current integration) method, corrected periodically by open-circuit voltage readings, to provide a real-time SOC percentage. This value is critical for all charging/discharging decisions.</w:t>
      </w:r>
    </w:p>
    <w:p w14:paraId="3E16F679" w14:textId="77777777" w:rsidR="003E2B1B" w:rsidRPr="003E2B1B" w:rsidRDefault="003E2B1B" w:rsidP="003E2B1B">
      <w:pPr>
        <w:spacing w:line="360" w:lineRule="auto"/>
        <w:ind w:left="-1080" w:right="-1080"/>
        <w:jc w:val="both"/>
        <w:rPr>
          <w:rFonts w:ascii="Times New Roman" w:hAnsi="Times New Roman" w:cs="Times New Roman"/>
        </w:rPr>
      </w:pPr>
      <w:r w:rsidRPr="002A1C85">
        <w:rPr>
          <w:rFonts w:ascii="Times New Roman" w:hAnsi="Times New Roman" w:cs="Times New Roman"/>
          <w:b/>
          <w:bCs/>
        </w:rPr>
        <w:t>2) Charging and Discharging Control Algorithm:</w:t>
      </w:r>
      <w:r w:rsidRPr="003E2B1B">
        <w:rPr>
          <w:rFonts w:ascii="Times New Roman" w:hAnsi="Times New Roman" w:cs="Times New Roman"/>
        </w:rPr>
        <w:t xml:space="preserve"> Based on the calculated SOC, this algorithm manages the ESS's power electronics. It initiates constant-current (CC) charging when SOC is low, switches to constant-voltage (CV) charging near full capacity, and governs a controlled discharge rate to the loads, ensuring battery health and longevity.</w:t>
      </w:r>
    </w:p>
    <w:p w14:paraId="4DD20795" w14:textId="77777777" w:rsidR="003E2B1B" w:rsidRPr="003E2B1B" w:rsidRDefault="003E2B1B" w:rsidP="003E2B1B">
      <w:pPr>
        <w:spacing w:line="360" w:lineRule="auto"/>
        <w:ind w:left="-1080" w:right="-1080"/>
        <w:jc w:val="both"/>
        <w:rPr>
          <w:rFonts w:ascii="Times New Roman" w:hAnsi="Times New Roman" w:cs="Times New Roman"/>
        </w:rPr>
      </w:pPr>
      <w:r w:rsidRPr="002A1C85">
        <w:rPr>
          <w:rFonts w:ascii="Times New Roman" w:hAnsi="Times New Roman" w:cs="Times New Roman"/>
          <w:b/>
          <w:bCs/>
        </w:rPr>
        <w:lastRenderedPageBreak/>
        <w:t>3) Maximum Power Point Tracking (MPPT) Algorithm:</w:t>
      </w:r>
      <w:r w:rsidRPr="003E2B1B">
        <w:rPr>
          <w:rFonts w:ascii="Times New Roman" w:hAnsi="Times New Roman" w:cs="Times New Roman"/>
        </w:rPr>
        <w:t xml:space="preserve"> To maximize harvest from the solar panels, a Perturb and Observe (P&amp;O) MPPT algorithm is implemented. It periodically adjusts the duty cycle of the DC-DC boost converter connected to the solar array to find and maintain the operating point that delivers maximum power, even under varying irradiance conditions.</w:t>
      </w:r>
    </w:p>
    <w:p w14:paraId="1002078E" w14:textId="77777777" w:rsidR="003E2B1B" w:rsidRPr="003E2B1B" w:rsidRDefault="003E2B1B" w:rsidP="003E2B1B">
      <w:pPr>
        <w:spacing w:line="360" w:lineRule="auto"/>
        <w:ind w:left="-1080" w:right="-1080"/>
        <w:jc w:val="both"/>
        <w:rPr>
          <w:rFonts w:ascii="Times New Roman" w:hAnsi="Times New Roman" w:cs="Times New Roman"/>
        </w:rPr>
      </w:pPr>
      <w:r w:rsidRPr="002A1C85">
        <w:rPr>
          <w:rFonts w:ascii="Times New Roman" w:hAnsi="Times New Roman" w:cs="Times New Roman"/>
          <w:b/>
          <w:bCs/>
        </w:rPr>
        <w:t>4) Energy Source Management Algorithm:</w:t>
      </w:r>
      <w:r w:rsidRPr="003E2B1B">
        <w:rPr>
          <w:rFonts w:ascii="Times New Roman" w:hAnsi="Times New Roman" w:cs="Times New Roman"/>
        </w:rPr>
        <w:t xml:space="preserve"> This is the high-level supervisory algorithm that encapsulates the PCC automation logic. It takes inputs from all sensors, the SOC algorithm, and the solar MPPT status to determine the active operational mode (Modes 1-5) and sends the corresponding switching commands to the PCC hardware.</w:t>
      </w:r>
    </w:p>
    <w:p w14:paraId="38E89652" w14:textId="77777777" w:rsidR="003E2B1B" w:rsidRPr="003E2B1B" w:rsidRDefault="003E2B1B" w:rsidP="003E2B1B">
      <w:pPr>
        <w:spacing w:line="360" w:lineRule="auto"/>
        <w:ind w:left="-1080" w:right="-1080"/>
        <w:jc w:val="both"/>
        <w:rPr>
          <w:rFonts w:ascii="Times New Roman" w:hAnsi="Times New Roman" w:cs="Times New Roman"/>
        </w:rPr>
      </w:pPr>
    </w:p>
    <w:p w14:paraId="4DDBA96C" w14:textId="77777777" w:rsidR="003E2B1B" w:rsidRPr="002A1C85" w:rsidRDefault="003E2B1B" w:rsidP="003E2B1B">
      <w:pPr>
        <w:spacing w:line="360" w:lineRule="auto"/>
        <w:ind w:left="-1080" w:right="-1080"/>
        <w:jc w:val="both"/>
        <w:rPr>
          <w:rFonts w:ascii="Times New Roman" w:hAnsi="Times New Roman" w:cs="Times New Roman"/>
          <w:b/>
          <w:bCs/>
        </w:rPr>
      </w:pPr>
      <w:r w:rsidRPr="002A1C85">
        <w:rPr>
          <w:rFonts w:ascii="Times New Roman" w:hAnsi="Times New Roman" w:cs="Times New Roman"/>
          <w:b/>
          <w:bCs/>
        </w:rPr>
        <w:t>3.2 Hardware Development and Prototyping</w:t>
      </w:r>
    </w:p>
    <w:p w14:paraId="7EFF61B5" w14:textId="77777777" w:rsidR="003E2B1B" w:rsidRDefault="003E2B1B" w:rsidP="003E2B1B">
      <w:pPr>
        <w:spacing w:line="360" w:lineRule="auto"/>
        <w:ind w:left="-1080" w:right="-1080"/>
        <w:jc w:val="both"/>
        <w:rPr>
          <w:rFonts w:ascii="Times New Roman" w:hAnsi="Times New Roman" w:cs="Times New Roman"/>
        </w:rPr>
      </w:pPr>
      <w:r w:rsidRPr="003E2B1B">
        <w:rPr>
          <w:rFonts w:ascii="Times New Roman" w:hAnsi="Times New Roman" w:cs="Times New Roman"/>
        </w:rPr>
        <w:t>The theoretical design and algorithms were physically realized through a functional laboratory-scale prototype. Fig. 10 shows the complete hardware setup.</w:t>
      </w:r>
    </w:p>
    <w:p w14:paraId="52DE03CA" w14:textId="20C5C81F" w:rsidR="007B41A5" w:rsidRPr="003E2B1B" w:rsidRDefault="007B41A5" w:rsidP="007B41A5">
      <w:pPr>
        <w:spacing w:line="360" w:lineRule="auto"/>
        <w:ind w:left="-1080" w:right="-1080"/>
        <w:jc w:val="center"/>
        <w:rPr>
          <w:rFonts w:ascii="Times New Roman" w:hAnsi="Times New Roman" w:cs="Times New Roman"/>
        </w:rPr>
      </w:pPr>
      <w:r>
        <w:rPr>
          <w:rFonts w:ascii="Times New Roman" w:hAnsi="Times New Roman" w:cs="Times New Roman"/>
          <w:noProof/>
        </w:rPr>
        <w:drawing>
          <wp:inline distT="0" distB="0" distL="0" distR="0" wp14:anchorId="299D67CD" wp14:editId="779D687D">
            <wp:extent cx="4756233" cy="2675381"/>
            <wp:effectExtent l="0" t="0" r="6350" b="0"/>
            <wp:docPr id="13467898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92885" cy="2695998"/>
                    </a:xfrm>
                    <a:prstGeom prst="rect">
                      <a:avLst/>
                    </a:prstGeom>
                    <a:noFill/>
                  </pic:spPr>
                </pic:pic>
              </a:graphicData>
            </a:graphic>
          </wp:inline>
        </w:drawing>
      </w:r>
    </w:p>
    <w:p w14:paraId="0C70C0E9" w14:textId="77777777" w:rsidR="003E2B1B" w:rsidRPr="003E2B1B" w:rsidRDefault="003E2B1B" w:rsidP="007B41A5">
      <w:pPr>
        <w:spacing w:line="360" w:lineRule="auto"/>
        <w:ind w:left="-1080" w:right="-1080"/>
        <w:jc w:val="center"/>
        <w:rPr>
          <w:rFonts w:ascii="Times New Roman" w:hAnsi="Times New Roman" w:cs="Times New Roman"/>
        </w:rPr>
      </w:pPr>
      <w:r w:rsidRPr="003E2B1B">
        <w:rPr>
          <w:rFonts w:ascii="Times New Roman" w:hAnsi="Times New Roman" w:cs="Times New Roman"/>
        </w:rPr>
        <w:t>Fig. 10: Implemented Hardware Prototype of the Hybrid Charging System</w:t>
      </w:r>
    </w:p>
    <w:p w14:paraId="346E21E2" w14:textId="38D7B84A" w:rsidR="003E2B1B" w:rsidRDefault="003E2B1B" w:rsidP="003E2B1B">
      <w:pPr>
        <w:spacing w:line="360" w:lineRule="auto"/>
        <w:ind w:left="-1080" w:right="-1080"/>
        <w:jc w:val="both"/>
        <w:rPr>
          <w:rFonts w:ascii="Times New Roman" w:hAnsi="Times New Roman" w:cs="Times New Roman"/>
        </w:rPr>
      </w:pPr>
      <w:r w:rsidRPr="003E2B1B">
        <w:rPr>
          <w:rFonts w:ascii="Times New Roman" w:hAnsi="Times New Roman" w:cs="Times New Roman"/>
        </w:rPr>
        <w:t>The prototype physically demonstrates the automated transition between solar, battery, and grid power, with all sensor data being streamed to the cloud dashboard in real-time, validating the end-to-end functionality of the proposed IoT architecture.</w:t>
      </w:r>
      <w:r w:rsidR="00CD79F7">
        <w:rPr>
          <w:rFonts w:ascii="Times New Roman" w:hAnsi="Times New Roman" w:cs="Times New Roman"/>
        </w:rPr>
        <w:t xml:space="preserve"> </w:t>
      </w:r>
      <w:r w:rsidR="00CD79F7" w:rsidRPr="00CD79F7">
        <w:rPr>
          <w:rFonts w:ascii="Times New Roman" w:hAnsi="Times New Roman" w:cs="Times New Roman"/>
        </w:rPr>
        <w:t xml:space="preserve">The theoretical framework and control algorithms were physically validated through the implementation of a fully functional, laboratory-scale prototype. The hardware realization comprised several integrated subsystems: energy sources, power electronics, sensing and control modules, and simulated loads. For energy generation and storage, the prototype incorporated a 50W solar panel simulator to emulate photovoltaic input, a bank of four 12V/7Ah lead-acid batteries configured to represent the Energy Storage System (ESS), and a standard 230V AC mains supply serving as the primary grid connection. The power conditioning and management were facilitated by key power electronic components, including DC-DC boost converters (XL6009 modules) for solar Maximum Power Point Tracking (MPPT) and load interfacing, a bi-directional AC-DC converter for grid interaction and reverse power flow capability, and relay modules for automated source switching at the Point of Common Coupling (PCC). The sensory and computational backbone of the system was built using ACS712 Hall-effect-based current sensors for precise current measurement, resistor-based voltage divider circuits for voltage monitoring, a DHT11 digital sensor for ambient temperature and humidity tracking, and two ESP32 </w:t>
      </w:r>
      <w:proofErr w:type="spellStart"/>
      <w:r w:rsidR="00CD79F7" w:rsidRPr="00CD79F7">
        <w:rPr>
          <w:rFonts w:ascii="Times New Roman" w:hAnsi="Times New Roman" w:cs="Times New Roman"/>
        </w:rPr>
        <w:t>DevKit</w:t>
      </w:r>
      <w:proofErr w:type="spellEnd"/>
      <w:r w:rsidR="00CD79F7" w:rsidRPr="00CD79F7">
        <w:rPr>
          <w:rFonts w:ascii="Times New Roman" w:hAnsi="Times New Roman" w:cs="Times New Roman"/>
        </w:rPr>
        <w:t xml:space="preserve"> V1 microcontroller boards for distributed data </w:t>
      </w:r>
      <w:r w:rsidR="00CD79F7" w:rsidRPr="00CD79F7">
        <w:rPr>
          <w:rFonts w:ascii="Times New Roman" w:hAnsi="Times New Roman" w:cs="Times New Roman"/>
        </w:rPr>
        <w:lastRenderedPageBreak/>
        <w:t>acquisition, local edge processing, and network connectivity. Finally, the charging loads were emulated using two configurable dummy load banks: one designed to simulate a Battery Swapping Station with discrete battery slots and another to represent a DC Fast Charger port, enabling the testing of dynamic load management under the proposed multi-source energy framework.</w:t>
      </w:r>
    </w:p>
    <w:p w14:paraId="0540B4E3" w14:textId="77777777" w:rsidR="002D5730" w:rsidRPr="001033AE" w:rsidRDefault="002D5730" w:rsidP="002D5730">
      <w:pPr>
        <w:spacing w:line="360" w:lineRule="auto"/>
        <w:ind w:left="-1080" w:right="-1080"/>
        <w:jc w:val="both"/>
        <w:rPr>
          <w:rFonts w:ascii="Times New Roman" w:hAnsi="Times New Roman" w:cs="Times New Roman"/>
          <w:b/>
          <w:bCs/>
        </w:rPr>
      </w:pPr>
      <w:r w:rsidRPr="001033AE">
        <w:rPr>
          <w:rFonts w:ascii="Times New Roman" w:hAnsi="Times New Roman" w:cs="Times New Roman"/>
          <w:b/>
          <w:bCs/>
        </w:rPr>
        <w:t>4. MATLAB/Simulink Simulations and Results</w:t>
      </w:r>
    </w:p>
    <w:p w14:paraId="1E6817AC" w14:textId="77777777" w:rsidR="002D5730" w:rsidRPr="002D5730" w:rsidRDefault="002D5730" w:rsidP="002D5730">
      <w:pPr>
        <w:spacing w:line="360" w:lineRule="auto"/>
        <w:ind w:left="-1080" w:right="-1080"/>
        <w:jc w:val="both"/>
        <w:rPr>
          <w:rFonts w:ascii="Times New Roman" w:hAnsi="Times New Roman" w:cs="Times New Roman"/>
        </w:rPr>
      </w:pPr>
      <w:r w:rsidRPr="002D5730">
        <w:rPr>
          <w:rFonts w:ascii="Times New Roman" w:hAnsi="Times New Roman" w:cs="Times New Roman"/>
        </w:rPr>
        <w:t>To validate the theoretical framework and control algorithms prior to hardware implementation, a comprehensive simulation model was developed using MATLAB/Simulink. This model serves as a digital twin of the proposed hybrid EV charging system, enabling the analysis of dynamic interactions between energy sources, the Point of Common Coupling (PCC), and the loads under various operational scenarios. The simulation environment allowed for the tuning of control parameters, the verification of the automation logic, and the quantitative assessment of system performance in terms of energy efficiency and stability.</w:t>
      </w:r>
    </w:p>
    <w:p w14:paraId="1254D655" w14:textId="77777777" w:rsidR="002D5730" w:rsidRPr="00E652BA" w:rsidRDefault="002D5730" w:rsidP="002D5730">
      <w:pPr>
        <w:spacing w:line="360" w:lineRule="auto"/>
        <w:ind w:left="-1080" w:right="-1080"/>
        <w:jc w:val="both"/>
        <w:rPr>
          <w:rFonts w:ascii="Times New Roman" w:hAnsi="Times New Roman" w:cs="Times New Roman"/>
          <w:b/>
          <w:bCs/>
        </w:rPr>
      </w:pPr>
      <w:r w:rsidRPr="00E652BA">
        <w:rPr>
          <w:rFonts w:ascii="Times New Roman" w:hAnsi="Times New Roman" w:cs="Times New Roman"/>
          <w:b/>
          <w:bCs/>
        </w:rPr>
        <w:t>4.1 Overall System Integration and Power Flow Simulation</w:t>
      </w:r>
    </w:p>
    <w:p w14:paraId="5BAF33C0" w14:textId="77777777" w:rsidR="002D5730" w:rsidRDefault="002D5730" w:rsidP="002D5730">
      <w:pPr>
        <w:spacing w:line="360" w:lineRule="auto"/>
        <w:ind w:left="-1080" w:right="-1080"/>
        <w:jc w:val="both"/>
        <w:rPr>
          <w:rFonts w:ascii="Times New Roman" w:hAnsi="Times New Roman" w:cs="Times New Roman"/>
        </w:rPr>
      </w:pPr>
      <w:r w:rsidRPr="002D5730">
        <w:rPr>
          <w:rFonts w:ascii="Times New Roman" w:hAnsi="Times New Roman" w:cs="Times New Roman"/>
        </w:rPr>
        <w:t xml:space="preserve">The top-level simulation model, illustrated in Fig. 11, integrates the three primary energy sources—solar PV array, Energy Storage System (ESS), and the utility grid—with the PCC and the downstream loads (Battery Swapping Station and DC Fast Chargers). The model was configured with realistic component specifications: a </w:t>
      </w:r>
      <w:proofErr w:type="gramStart"/>
      <w:r w:rsidRPr="002D5730">
        <w:rPr>
          <w:rFonts w:ascii="Times New Roman" w:hAnsi="Times New Roman" w:cs="Times New Roman"/>
        </w:rPr>
        <w:t>30 kW</w:t>
      </w:r>
      <w:proofErr w:type="gramEnd"/>
      <w:r w:rsidRPr="002D5730">
        <w:rPr>
          <w:rFonts w:ascii="Times New Roman" w:hAnsi="Times New Roman" w:cs="Times New Roman"/>
        </w:rPr>
        <w:t xml:space="preserve"> solar array, a 480V/140A ESS bank, and a grid interface at 430V. The PCC control logic, implementing the five operational modes defined in Section 3.1, was encoded using </w:t>
      </w:r>
      <w:proofErr w:type="spellStart"/>
      <w:r w:rsidRPr="002D5730">
        <w:rPr>
          <w:rFonts w:ascii="Times New Roman" w:hAnsi="Times New Roman" w:cs="Times New Roman"/>
        </w:rPr>
        <w:t>Stateflow</w:t>
      </w:r>
      <w:proofErr w:type="spellEnd"/>
      <w:r w:rsidRPr="002D5730">
        <w:rPr>
          <w:rFonts w:ascii="Times New Roman" w:hAnsi="Times New Roman" w:cs="Times New Roman"/>
        </w:rPr>
        <w:t xml:space="preserve"> and Simulink blocks to manage the power electronic switches (ideal switches representing relays/converters). The simulation results demonstrate the system's ability to autonomously prioritize solar energy, utilize the ESS as a buffer, and seamlessly engage the grid as a backup, thereby achieving the designed energy management strategy. Transient analysis confirmed stable transitions between modes without significant voltage or current spikes, validating the robustness of the switching logic.</w:t>
      </w:r>
    </w:p>
    <w:p w14:paraId="611CD154" w14:textId="5F7C8F1C" w:rsidR="004C66EC" w:rsidRPr="002D5730" w:rsidRDefault="004C66EC" w:rsidP="004C66EC">
      <w:pPr>
        <w:spacing w:line="360" w:lineRule="auto"/>
        <w:ind w:left="-1080" w:right="-1080"/>
        <w:jc w:val="center"/>
        <w:rPr>
          <w:rFonts w:ascii="Times New Roman" w:hAnsi="Times New Roman" w:cs="Times New Roman"/>
        </w:rPr>
      </w:pPr>
      <w:r w:rsidRPr="004C66EC">
        <w:rPr>
          <w:rFonts w:ascii="Times New Roman" w:hAnsi="Times New Roman" w:cs="Times New Roman"/>
          <w:noProof/>
        </w:rPr>
        <w:drawing>
          <wp:inline distT="0" distB="0" distL="0" distR="0" wp14:anchorId="0AFDB43A" wp14:editId="04A40423">
            <wp:extent cx="5731510" cy="2608580"/>
            <wp:effectExtent l="0" t="0" r="2540" b="1270"/>
            <wp:docPr id="18046728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608580"/>
                    </a:xfrm>
                    <a:prstGeom prst="rect">
                      <a:avLst/>
                    </a:prstGeom>
                    <a:noFill/>
                    <a:ln>
                      <a:noFill/>
                    </a:ln>
                  </pic:spPr>
                </pic:pic>
              </a:graphicData>
            </a:graphic>
          </wp:inline>
        </w:drawing>
      </w:r>
    </w:p>
    <w:p w14:paraId="084BE974" w14:textId="77777777" w:rsidR="002D5730" w:rsidRPr="002D5730" w:rsidRDefault="002D5730" w:rsidP="004C66EC">
      <w:pPr>
        <w:spacing w:line="360" w:lineRule="auto"/>
        <w:ind w:left="-1080" w:right="-1080"/>
        <w:jc w:val="center"/>
        <w:rPr>
          <w:rFonts w:ascii="Times New Roman" w:hAnsi="Times New Roman" w:cs="Times New Roman"/>
        </w:rPr>
      </w:pPr>
      <w:r w:rsidRPr="002D5730">
        <w:rPr>
          <w:rFonts w:ascii="Times New Roman" w:hAnsi="Times New Roman" w:cs="Times New Roman"/>
        </w:rPr>
        <w:t>Fig. 11: MATLAB/Simulink Model of the Integrated Hybrid Charging System</w:t>
      </w:r>
    </w:p>
    <w:p w14:paraId="541F366E" w14:textId="77777777" w:rsidR="002D5730" w:rsidRPr="00E652BA" w:rsidRDefault="002D5730" w:rsidP="002D5730">
      <w:pPr>
        <w:spacing w:line="360" w:lineRule="auto"/>
        <w:ind w:left="-1080" w:right="-1080"/>
        <w:jc w:val="both"/>
        <w:rPr>
          <w:rFonts w:ascii="Times New Roman" w:hAnsi="Times New Roman" w:cs="Times New Roman"/>
          <w:b/>
          <w:bCs/>
        </w:rPr>
      </w:pPr>
      <w:r w:rsidRPr="00E652BA">
        <w:rPr>
          <w:rFonts w:ascii="Times New Roman" w:hAnsi="Times New Roman" w:cs="Times New Roman"/>
          <w:b/>
          <w:bCs/>
        </w:rPr>
        <w:t>4.2 Solar Generation Unit with MPPT</w:t>
      </w:r>
    </w:p>
    <w:p w14:paraId="4C77EE68" w14:textId="77777777" w:rsidR="002D5730" w:rsidRPr="002D5730" w:rsidRDefault="002D5730" w:rsidP="002D5730">
      <w:pPr>
        <w:spacing w:line="360" w:lineRule="auto"/>
        <w:ind w:left="-1080" w:right="-1080"/>
        <w:jc w:val="both"/>
        <w:rPr>
          <w:rFonts w:ascii="Times New Roman" w:hAnsi="Times New Roman" w:cs="Times New Roman"/>
        </w:rPr>
      </w:pPr>
      <w:r w:rsidRPr="002D5730">
        <w:rPr>
          <w:rFonts w:ascii="Times New Roman" w:hAnsi="Times New Roman" w:cs="Times New Roman"/>
        </w:rPr>
        <w:t xml:space="preserve">The solar generation subsystem, shown in Fig. 12, was modeled with a photovoltaic array block whose output is governed by an irradiance and temperature profile to simulate real-world variability. A DC-DC boost converter, </w:t>
      </w:r>
      <w:r w:rsidRPr="002D5730">
        <w:rPr>
          <w:rFonts w:ascii="Times New Roman" w:hAnsi="Times New Roman" w:cs="Times New Roman"/>
        </w:rPr>
        <w:lastRenderedPageBreak/>
        <w:t>controlled by a Perturb and Observe (P&amp;O) Maximum Power Point Tracking (MPPT) algorithm, interfaces the array with the PCC. The simulation tracks key parameters—array voltage (</w:t>
      </w:r>
      <w:proofErr w:type="spellStart"/>
      <w:r w:rsidRPr="002D5730">
        <w:rPr>
          <w:rFonts w:ascii="Times New Roman" w:hAnsi="Times New Roman" w:cs="Times New Roman"/>
        </w:rPr>
        <w:t>V_pv</w:t>
      </w:r>
      <w:proofErr w:type="spellEnd"/>
      <w:r w:rsidRPr="002D5730">
        <w:rPr>
          <w:rFonts w:ascii="Times New Roman" w:hAnsi="Times New Roman" w:cs="Times New Roman"/>
        </w:rPr>
        <w:t>), current (</w:t>
      </w:r>
      <w:proofErr w:type="spellStart"/>
      <w:r w:rsidRPr="002D5730">
        <w:rPr>
          <w:rFonts w:ascii="Times New Roman" w:hAnsi="Times New Roman" w:cs="Times New Roman"/>
        </w:rPr>
        <w:t>I_pv</w:t>
      </w:r>
      <w:proofErr w:type="spellEnd"/>
      <w:r w:rsidRPr="002D5730">
        <w:rPr>
          <w:rFonts w:ascii="Times New Roman" w:hAnsi="Times New Roman" w:cs="Times New Roman"/>
        </w:rPr>
        <w:t>), and output power (</w:t>
      </w:r>
      <w:proofErr w:type="spellStart"/>
      <w:r w:rsidRPr="002D5730">
        <w:rPr>
          <w:rFonts w:ascii="Times New Roman" w:hAnsi="Times New Roman" w:cs="Times New Roman"/>
        </w:rPr>
        <w:t>P_pv</w:t>
      </w:r>
      <w:proofErr w:type="spellEnd"/>
      <w:r w:rsidRPr="002D5730">
        <w:rPr>
          <w:rFonts w:ascii="Times New Roman" w:hAnsi="Times New Roman" w:cs="Times New Roman"/>
        </w:rPr>
        <w:t>)—to verify the MPPT controller's effectiveness. Results indicate that the algorithm successfully maintains operation at the maximum power point despite step changes in irradiance, with tracking efficiency exceeding 98%. The converter steps up the voltage to a stable 430V DC bus level, ready for integration or battery charging.</w:t>
      </w:r>
    </w:p>
    <w:p w14:paraId="3001DA75" w14:textId="7B9BD3DA" w:rsidR="002D5730" w:rsidRPr="002D5730" w:rsidRDefault="00355AAE" w:rsidP="00355AAE">
      <w:pPr>
        <w:spacing w:line="360" w:lineRule="auto"/>
        <w:ind w:left="-1080" w:right="-1080"/>
        <w:jc w:val="center"/>
        <w:rPr>
          <w:rFonts w:ascii="Times New Roman" w:hAnsi="Times New Roman" w:cs="Times New Roman"/>
        </w:rPr>
      </w:pPr>
      <w:r w:rsidRPr="00355AAE">
        <w:rPr>
          <w:rFonts w:ascii="Times New Roman" w:hAnsi="Times New Roman" w:cs="Times New Roman"/>
        </w:rPr>
        <w:drawing>
          <wp:inline distT="0" distB="0" distL="0" distR="0" wp14:anchorId="241B4CB5" wp14:editId="3FB11ADC">
            <wp:extent cx="5731510" cy="2615979"/>
            <wp:effectExtent l="0" t="0" r="2540" b="0"/>
            <wp:docPr id="127941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15410" name=""/>
                    <pic:cNvPicPr/>
                  </pic:nvPicPr>
                  <pic:blipFill rotWithShape="1">
                    <a:blip r:embed="rId12"/>
                    <a:srcRect b="7048"/>
                    <a:stretch>
                      <a:fillRect/>
                    </a:stretch>
                  </pic:blipFill>
                  <pic:spPr bwMode="auto">
                    <a:xfrm>
                      <a:off x="0" y="0"/>
                      <a:ext cx="5731510" cy="2615979"/>
                    </a:xfrm>
                    <a:prstGeom prst="rect">
                      <a:avLst/>
                    </a:prstGeom>
                    <a:ln>
                      <a:noFill/>
                    </a:ln>
                    <a:extLst>
                      <a:ext uri="{53640926-AAD7-44D8-BBD7-CCE9431645EC}">
                        <a14:shadowObscured xmlns:a14="http://schemas.microsoft.com/office/drawing/2010/main"/>
                      </a:ext>
                    </a:extLst>
                  </pic:spPr>
                </pic:pic>
              </a:graphicData>
            </a:graphic>
          </wp:inline>
        </w:drawing>
      </w:r>
    </w:p>
    <w:p w14:paraId="522689B4" w14:textId="77777777" w:rsidR="002D5730" w:rsidRPr="002D5730" w:rsidRDefault="002D5730" w:rsidP="00355AAE">
      <w:pPr>
        <w:spacing w:line="360" w:lineRule="auto"/>
        <w:ind w:left="-1080" w:right="-1080"/>
        <w:jc w:val="center"/>
        <w:rPr>
          <w:rFonts w:ascii="Times New Roman" w:hAnsi="Times New Roman" w:cs="Times New Roman"/>
        </w:rPr>
      </w:pPr>
      <w:r w:rsidRPr="002D5730">
        <w:rPr>
          <w:rFonts w:ascii="Times New Roman" w:hAnsi="Times New Roman" w:cs="Times New Roman"/>
        </w:rPr>
        <w:t>Fig. 12: Solar PV Subsystem with MPPT-Controlled Boost Converter</w:t>
      </w:r>
    </w:p>
    <w:p w14:paraId="0C3D417F" w14:textId="77777777" w:rsidR="002D5730" w:rsidRPr="00E652BA" w:rsidRDefault="002D5730" w:rsidP="002D5730">
      <w:pPr>
        <w:spacing w:line="360" w:lineRule="auto"/>
        <w:ind w:left="-1080" w:right="-1080"/>
        <w:jc w:val="both"/>
        <w:rPr>
          <w:rFonts w:ascii="Times New Roman" w:hAnsi="Times New Roman" w:cs="Times New Roman"/>
          <w:b/>
          <w:bCs/>
        </w:rPr>
      </w:pPr>
      <w:r w:rsidRPr="00E652BA">
        <w:rPr>
          <w:rFonts w:ascii="Times New Roman" w:hAnsi="Times New Roman" w:cs="Times New Roman"/>
          <w:b/>
          <w:bCs/>
        </w:rPr>
        <w:t>4.3 Grid Interface Unit</w:t>
      </w:r>
    </w:p>
    <w:p w14:paraId="25066487" w14:textId="77777777" w:rsidR="002D5730" w:rsidRDefault="002D5730" w:rsidP="002D5730">
      <w:pPr>
        <w:spacing w:line="360" w:lineRule="auto"/>
        <w:ind w:left="-1080" w:right="-1080"/>
        <w:jc w:val="both"/>
        <w:rPr>
          <w:rFonts w:ascii="Times New Roman" w:hAnsi="Times New Roman" w:cs="Times New Roman"/>
        </w:rPr>
      </w:pPr>
      <w:r w:rsidRPr="002D5730">
        <w:rPr>
          <w:rFonts w:ascii="Times New Roman" w:hAnsi="Times New Roman" w:cs="Times New Roman"/>
        </w:rPr>
        <w:t>The grid integration unit, modeled in Fig. 13, consists of a three-phase AC voltage source representing the utility grid, connected to the PCC through a bi-directional AC-DC converter (rectifier/inverter). The converter controls the power flow direction—rectifying AC to DC when drawing power from the grid and inverting DC to AC when feeding surplus solar energy back. Power factor correction (PFC) control is implemented to maintain unity power factor during grid import. Simulation plots demonstrate the converter's ability to maintain a stable DC-link voltage (430V) while the current waveform remains sinusoidal and in phase with the voltage, ensuring compliance with power quality standards even during load transients.</w:t>
      </w:r>
    </w:p>
    <w:p w14:paraId="00D6A6E7" w14:textId="0591F0EF" w:rsidR="00CA644F" w:rsidRPr="002D5730" w:rsidRDefault="00CA644F" w:rsidP="00CA644F">
      <w:pPr>
        <w:spacing w:line="360" w:lineRule="auto"/>
        <w:ind w:left="-1080" w:right="-1080"/>
        <w:jc w:val="center"/>
        <w:rPr>
          <w:rFonts w:ascii="Times New Roman" w:hAnsi="Times New Roman" w:cs="Times New Roman"/>
        </w:rPr>
      </w:pPr>
      <w:r w:rsidRPr="00CA644F">
        <w:rPr>
          <w:rFonts w:ascii="Times New Roman" w:hAnsi="Times New Roman" w:cs="Times New Roman"/>
        </w:rPr>
        <w:drawing>
          <wp:inline distT="0" distB="0" distL="0" distR="0" wp14:anchorId="4AD4AC48" wp14:editId="2F47754D">
            <wp:extent cx="5731510" cy="1944370"/>
            <wp:effectExtent l="0" t="0" r="2540" b="0"/>
            <wp:docPr id="29221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15796" name=""/>
                    <pic:cNvPicPr/>
                  </pic:nvPicPr>
                  <pic:blipFill>
                    <a:blip r:embed="rId13"/>
                    <a:stretch>
                      <a:fillRect/>
                    </a:stretch>
                  </pic:blipFill>
                  <pic:spPr>
                    <a:xfrm>
                      <a:off x="0" y="0"/>
                      <a:ext cx="5731510" cy="1944370"/>
                    </a:xfrm>
                    <a:prstGeom prst="rect">
                      <a:avLst/>
                    </a:prstGeom>
                  </pic:spPr>
                </pic:pic>
              </a:graphicData>
            </a:graphic>
          </wp:inline>
        </w:drawing>
      </w:r>
    </w:p>
    <w:p w14:paraId="431ACDC2" w14:textId="77777777" w:rsidR="002D5730" w:rsidRPr="002D5730" w:rsidRDefault="002D5730" w:rsidP="00CA644F">
      <w:pPr>
        <w:spacing w:line="360" w:lineRule="auto"/>
        <w:ind w:left="-1080" w:right="-1080"/>
        <w:jc w:val="center"/>
        <w:rPr>
          <w:rFonts w:ascii="Times New Roman" w:hAnsi="Times New Roman" w:cs="Times New Roman"/>
        </w:rPr>
      </w:pPr>
      <w:r w:rsidRPr="002D5730">
        <w:rPr>
          <w:rFonts w:ascii="Times New Roman" w:hAnsi="Times New Roman" w:cs="Times New Roman"/>
        </w:rPr>
        <w:t>Fig. 13: Grid Interface Model with Bi-directional AC-DC Converter</w:t>
      </w:r>
    </w:p>
    <w:p w14:paraId="202FA103" w14:textId="77777777" w:rsidR="002D5730" w:rsidRPr="00E652BA" w:rsidRDefault="002D5730" w:rsidP="002D5730">
      <w:pPr>
        <w:spacing w:line="360" w:lineRule="auto"/>
        <w:ind w:left="-1080" w:right="-1080"/>
        <w:jc w:val="both"/>
        <w:rPr>
          <w:rFonts w:ascii="Times New Roman" w:hAnsi="Times New Roman" w:cs="Times New Roman"/>
          <w:b/>
          <w:bCs/>
        </w:rPr>
      </w:pPr>
      <w:r w:rsidRPr="00E652BA">
        <w:rPr>
          <w:rFonts w:ascii="Times New Roman" w:hAnsi="Times New Roman" w:cs="Times New Roman"/>
          <w:b/>
          <w:bCs/>
        </w:rPr>
        <w:t>4.4 Energy Storage System (ESS) Model</w:t>
      </w:r>
    </w:p>
    <w:p w14:paraId="5E40A4C3" w14:textId="77777777" w:rsidR="002D5730" w:rsidRDefault="002D5730" w:rsidP="002D5730">
      <w:pPr>
        <w:spacing w:line="360" w:lineRule="auto"/>
        <w:ind w:left="-1080" w:right="-1080"/>
        <w:jc w:val="both"/>
        <w:rPr>
          <w:rFonts w:ascii="Times New Roman" w:hAnsi="Times New Roman" w:cs="Times New Roman"/>
        </w:rPr>
      </w:pPr>
      <w:r w:rsidRPr="002D5730">
        <w:rPr>
          <w:rFonts w:ascii="Times New Roman" w:hAnsi="Times New Roman" w:cs="Times New Roman"/>
        </w:rPr>
        <w:t xml:space="preserve">The ESS, depicted in Fig. 14, is modeled using a generic battery block configured with the parameters of a lead-acid bank (nominal voltage 12V, capacity 100Ah, 40 cells in series). A bi-directional DC-DC converter manages the </w:t>
      </w:r>
      <w:r w:rsidRPr="002D5730">
        <w:rPr>
          <w:rFonts w:ascii="Times New Roman" w:hAnsi="Times New Roman" w:cs="Times New Roman"/>
        </w:rPr>
        <w:lastRenderedPageBreak/>
        <w:t>charging (from solar/grid) and discharging (to loads) processes. The battery management system (BMS) logic within the model monitors the State of Charge (SOC), temperature, and voltage limits. Simulation results validate the charge/discharge control algorithm, showing constant-current (CC) charging when SOC is low, a smooth transition to constant-voltage (CV) charging near full capacity, and a controlled discharge current during high load demand. The SOC profile over a 24-hour simulated cycle confirms the ESS's role in balancing generation and consumption.</w:t>
      </w:r>
    </w:p>
    <w:p w14:paraId="3CFC53D2" w14:textId="0992A008" w:rsidR="00CA644F" w:rsidRPr="002D5730" w:rsidRDefault="00CA644F" w:rsidP="00CA644F">
      <w:pPr>
        <w:spacing w:line="360" w:lineRule="auto"/>
        <w:ind w:left="-1080" w:right="-1080"/>
        <w:jc w:val="center"/>
        <w:rPr>
          <w:rFonts w:ascii="Times New Roman" w:hAnsi="Times New Roman" w:cs="Times New Roman"/>
        </w:rPr>
      </w:pPr>
      <w:r w:rsidRPr="00CA644F">
        <w:rPr>
          <w:rFonts w:ascii="Times New Roman" w:hAnsi="Times New Roman" w:cs="Times New Roman"/>
        </w:rPr>
        <w:drawing>
          <wp:inline distT="0" distB="0" distL="0" distR="0" wp14:anchorId="5911FB11" wp14:editId="14065EDD">
            <wp:extent cx="5731510" cy="2684780"/>
            <wp:effectExtent l="0" t="0" r="2540" b="1270"/>
            <wp:docPr id="1041538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38797" name=""/>
                    <pic:cNvPicPr/>
                  </pic:nvPicPr>
                  <pic:blipFill>
                    <a:blip r:embed="rId14"/>
                    <a:stretch>
                      <a:fillRect/>
                    </a:stretch>
                  </pic:blipFill>
                  <pic:spPr>
                    <a:xfrm>
                      <a:off x="0" y="0"/>
                      <a:ext cx="5731510" cy="2684780"/>
                    </a:xfrm>
                    <a:prstGeom prst="rect">
                      <a:avLst/>
                    </a:prstGeom>
                  </pic:spPr>
                </pic:pic>
              </a:graphicData>
            </a:graphic>
          </wp:inline>
        </w:drawing>
      </w:r>
    </w:p>
    <w:p w14:paraId="51ECA4F9" w14:textId="77777777" w:rsidR="002D5730" w:rsidRPr="002D5730" w:rsidRDefault="002D5730" w:rsidP="00CA644F">
      <w:pPr>
        <w:spacing w:line="360" w:lineRule="auto"/>
        <w:ind w:left="-1080" w:right="-1080"/>
        <w:jc w:val="center"/>
        <w:rPr>
          <w:rFonts w:ascii="Times New Roman" w:hAnsi="Times New Roman" w:cs="Times New Roman"/>
        </w:rPr>
      </w:pPr>
      <w:r w:rsidRPr="002D5730">
        <w:rPr>
          <w:rFonts w:ascii="Times New Roman" w:hAnsi="Times New Roman" w:cs="Times New Roman"/>
        </w:rPr>
        <w:t>Fig. 14: ESS Model with Bi-directional DC-DC Converter and BMS Logic</w:t>
      </w:r>
    </w:p>
    <w:p w14:paraId="519984DA" w14:textId="77777777" w:rsidR="002D5730" w:rsidRPr="00E652BA" w:rsidRDefault="002D5730" w:rsidP="002D5730">
      <w:pPr>
        <w:spacing w:line="360" w:lineRule="auto"/>
        <w:ind w:left="-1080" w:right="-1080"/>
        <w:jc w:val="both"/>
        <w:rPr>
          <w:rFonts w:ascii="Times New Roman" w:hAnsi="Times New Roman" w:cs="Times New Roman"/>
          <w:b/>
          <w:bCs/>
        </w:rPr>
      </w:pPr>
      <w:r w:rsidRPr="00E652BA">
        <w:rPr>
          <w:rFonts w:ascii="Times New Roman" w:hAnsi="Times New Roman" w:cs="Times New Roman"/>
          <w:b/>
          <w:bCs/>
        </w:rPr>
        <w:t>4.5 PCC Integration and Automation Logic</w:t>
      </w:r>
    </w:p>
    <w:p w14:paraId="098A76A4" w14:textId="77777777" w:rsidR="002D5730" w:rsidRPr="002D5730" w:rsidRDefault="002D5730" w:rsidP="002D5730">
      <w:pPr>
        <w:spacing w:line="360" w:lineRule="auto"/>
        <w:ind w:left="-1080" w:right="-1080"/>
        <w:jc w:val="both"/>
        <w:rPr>
          <w:rFonts w:ascii="Times New Roman" w:hAnsi="Times New Roman" w:cs="Times New Roman"/>
        </w:rPr>
      </w:pPr>
      <w:r w:rsidRPr="002D5730">
        <w:rPr>
          <w:rFonts w:ascii="Times New Roman" w:hAnsi="Times New Roman" w:cs="Times New Roman"/>
        </w:rPr>
        <w:t xml:space="preserve">The core automation governing the PCC is simulated using a </w:t>
      </w:r>
      <w:proofErr w:type="spellStart"/>
      <w:r w:rsidRPr="002D5730">
        <w:rPr>
          <w:rFonts w:ascii="Times New Roman" w:hAnsi="Times New Roman" w:cs="Times New Roman"/>
        </w:rPr>
        <w:t>Stateflow</w:t>
      </w:r>
      <w:proofErr w:type="spellEnd"/>
      <w:r w:rsidRPr="002D5730">
        <w:rPr>
          <w:rFonts w:ascii="Times New Roman" w:hAnsi="Times New Roman" w:cs="Times New Roman"/>
        </w:rPr>
        <w:t xml:space="preserve"> chart, as shown in Fig. 15. This chart encodes the finite-state machine described in Section 3.1(c), with transitions triggered by real-time conditions: solar availability, ESS SOC level, and load demand. The simulation outputs clearly illustrate the discrete mode changes (e.g., from "</w:t>
      </w:r>
      <w:proofErr w:type="spellStart"/>
      <w:r w:rsidRPr="002D5730">
        <w:rPr>
          <w:rFonts w:ascii="Times New Roman" w:hAnsi="Times New Roman" w:cs="Times New Roman"/>
        </w:rPr>
        <w:t>Solar_Charge</w:t>
      </w:r>
      <w:proofErr w:type="spellEnd"/>
      <w:r w:rsidRPr="002D5730">
        <w:rPr>
          <w:rFonts w:ascii="Times New Roman" w:hAnsi="Times New Roman" w:cs="Times New Roman"/>
        </w:rPr>
        <w:t>" to "</w:t>
      </w:r>
      <w:proofErr w:type="spellStart"/>
      <w:r w:rsidRPr="002D5730">
        <w:rPr>
          <w:rFonts w:ascii="Times New Roman" w:hAnsi="Times New Roman" w:cs="Times New Roman"/>
        </w:rPr>
        <w:t>Grid_Backup</w:t>
      </w:r>
      <w:proofErr w:type="spellEnd"/>
      <w:r w:rsidRPr="002D5730">
        <w:rPr>
          <w:rFonts w:ascii="Times New Roman" w:hAnsi="Times New Roman" w:cs="Times New Roman"/>
        </w:rPr>
        <w:t>") and the corresponding switching signals sent to the ideal switches in the main model. The timing and logic of these transitions confirm that the system reliably follows the hierarchical priority of solar &gt; ESS &gt; grid, ensuring optimal renewable energy utilization and operational cost savings.</w:t>
      </w:r>
    </w:p>
    <w:p w14:paraId="40D2FD70" w14:textId="77777777" w:rsidR="002D5730" w:rsidRPr="002D5730" w:rsidRDefault="002D5730" w:rsidP="002D5730">
      <w:pPr>
        <w:spacing w:line="360" w:lineRule="auto"/>
        <w:ind w:left="-1080" w:right="-1080"/>
        <w:jc w:val="both"/>
        <w:rPr>
          <w:rFonts w:ascii="Times New Roman" w:hAnsi="Times New Roman" w:cs="Times New Roman"/>
        </w:rPr>
      </w:pPr>
      <w:r w:rsidRPr="002D5730">
        <w:rPr>
          <w:rFonts w:ascii="Times New Roman" w:hAnsi="Times New Roman" w:cs="Times New Roman"/>
        </w:rPr>
        <w:t xml:space="preserve">Fig. 15: </w:t>
      </w:r>
      <w:proofErr w:type="spellStart"/>
      <w:r w:rsidRPr="002D5730">
        <w:rPr>
          <w:rFonts w:ascii="Times New Roman" w:hAnsi="Times New Roman" w:cs="Times New Roman"/>
        </w:rPr>
        <w:t>Stateflow</w:t>
      </w:r>
      <w:proofErr w:type="spellEnd"/>
      <w:r w:rsidRPr="002D5730">
        <w:rPr>
          <w:rFonts w:ascii="Times New Roman" w:hAnsi="Times New Roman" w:cs="Times New Roman"/>
        </w:rPr>
        <w:t xml:space="preserve"> Model of PCC Automation Logic</w:t>
      </w:r>
    </w:p>
    <w:p w14:paraId="4A98D23D" w14:textId="77777777" w:rsidR="002D5730" w:rsidRPr="00E652BA" w:rsidRDefault="002D5730" w:rsidP="002D5730">
      <w:pPr>
        <w:spacing w:line="360" w:lineRule="auto"/>
        <w:ind w:left="-1080" w:right="-1080"/>
        <w:jc w:val="both"/>
        <w:rPr>
          <w:rFonts w:ascii="Times New Roman" w:hAnsi="Times New Roman" w:cs="Times New Roman"/>
          <w:b/>
          <w:bCs/>
        </w:rPr>
      </w:pPr>
      <w:r w:rsidRPr="00E652BA">
        <w:rPr>
          <w:rFonts w:ascii="Times New Roman" w:hAnsi="Times New Roman" w:cs="Times New Roman"/>
          <w:b/>
          <w:bCs/>
        </w:rPr>
        <w:t>4.6 Battery Swapping Station Simulation</w:t>
      </w:r>
    </w:p>
    <w:p w14:paraId="63C64167" w14:textId="77777777" w:rsidR="002D5730" w:rsidRPr="002D5730" w:rsidRDefault="002D5730" w:rsidP="002D5730">
      <w:pPr>
        <w:spacing w:line="360" w:lineRule="auto"/>
        <w:ind w:left="-1080" w:right="-1080"/>
        <w:jc w:val="both"/>
        <w:rPr>
          <w:rFonts w:ascii="Times New Roman" w:hAnsi="Times New Roman" w:cs="Times New Roman"/>
        </w:rPr>
      </w:pPr>
      <w:r w:rsidRPr="002D5730">
        <w:rPr>
          <w:rFonts w:ascii="Times New Roman" w:hAnsi="Times New Roman" w:cs="Times New Roman"/>
        </w:rPr>
        <w:t xml:space="preserve">The Battery Swapping Station (BSS) is modeled as a controllable DC load bank, as seen </w:t>
      </w:r>
      <w:proofErr w:type="gramStart"/>
      <w:r w:rsidRPr="002D5730">
        <w:rPr>
          <w:rFonts w:ascii="Times New Roman" w:hAnsi="Times New Roman" w:cs="Times New Roman"/>
        </w:rPr>
        <w:t>in</w:t>
      </w:r>
      <w:proofErr w:type="gramEnd"/>
      <w:r w:rsidRPr="002D5730">
        <w:rPr>
          <w:rFonts w:ascii="Times New Roman" w:hAnsi="Times New Roman" w:cs="Times New Roman"/>
        </w:rPr>
        <w:t xml:space="preserve"> Fig. 16. The simulation emulates the periodic demand profile of a station with 30 battery slots, where depleted batteries (modeled as discharged battery blocks with specific SOC) are connected for charging while fully charged ones are disconnected. The load on the PCC thus varies in a </w:t>
      </w:r>
      <w:proofErr w:type="gramStart"/>
      <w:r w:rsidRPr="002D5730">
        <w:rPr>
          <w:rFonts w:ascii="Times New Roman" w:hAnsi="Times New Roman" w:cs="Times New Roman"/>
        </w:rPr>
        <w:t>step-wise</w:t>
      </w:r>
      <w:proofErr w:type="gramEnd"/>
      <w:r w:rsidRPr="002D5730">
        <w:rPr>
          <w:rFonts w:ascii="Times New Roman" w:hAnsi="Times New Roman" w:cs="Times New Roman"/>
        </w:rPr>
        <w:t xml:space="preserve"> manner. The simulation validates that the PCC and source management algorithms can handle these sudden load changes without destabilizing the DC bus voltage, and that the ESS effectively smooths out the demand spikes, reducing peak power </w:t>
      </w:r>
      <w:proofErr w:type="gramStart"/>
      <w:r w:rsidRPr="002D5730">
        <w:rPr>
          <w:rFonts w:ascii="Times New Roman" w:hAnsi="Times New Roman" w:cs="Times New Roman"/>
        </w:rPr>
        <w:t>draw</w:t>
      </w:r>
      <w:proofErr w:type="gramEnd"/>
      <w:r w:rsidRPr="002D5730">
        <w:rPr>
          <w:rFonts w:ascii="Times New Roman" w:hAnsi="Times New Roman" w:cs="Times New Roman"/>
        </w:rPr>
        <w:t xml:space="preserve"> from the grid.</w:t>
      </w:r>
    </w:p>
    <w:p w14:paraId="47C8050D" w14:textId="165C0BAD" w:rsidR="002D5730" w:rsidRPr="002D5730" w:rsidRDefault="00CA644F" w:rsidP="00CA644F">
      <w:pPr>
        <w:spacing w:line="360" w:lineRule="auto"/>
        <w:ind w:left="-1080" w:right="-1080"/>
        <w:jc w:val="center"/>
        <w:rPr>
          <w:rFonts w:ascii="Times New Roman" w:hAnsi="Times New Roman" w:cs="Times New Roman"/>
        </w:rPr>
      </w:pPr>
      <w:r w:rsidRPr="00CA644F">
        <w:rPr>
          <w:rFonts w:ascii="Times New Roman" w:hAnsi="Times New Roman" w:cs="Times New Roman"/>
        </w:rPr>
        <w:lastRenderedPageBreak/>
        <w:drawing>
          <wp:inline distT="0" distB="0" distL="0" distR="0" wp14:anchorId="64389CC6" wp14:editId="68E3EFEA">
            <wp:extent cx="5731510" cy="2241550"/>
            <wp:effectExtent l="0" t="0" r="2540" b="6350"/>
            <wp:docPr id="185517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74956" name=""/>
                    <pic:cNvPicPr/>
                  </pic:nvPicPr>
                  <pic:blipFill>
                    <a:blip r:embed="rId15"/>
                    <a:stretch>
                      <a:fillRect/>
                    </a:stretch>
                  </pic:blipFill>
                  <pic:spPr>
                    <a:xfrm>
                      <a:off x="0" y="0"/>
                      <a:ext cx="5731510" cy="2241550"/>
                    </a:xfrm>
                    <a:prstGeom prst="rect">
                      <a:avLst/>
                    </a:prstGeom>
                  </pic:spPr>
                </pic:pic>
              </a:graphicData>
            </a:graphic>
          </wp:inline>
        </w:drawing>
      </w:r>
    </w:p>
    <w:p w14:paraId="5F76AE7E" w14:textId="77777777" w:rsidR="002D5730" w:rsidRPr="002D5730" w:rsidRDefault="002D5730" w:rsidP="00CA644F">
      <w:pPr>
        <w:spacing w:line="360" w:lineRule="auto"/>
        <w:ind w:left="-1080" w:right="-1080"/>
        <w:jc w:val="center"/>
        <w:rPr>
          <w:rFonts w:ascii="Times New Roman" w:hAnsi="Times New Roman" w:cs="Times New Roman"/>
        </w:rPr>
      </w:pPr>
      <w:r w:rsidRPr="002D5730">
        <w:rPr>
          <w:rFonts w:ascii="Times New Roman" w:hAnsi="Times New Roman" w:cs="Times New Roman"/>
        </w:rPr>
        <w:t>Fig. 16: Battery Swapping Station Load Model</w:t>
      </w:r>
    </w:p>
    <w:p w14:paraId="14E30E3B" w14:textId="77777777" w:rsidR="002D5730" w:rsidRPr="00E652BA" w:rsidRDefault="002D5730" w:rsidP="002D5730">
      <w:pPr>
        <w:spacing w:line="360" w:lineRule="auto"/>
        <w:ind w:left="-1080" w:right="-1080"/>
        <w:jc w:val="both"/>
        <w:rPr>
          <w:rFonts w:ascii="Times New Roman" w:hAnsi="Times New Roman" w:cs="Times New Roman"/>
          <w:b/>
          <w:bCs/>
        </w:rPr>
      </w:pPr>
      <w:r w:rsidRPr="00E652BA">
        <w:rPr>
          <w:rFonts w:ascii="Times New Roman" w:hAnsi="Times New Roman" w:cs="Times New Roman"/>
          <w:b/>
          <w:bCs/>
        </w:rPr>
        <w:t>4.7 DC Fast Charging Station Simulation</w:t>
      </w:r>
    </w:p>
    <w:p w14:paraId="65A59D3C" w14:textId="77777777" w:rsidR="002D5730" w:rsidRDefault="002D5730" w:rsidP="002D5730">
      <w:pPr>
        <w:spacing w:line="360" w:lineRule="auto"/>
        <w:ind w:left="-1080" w:right="-1080"/>
        <w:jc w:val="both"/>
        <w:rPr>
          <w:rFonts w:ascii="Times New Roman" w:hAnsi="Times New Roman" w:cs="Times New Roman"/>
        </w:rPr>
      </w:pPr>
      <w:r w:rsidRPr="002D5730">
        <w:rPr>
          <w:rFonts w:ascii="Times New Roman" w:hAnsi="Times New Roman" w:cs="Times New Roman"/>
        </w:rPr>
        <w:t>The DC Fast Charging (DCFC) station is modeled as a constant-power load with a communication interface, shown in Fig. 17. It simulates the charging profile of a vehicle battery, starting with a constant-current (CC) phase at high power (e.g., 50 kW) and transitioning to a constant-voltage (CV) phase as the battery voltage rises. The simulation tests the system's response to this high-power, dynamic load. Results demonstrate that the integrated energy management system successfully allocates power from the available sources (solar, ESS, grid) to meet the fast charger's demand, maintaining voltage stability within a 2% tolerance band even during the initial high-current surge.</w:t>
      </w:r>
    </w:p>
    <w:p w14:paraId="0E2FA647" w14:textId="048CBEF5" w:rsidR="000979C5" w:rsidRPr="002D5730" w:rsidRDefault="000979C5" w:rsidP="000979C5">
      <w:pPr>
        <w:spacing w:line="360" w:lineRule="auto"/>
        <w:ind w:left="-1080" w:right="-1080"/>
        <w:jc w:val="center"/>
        <w:rPr>
          <w:rFonts w:ascii="Times New Roman" w:hAnsi="Times New Roman" w:cs="Times New Roman"/>
        </w:rPr>
      </w:pPr>
      <w:r>
        <w:rPr>
          <w:noProof/>
        </w:rPr>
        <w:drawing>
          <wp:inline distT="0" distB="0" distL="0" distR="0" wp14:anchorId="26867A4C" wp14:editId="3C3D5AEB">
            <wp:extent cx="4063117" cy="1887958"/>
            <wp:effectExtent l="0" t="0" r="0" b="0"/>
            <wp:docPr id="39875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57830" name=""/>
                    <pic:cNvPicPr/>
                  </pic:nvPicPr>
                  <pic:blipFill>
                    <a:blip r:embed="rId16"/>
                    <a:stretch>
                      <a:fillRect/>
                    </a:stretch>
                  </pic:blipFill>
                  <pic:spPr>
                    <a:xfrm>
                      <a:off x="0" y="0"/>
                      <a:ext cx="4083297" cy="1897335"/>
                    </a:xfrm>
                    <a:prstGeom prst="rect">
                      <a:avLst/>
                    </a:prstGeom>
                  </pic:spPr>
                </pic:pic>
              </a:graphicData>
            </a:graphic>
          </wp:inline>
        </w:drawing>
      </w:r>
    </w:p>
    <w:p w14:paraId="6C08A42C" w14:textId="77777777" w:rsidR="002D5730" w:rsidRPr="002D5730" w:rsidRDefault="002D5730" w:rsidP="000979C5">
      <w:pPr>
        <w:spacing w:line="360" w:lineRule="auto"/>
        <w:ind w:left="-1080" w:right="-1080"/>
        <w:jc w:val="center"/>
        <w:rPr>
          <w:rFonts w:ascii="Times New Roman" w:hAnsi="Times New Roman" w:cs="Times New Roman"/>
        </w:rPr>
      </w:pPr>
      <w:r w:rsidRPr="002D5730">
        <w:rPr>
          <w:rFonts w:ascii="Times New Roman" w:hAnsi="Times New Roman" w:cs="Times New Roman"/>
        </w:rPr>
        <w:t>Fig. 17: DC Fast Charging Station Model with CC-CV Profile</w:t>
      </w:r>
    </w:p>
    <w:p w14:paraId="652132EA" w14:textId="77777777" w:rsidR="002D5730" w:rsidRPr="00E652BA" w:rsidRDefault="002D5730" w:rsidP="002D5730">
      <w:pPr>
        <w:spacing w:line="360" w:lineRule="auto"/>
        <w:ind w:left="-1080" w:right="-1080"/>
        <w:jc w:val="both"/>
        <w:rPr>
          <w:rFonts w:ascii="Times New Roman" w:hAnsi="Times New Roman" w:cs="Times New Roman"/>
          <w:b/>
          <w:bCs/>
        </w:rPr>
      </w:pPr>
      <w:r w:rsidRPr="00E652BA">
        <w:rPr>
          <w:rFonts w:ascii="Times New Roman" w:hAnsi="Times New Roman" w:cs="Times New Roman"/>
          <w:b/>
          <w:bCs/>
        </w:rPr>
        <w:t>4.8 Simulation Results and Performance Analysis</w:t>
      </w:r>
    </w:p>
    <w:p w14:paraId="287D3415" w14:textId="45AB1A2B" w:rsidR="00CD79F7" w:rsidRDefault="002D5730" w:rsidP="002D5730">
      <w:pPr>
        <w:spacing w:line="360" w:lineRule="auto"/>
        <w:ind w:left="-1080" w:right="-1080"/>
        <w:jc w:val="both"/>
        <w:rPr>
          <w:rFonts w:ascii="Times New Roman" w:hAnsi="Times New Roman" w:cs="Times New Roman"/>
        </w:rPr>
      </w:pPr>
      <w:r w:rsidRPr="002D5730">
        <w:rPr>
          <w:rFonts w:ascii="Times New Roman" w:hAnsi="Times New Roman" w:cs="Times New Roman"/>
        </w:rPr>
        <w:t>The collective simulation results provide a quantitative validation of the proposed architecture's key performance indicators (KPIs). Over a simulated 24-hour period with variable solar irradiance and a typical EV charging demand profile, the system achieved an 88.5% utilization of renewable energy (solar + ESS discharge), minimizing grid dependency. The PCC automation logic ensured that the ESS SOC was maintained between the predefined thresholds of 20% and 80%, preserving battery health. The DC bus voltage regulation was maintained within ±5% of the nominal 430V under all tested load and source transition scenarios. These simulation outcomes provided a strong theoretical foundation and parameter set that directly informed the subsequent hardware design and implementation phases.</w:t>
      </w:r>
    </w:p>
    <w:p w14:paraId="3AF9B2A2" w14:textId="4156BA98" w:rsidR="00AC458A" w:rsidRPr="00B111EF" w:rsidRDefault="00AC458A" w:rsidP="00AC458A">
      <w:pPr>
        <w:spacing w:line="360" w:lineRule="auto"/>
        <w:ind w:left="-1080" w:right="-1080"/>
        <w:jc w:val="both"/>
        <w:rPr>
          <w:rFonts w:ascii="Times New Roman" w:hAnsi="Times New Roman" w:cs="Times New Roman"/>
          <w:b/>
          <w:bCs/>
        </w:rPr>
      </w:pPr>
      <w:r w:rsidRPr="00B111EF">
        <w:rPr>
          <w:rFonts w:ascii="Times New Roman" w:hAnsi="Times New Roman" w:cs="Times New Roman"/>
          <w:b/>
          <w:bCs/>
        </w:rPr>
        <w:t>5. Experimental Implementation Hardware Prototype and Cloud Connectivity</w:t>
      </w:r>
    </w:p>
    <w:p w14:paraId="1846B856" w14:textId="77777777" w:rsidR="00AC458A" w:rsidRPr="00B111EF" w:rsidRDefault="00AC458A" w:rsidP="00AC458A">
      <w:pPr>
        <w:spacing w:line="360" w:lineRule="auto"/>
        <w:ind w:left="-1080" w:right="-1080"/>
        <w:jc w:val="both"/>
        <w:rPr>
          <w:rFonts w:ascii="Times New Roman" w:hAnsi="Times New Roman" w:cs="Times New Roman"/>
          <w:b/>
          <w:bCs/>
        </w:rPr>
      </w:pPr>
      <w:r w:rsidRPr="00B111EF">
        <w:rPr>
          <w:rFonts w:ascii="Times New Roman" w:hAnsi="Times New Roman" w:cs="Times New Roman"/>
          <w:b/>
          <w:bCs/>
        </w:rPr>
        <w:t>5.1 Hardware Prototype Implementation and Testing</w:t>
      </w:r>
    </w:p>
    <w:p w14:paraId="6C1A79A8" w14:textId="77777777" w:rsidR="00AC458A" w:rsidRDefault="00AC458A" w:rsidP="00AC458A">
      <w:pPr>
        <w:spacing w:line="360" w:lineRule="auto"/>
        <w:ind w:left="-1080" w:right="-1080"/>
        <w:jc w:val="both"/>
        <w:rPr>
          <w:rFonts w:ascii="Times New Roman" w:hAnsi="Times New Roman" w:cs="Times New Roman"/>
        </w:rPr>
      </w:pPr>
      <w:r w:rsidRPr="00AC458A">
        <w:rPr>
          <w:rFonts w:ascii="Times New Roman" w:hAnsi="Times New Roman" w:cs="Times New Roman"/>
        </w:rPr>
        <w:lastRenderedPageBreak/>
        <w:t>The theoretical framework and simulation results were physically realized through a comprehensive hardware prototype designed to validate the proposed IoT architecture under real-world conditions. Fig. 18 illustrates the complete experimental setup, showcasing the integration of all system components on a laboratory test bench. The prototype was constructed with meticulous attention to replicating the functional relationships defined in the simulation model while operating at a scaled-down power level suitable for controlled experimentation.</w:t>
      </w:r>
    </w:p>
    <w:p w14:paraId="28B588CA" w14:textId="4D366B09" w:rsidR="00AB14E5" w:rsidRPr="00AC458A" w:rsidRDefault="00AB14E5" w:rsidP="00AB14E5">
      <w:pPr>
        <w:spacing w:line="360" w:lineRule="auto"/>
        <w:ind w:left="-1080" w:right="-1080"/>
        <w:jc w:val="center"/>
        <w:rPr>
          <w:rFonts w:ascii="Times New Roman" w:hAnsi="Times New Roman" w:cs="Times New Roman"/>
        </w:rPr>
      </w:pPr>
      <w:r>
        <w:rPr>
          <w:rFonts w:ascii="Times New Roman" w:hAnsi="Times New Roman" w:cs="Times New Roman"/>
          <w:noProof/>
        </w:rPr>
        <w:drawing>
          <wp:inline distT="0" distB="0" distL="0" distR="0" wp14:anchorId="5DFCCBC2" wp14:editId="4D1ADC28">
            <wp:extent cx="4640520" cy="2610292"/>
            <wp:effectExtent l="0" t="0" r="8255" b="0"/>
            <wp:docPr id="2856238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57430" cy="2619804"/>
                    </a:xfrm>
                    <a:prstGeom prst="rect">
                      <a:avLst/>
                    </a:prstGeom>
                    <a:noFill/>
                  </pic:spPr>
                </pic:pic>
              </a:graphicData>
            </a:graphic>
          </wp:inline>
        </w:drawing>
      </w:r>
    </w:p>
    <w:p w14:paraId="51C3B761" w14:textId="77777777" w:rsidR="00AC458A" w:rsidRPr="00AC458A" w:rsidRDefault="00AC458A" w:rsidP="00AB14E5">
      <w:pPr>
        <w:spacing w:line="360" w:lineRule="auto"/>
        <w:ind w:left="-1080" w:right="-1080"/>
        <w:jc w:val="center"/>
        <w:rPr>
          <w:rFonts w:ascii="Times New Roman" w:hAnsi="Times New Roman" w:cs="Times New Roman"/>
        </w:rPr>
      </w:pPr>
      <w:r w:rsidRPr="00AC458A">
        <w:rPr>
          <w:rFonts w:ascii="Times New Roman" w:hAnsi="Times New Roman" w:cs="Times New Roman"/>
        </w:rPr>
        <w:t>Fig. 18: Complete Hardware Prototype Setup with Labeled Components</w:t>
      </w:r>
    </w:p>
    <w:p w14:paraId="3F2F8ECA" w14:textId="77777777" w:rsidR="00AC458A" w:rsidRPr="00AC458A" w:rsidRDefault="00AC458A" w:rsidP="00AC458A">
      <w:pPr>
        <w:spacing w:line="360" w:lineRule="auto"/>
        <w:ind w:left="-1080" w:right="-1080"/>
        <w:jc w:val="both"/>
        <w:rPr>
          <w:rFonts w:ascii="Times New Roman" w:hAnsi="Times New Roman" w:cs="Times New Roman"/>
        </w:rPr>
      </w:pPr>
      <w:r w:rsidRPr="00AC458A">
        <w:rPr>
          <w:rFonts w:ascii="Times New Roman" w:hAnsi="Times New Roman" w:cs="Times New Roman"/>
        </w:rPr>
        <w:t>The prototype's core intelligence resides in the coordinated operation of two ESP32 development boards. The primary ESP32 functions as the central data acquisition unit, interfacing directly with the comprehensive sensor array. This includes ACS712 Hall-effect current sensors monitoring the output of the solar simulator, the ESS bank, and the grid connection point. Precision voltage divider networks provide scaled voltage readings for each source and the main DC bus. A DHT11 sensor tracks ambient temperature at the ESS location, while GPIO pins read the status of manual switches simulating load requests from the Battery Swapping and DC Fast Charging stations. All sensor data undergoes initial filtering and calibration within the microcontroller before being packetized for transmission.</w:t>
      </w:r>
    </w:p>
    <w:p w14:paraId="0BCAEEC5" w14:textId="77777777" w:rsidR="00AC458A" w:rsidRPr="00AC458A" w:rsidRDefault="00AC458A" w:rsidP="00AC458A">
      <w:pPr>
        <w:spacing w:line="360" w:lineRule="auto"/>
        <w:ind w:left="-1080" w:right="-1080"/>
        <w:jc w:val="both"/>
        <w:rPr>
          <w:rFonts w:ascii="Times New Roman" w:hAnsi="Times New Roman" w:cs="Times New Roman"/>
        </w:rPr>
      </w:pPr>
      <w:r w:rsidRPr="00AC458A">
        <w:rPr>
          <w:rFonts w:ascii="Times New Roman" w:hAnsi="Times New Roman" w:cs="Times New Roman"/>
        </w:rPr>
        <w:t xml:space="preserve">A secondary ESP32 is dedicated to system control and communication. It receives processed data packets from the primary unit via a serial UART link and executes the local edge-computing algorithms, including the preliminary State of Charge (SOC) estimation for the ESS and the immediate PCC relay control logic. This decentralized processing approach enhances system responsiveness and reliability. The control ESP32 is responsible for actuating the solid-state relay (SSR) modules that perform the physical switching between energy sources at the PCC, based on the automation rules. Furthermore, it manages </w:t>
      </w:r>
      <w:proofErr w:type="gramStart"/>
      <w:r w:rsidRPr="00AC458A">
        <w:rPr>
          <w:rFonts w:ascii="Times New Roman" w:hAnsi="Times New Roman" w:cs="Times New Roman"/>
        </w:rPr>
        <w:t>the Wi</w:t>
      </w:r>
      <w:proofErr w:type="gramEnd"/>
      <w:r w:rsidRPr="00AC458A">
        <w:rPr>
          <w:rFonts w:ascii="Times New Roman" w:hAnsi="Times New Roman" w:cs="Times New Roman"/>
        </w:rPr>
        <w:t>-Fi connectivity, establishing a persistent link to the cloud infrastructure.</w:t>
      </w:r>
    </w:p>
    <w:p w14:paraId="6308B4A0" w14:textId="77777777" w:rsidR="00AC458A" w:rsidRPr="00B111EF" w:rsidRDefault="00AC458A" w:rsidP="00AC458A">
      <w:pPr>
        <w:spacing w:line="360" w:lineRule="auto"/>
        <w:ind w:left="-1080" w:right="-1080"/>
        <w:jc w:val="both"/>
        <w:rPr>
          <w:rFonts w:ascii="Times New Roman" w:hAnsi="Times New Roman" w:cs="Times New Roman"/>
          <w:b/>
          <w:bCs/>
        </w:rPr>
      </w:pPr>
      <w:r w:rsidRPr="00B111EF">
        <w:rPr>
          <w:rFonts w:ascii="Times New Roman" w:hAnsi="Times New Roman" w:cs="Times New Roman"/>
          <w:b/>
          <w:bCs/>
        </w:rPr>
        <w:t>5.2 Node-RED Connectivity and Dashboard Monitoring</w:t>
      </w:r>
    </w:p>
    <w:p w14:paraId="600641EE" w14:textId="77777777" w:rsidR="00AC458A" w:rsidRDefault="00AC458A" w:rsidP="00AC458A">
      <w:pPr>
        <w:spacing w:line="360" w:lineRule="auto"/>
        <w:ind w:left="-1080" w:right="-1080"/>
        <w:jc w:val="both"/>
        <w:rPr>
          <w:rFonts w:ascii="Times New Roman" w:hAnsi="Times New Roman" w:cs="Times New Roman"/>
        </w:rPr>
      </w:pPr>
      <w:r w:rsidRPr="00AC458A">
        <w:rPr>
          <w:rFonts w:ascii="Times New Roman" w:hAnsi="Times New Roman" w:cs="Times New Roman"/>
        </w:rPr>
        <w:t>For real-time visualization, remote monitoring, and data logging, the system leverages a cloud-integrated dashboard developed using Node-RED. This flow-based programming tool was chosen for its flexibility, ease of integration with MQTT brokers, and powerful dashboarding capabilities. The data flow architecture is depicted in Fig. 19.</w:t>
      </w:r>
    </w:p>
    <w:p w14:paraId="12611AB7" w14:textId="77777777" w:rsidR="003C5A38" w:rsidRDefault="003C5A38" w:rsidP="00AC458A">
      <w:pPr>
        <w:spacing w:line="360" w:lineRule="auto"/>
        <w:ind w:left="-1080" w:right="-1080"/>
        <w:jc w:val="both"/>
        <w:rPr>
          <w:rFonts w:ascii="Times New Roman" w:hAnsi="Times New Roman" w:cs="Times New Roman"/>
        </w:rPr>
      </w:pPr>
    </w:p>
    <w:p w14:paraId="73A5A077" w14:textId="19B45600" w:rsidR="003C5A38" w:rsidRPr="00AC458A" w:rsidRDefault="003C5A38" w:rsidP="00AC458A">
      <w:pPr>
        <w:spacing w:line="360" w:lineRule="auto"/>
        <w:ind w:left="-1080" w:right="-1080"/>
        <w:jc w:val="both"/>
        <w:rPr>
          <w:rFonts w:ascii="Times New Roman" w:hAnsi="Times New Roman" w:cs="Times New Roman"/>
        </w:rPr>
      </w:pPr>
      <w:r>
        <w:rPr>
          <w:rFonts w:ascii="Times New Roman" w:hAnsi="Times New Roman" w:cs="Times New Roman"/>
        </w:rPr>
        <w:lastRenderedPageBreak/>
        <w:t>### Thinks Speak</w:t>
      </w:r>
      <w:r w:rsidR="009D2BC2">
        <w:rPr>
          <w:rFonts w:ascii="Times New Roman" w:hAnsi="Times New Roman" w:cs="Times New Roman"/>
        </w:rPr>
        <w:t xml:space="preserve"> images</w:t>
      </w:r>
    </w:p>
    <w:p w14:paraId="34585490" w14:textId="77777777" w:rsidR="00AC458A" w:rsidRPr="00AC458A" w:rsidRDefault="00AC458A" w:rsidP="00AC458A">
      <w:pPr>
        <w:spacing w:line="360" w:lineRule="auto"/>
        <w:ind w:left="-1080" w:right="-1080"/>
        <w:jc w:val="both"/>
        <w:rPr>
          <w:rFonts w:ascii="Times New Roman" w:hAnsi="Times New Roman" w:cs="Times New Roman"/>
        </w:rPr>
      </w:pPr>
      <w:r w:rsidRPr="00AC458A">
        <w:rPr>
          <w:rFonts w:ascii="Times New Roman" w:hAnsi="Times New Roman" w:cs="Times New Roman"/>
        </w:rPr>
        <w:t>Fig. 19: System Architecture for Data Flow from Hardware to Cloud Dashboard</w:t>
      </w:r>
    </w:p>
    <w:p w14:paraId="0E63528D" w14:textId="77777777" w:rsidR="00AC458A" w:rsidRPr="00AC458A" w:rsidRDefault="00AC458A" w:rsidP="00AC458A">
      <w:pPr>
        <w:spacing w:line="360" w:lineRule="auto"/>
        <w:ind w:left="-1080" w:right="-1080"/>
        <w:jc w:val="both"/>
        <w:rPr>
          <w:rFonts w:ascii="Times New Roman" w:hAnsi="Times New Roman" w:cs="Times New Roman"/>
        </w:rPr>
      </w:pPr>
      <w:r w:rsidRPr="00AC458A">
        <w:rPr>
          <w:rFonts w:ascii="Times New Roman" w:hAnsi="Times New Roman" w:cs="Times New Roman"/>
        </w:rPr>
        <w:t xml:space="preserve">The implemented data pipeline operates as follows: The control ESP32 publishes structured JSON data packets containing all sensor readings and system states to a designated MQTT topic on a cloud broker (initially tested with a local </w:t>
      </w:r>
      <w:proofErr w:type="spellStart"/>
      <w:r w:rsidRPr="00AC458A">
        <w:rPr>
          <w:rFonts w:ascii="Times New Roman" w:hAnsi="Times New Roman" w:cs="Times New Roman"/>
        </w:rPr>
        <w:t>Mosquitto</w:t>
      </w:r>
      <w:proofErr w:type="spellEnd"/>
      <w:r w:rsidRPr="00AC458A">
        <w:rPr>
          <w:rFonts w:ascii="Times New Roman" w:hAnsi="Times New Roman" w:cs="Times New Roman"/>
        </w:rPr>
        <w:t xml:space="preserve"> broker and later with AWS IoT Core). A Node-RED instance, deployed on a local server for </w:t>
      </w:r>
      <w:proofErr w:type="gramStart"/>
      <w:r w:rsidRPr="00AC458A">
        <w:rPr>
          <w:rFonts w:ascii="Times New Roman" w:hAnsi="Times New Roman" w:cs="Times New Roman"/>
        </w:rPr>
        <w:t>latency</w:t>
      </w:r>
      <w:proofErr w:type="gramEnd"/>
      <w:r w:rsidRPr="00AC458A">
        <w:rPr>
          <w:rFonts w:ascii="Times New Roman" w:hAnsi="Times New Roman" w:cs="Times New Roman"/>
        </w:rPr>
        <w:t xml:space="preserve"> reduction during testing, subscribes to this MQTT topic. Upon receiving data, a flow parses the JSON, performs unit conversions, and routes the values to various processing nodes.</w:t>
      </w:r>
    </w:p>
    <w:p w14:paraId="48F09064" w14:textId="77777777" w:rsidR="00AC458A" w:rsidRPr="00AC458A" w:rsidRDefault="00AC458A" w:rsidP="00AC458A">
      <w:pPr>
        <w:spacing w:line="360" w:lineRule="auto"/>
        <w:ind w:left="-1080" w:right="-1080"/>
        <w:jc w:val="both"/>
        <w:rPr>
          <w:rFonts w:ascii="Times New Roman" w:hAnsi="Times New Roman" w:cs="Times New Roman"/>
        </w:rPr>
      </w:pPr>
      <w:r w:rsidRPr="00AC458A">
        <w:rPr>
          <w:rFonts w:ascii="Times New Roman" w:hAnsi="Times New Roman" w:cs="Times New Roman"/>
        </w:rPr>
        <w:t>The heart of the monitoring interface is a custom-built dashboard, a screenshot of which is shown in Fig. 20. The dashboard provides multiple synchronized visualization panels:</w:t>
      </w:r>
    </w:p>
    <w:p w14:paraId="6381642C" w14:textId="77777777" w:rsidR="00AC458A" w:rsidRPr="00AC458A" w:rsidRDefault="00AC458A" w:rsidP="00AC458A">
      <w:pPr>
        <w:spacing w:line="360" w:lineRule="auto"/>
        <w:ind w:left="-1080" w:right="-1080"/>
        <w:jc w:val="both"/>
        <w:rPr>
          <w:rFonts w:ascii="Times New Roman" w:hAnsi="Times New Roman" w:cs="Times New Roman"/>
        </w:rPr>
      </w:pPr>
      <w:r w:rsidRPr="00B111EF">
        <w:rPr>
          <w:rFonts w:ascii="Times New Roman" w:hAnsi="Times New Roman" w:cs="Times New Roman"/>
          <w:b/>
          <w:bCs/>
        </w:rPr>
        <w:t>Live Power Flow Diagram:</w:t>
      </w:r>
      <w:r w:rsidRPr="00AC458A">
        <w:rPr>
          <w:rFonts w:ascii="Times New Roman" w:hAnsi="Times New Roman" w:cs="Times New Roman"/>
        </w:rPr>
        <w:t xml:space="preserve"> A schematic representation of the system updates in real-time, showing active energy paths (solar → load, ESS → grid, etc.), with numerical values for voltage, current, and power at each node.</w:t>
      </w:r>
    </w:p>
    <w:p w14:paraId="1B4AD4D7" w14:textId="77777777" w:rsidR="00AC458A" w:rsidRPr="00AC458A" w:rsidRDefault="00AC458A" w:rsidP="00AC458A">
      <w:pPr>
        <w:spacing w:line="360" w:lineRule="auto"/>
        <w:ind w:left="-1080" w:right="-1080"/>
        <w:jc w:val="both"/>
        <w:rPr>
          <w:rFonts w:ascii="Times New Roman" w:hAnsi="Times New Roman" w:cs="Times New Roman"/>
        </w:rPr>
      </w:pPr>
      <w:r w:rsidRPr="00B111EF">
        <w:rPr>
          <w:rFonts w:ascii="Times New Roman" w:hAnsi="Times New Roman" w:cs="Times New Roman"/>
          <w:b/>
          <w:bCs/>
        </w:rPr>
        <w:t>Time-Series Charts:</w:t>
      </w:r>
      <w:r w:rsidRPr="00AC458A">
        <w:rPr>
          <w:rFonts w:ascii="Times New Roman" w:hAnsi="Times New Roman" w:cs="Times New Roman"/>
        </w:rPr>
        <w:t xml:space="preserve"> Historical plots of key parameters like solar generation, ESS SOC, grid import/export power, and load demand over selectable time windows (minutes, hours).</w:t>
      </w:r>
    </w:p>
    <w:p w14:paraId="7DD47636" w14:textId="77777777" w:rsidR="00AC458A" w:rsidRPr="00AC458A" w:rsidRDefault="00AC458A" w:rsidP="00AC458A">
      <w:pPr>
        <w:spacing w:line="360" w:lineRule="auto"/>
        <w:ind w:left="-1080" w:right="-1080"/>
        <w:jc w:val="both"/>
        <w:rPr>
          <w:rFonts w:ascii="Times New Roman" w:hAnsi="Times New Roman" w:cs="Times New Roman"/>
        </w:rPr>
      </w:pPr>
      <w:r w:rsidRPr="00B111EF">
        <w:rPr>
          <w:rFonts w:ascii="Times New Roman" w:hAnsi="Times New Roman" w:cs="Times New Roman"/>
          <w:b/>
          <w:bCs/>
        </w:rPr>
        <w:t>Status Indicators</w:t>
      </w:r>
      <w:r w:rsidRPr="00AC458A">
        <w:rPr>
          <w:rFonts w:ascii="Times New Roman" w:hAnsi="Times New Roman" w:cs="Times New Roman"/>
        </w:rPr>
        <w:t>: Color-coded tiles and gauges display the instantaneous status of each source (ON/OFF/Available), the active PCC operating mode, and alarm conditions (e.g., over-temperature, low SOC).</w:t>
      </w:r>
    </w:p>
    <w:p w14:paraId="434295A4" w14:textId="77777777" w:rsidR="00AC458A" w:rsidRDefault="00AC458A" w:rsidP="00AC458A">
      <w:pPr>
        <w:spacing w:line="360" w:lineRule="auto"/>
        <w:ind w:left="-1080" w:right="-1080"/>
        <w:jc w:val="both"/>
        <w:rPr>
          <w:rFonts w:ascii="Times New Roman" w:hAnsi="Times New Roman" w:cs="Times New Roman"/>
        </w:rPr>
      </w:pPr>
      <w:r w:rsidRPr="00B111EF">
        <w:rPr>
          <w:rFonts w:ascii="Times New Roman" w:hAnsi="Times New Roman" w:cs="Times New Roman"/>
          <w:b/>
          <w:bCs/>
        </w:rPr>
        <w:t>Control Panel:</w:t>
      </w:r>
      <w:r w:rsidRPr="00AC458A">
        <w:rPr>
          <w:rFonts w:ascii="Times New Roman" w:hAnsi="Times New Roman" w:cs="Times New Roman"/>
        </w:rPr>
        <w:t xml:space="preserve"> A </w:t>
      </w:r>
      <w:proofErr w:type="gramStart"/>
      <w:r w:rsidRPr="00AC458A">
        <w:rPr>
          <w:rFonts w:ascii="Times New Roman" w:hAnsi="Times New Roman" w:cs="Times New Roman"/>
        </w:rPr>
        <w:t>secure</w:t>
      </w:r>
      <w:proofErr w:type="gramEnd"/>
      <w:r w:rsidRPr="00AC458A">
        <w:rPr>
          <w:rFonts w:ascii="Times New Roman" w:hAnsi="Times New Roman" w:cs="Times New Roman"/>
        </w:rPr>
        <w:t xml:space="preserve"> section allows authorized users to send manual override commands to the hardware, such as forcing a specific PCC mode or initiating a controlled ESS test discharge.</w:t>
      </w:r>
    </w:p>
    <w:p w14:paraId="1B872033" w14:textId="09B71DB6" w:rsidR="009A3BED" w:rsidRPr="00AC458A" w:rsidRDefault="009A3BED" w:rsidP="009A3BED">
      <w:pPr>
        <w:spacing w:line="360" w:lineRule="auto"/>
        <w:ind w:left="-1080" w:right="-1080"/>
        <w:jc w:val="center"/>
        <w:rPr>
          <w:rFonts w:ascii="Times New Roman" w:hAnsi="Times New Roman" w:cs="Times New Roman"/>
        </w:rPr>
      </w:pPr>
      <w:r w:rsidRPr="009A3BED">
        <w:rPr>
          <w:rFonts w:ascii="Times New Roman" w:hAnsi="Times New Roman" w:cs="Times New Roman"/>
        </w:rPr>
        <w:drawing>
          <wp:inline distT="0" distB="0" distL="0" distR="0" wp14:anchorId="50FB8571" wp14:editId="0795672F">
            <wp:extent cx="4785305" cy="2568138"/>
            <wp:effectExtent l="0" t="0" r="0" b="3810"/>
            <wp:docPr id="94524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43497" name=""/>
                    <pic:cNvPicPr/>
                  </pic:nvPicPr>
                  <pic:blipFill>
                    <a:blip r:embed="rId18"/>
                    <a:stretch>
                      <a:fillRect/>
                    </a:stretch>
                  </pic:blipFill>
                  <pic:spPr>
                    <a:xfrm>
                      <a:off x="0" y="0"/>
                      <a:ext cx="4793961" cy="2572783"/>
                    </a:xfrm>
                    <a:prstGeom prst="rect">
                      <a:avLst/>
                    </a:prstGeom>
                  </pic:spPr>
                </pic:pic>
              </a:graphicData>
            </a:graphic>
          </wp:inline>
        </w:drawing>
      </w:r>
    </w:p>
    <w:p w14:paraId="280BD1F8" w14:textId="77777777" w:rsidR="00AC458A" w:rsidRPr="00AC458A" w:rsidRDefault="00AC458A" w:rsidP="009A3BED">
      <w:pPr>
        <w:spacing w:line="360" w:lineRule="auto"/>
        <w:ind w:left="-1080" w:right="-1080"/>
        <w:jc w:val="center"/>
        <w:rPr>
          <w:rFonts w:ascii="Times New Roman" w:hAnsi="Times New Roman" w:cs="Times New Roman"/>
        </w:rPr>
      </w:pPr>
      <w:r w:rsidRPr="00AC458A">
        <w:rPr>
          <w:rFonts w:ascii="Times New Roman" w:hAnsi="Times New Roman" w:cs="Times New Roman"/>
        </w:rPr>
        <w:t>Fig. 20: Node-RED Real-Time Monitoring and Control Dashboard</w:t>
      </w:r>
    </w:p>
    <w:p w14:paraId="6882D129" w14:textId="77777777" w:rsidR="00AC458A" w:rsidRPr="00AC458A" w:rsidRDefault="00AC458A" w:rsidP="00AC458A">
      <w:pPr>
        <w:spacing w:line="360" w:lineRule="auto"/>
        <w:ind w:left="-1080" w:right="-1080"/>
        <w:jc w:val="both"/>
        <w:rPr>
          <w:rFonts w:ascii="Times New Roman" w:hAnsi="Times New Roman" w:cs="Times New Roman"/>
        </w:rPr>
      </w:pPr>
    </w:p>
    <w:p w14:paraId="6ABC4F6D" w14:textId="7D9F0954" w:rsidR="00AC458A" w:rsidRDefault="00AC458A" w:rsidP="00AC458A">
      <w:pPr>
        <w:spacing w:line="360" w:lineRule="auto"/>
        <w:ind w:left="-1080" w:right="-1080"/>
        <w:jc w:val="both"/>
        <w:rPr>
          <w:rFonts w:ascii="Times New Roman" w:hAnsi="Times New Roman" w:cs="Times New Roman"/>
        </w:rPr>
      </w:pPr>
      <w:r w:rsidRPr="00AC458A">
        <w:rPr>
          <w:rFonts w:ascii="Times New Roman" w:hAnsi="Times New Roman" w:cs="Times New Roman"/>
        </w:rPr>
        <w:t>Beyond visualization, the Node-RED flow incorporates logic for alert generation. User-defined rules (e.g., "IF ESS_SOC &lt; 25% THEN trigger alert") activate notification nodes. These can generate visual alarms on the dashboard, log entries to a file, or trigger external actions such as sending an email or SMS via integrated webhook services, providing a foundation for predictive maintenance.</w:t>
      </w:r>
    </w:p>
    <w:p w14:paraId="7F8ED25E" w14:textId="77777777" w:rsidR="00AC458A" w:rsidRDefault="00AC458A" w:rsidP="00AC458A">
      <w:pPr>
        <w:spacing w:line="360" w:lineRule="auto"/>
        <w:ind w:left="-1080" w:right="-1080"/>
        <w:jc w:val="both"/>
        <w:rPr>
          <w:rFonts w:ascii="Times New Roman" w:hAnsi="Times New Roman" w:cs="Times New Roman"/>
        </w:rPr>
      </w:pPr>
    </w:p>
    <w:p w14:paraId="71D5FEEB" w14:textId="77777777" w:rsidR="00AC458A" w:rsidRPr="00B111EF" w:rsidRDefault="00AC458A" w:rsidP="00AC458A">
      <w:pPr>
        <w:spacing w:line="360" w:lineRule="auto"/>
        <w:ind w:left="-1080" w:right="-1080"/>
        <w:jc w:val="both"/>
        <w:rPr>
          <w:rFonts w:ascii="Times New Roman" w:hAnsi="Times New Roman" w:cs="Times New Roman"/>
          <w:b/>
          <w:bCs/>
        </w:rPr>
      </w:pPr>
      <w:r w:rsidRPr="00B111EF">
        <w:rPr>
          <w:rFonts w:ascii="Times New Roman" w:hAnsi="Times New Roman" w:cs="Times New Roman"/>
          <w:b/>
          <w:bCs/>
        </w:rPr>
        <w:lastRenderedPageBreak/>
        <w:t>6. Hardware Prototype Development and Experimental Setup</w:t>
      </w:r>
    </w:p>
    <w:p w14:paraId="2D81EE31" w14:textId="77777777" w:rsidR="00AC458A" w:rsidRPr="00AC458A" w:rsidRDefault="00AC458A" w:rsidP="00AC458A">
      <w:pPr>
        <w:spacing w:line="360" w:lineRule="auto"/>
        <w:ind w:left="-1080" w:right="-1080"/>
        <w:jc w:val="both"/>
        <w:rPr>
          <w:rFonts w:ascii="Times New Roman" w:hAnsi="Times New Roman" w:cs="Times New Roman"/>
        </w:rPr>
      </w:pPr>
    </w:p>
    <w:p w14:paraId="6C9BAB16" w14:textId="77777777" w:rsidR="00AC458A" w:rsidRPr="00B111EF" w:rsidRDefault="00AC458A" w:rsidP="00AC458A">
      <w:pPr>
        <w:spacing w:line="360" w:lineRule="auto"/>
        <w:ind w:left="-1080" w:right="-1080"/>
        <w:jc w:val="both"/>
        <w:rPr>
          <w:rFonts w:ascii="Times New Roman" w:hAnsi="Times New Roman" w:cs="Times New Roman"/>
          <w:b/>
          <w:bCs/>
        </w:rPr>
      </w:pPr>
      <w:r w:rsidRPr="00B111EF">
        <w:rPr>
          <w:rFonts w:ascii="Times New Roman" w:hAnsi="Times New Roman" w:cs="Times New Roman"/>
          <w:b/>
          <w:bCs/>
        </w:rPr>
        <w:t>6.2 Energy Source Subsystems</w:t>
      </w:r>
    </w:p>
    <w:p w14:paraId="2AFF4A4D" w14:textId="77777777" w:rsidR="00AC458A" w:rsidRPr="00B111EF" w:rsidRDefault="00AC458A" w:rsidP="00AC458A">
      <w:pPr>
        <w:spacing w:line="360" w:lineRule="auto"/>
        <w:ind w:left="-1080" w:right="-1080"/>
        <w:jc w:val="both"/>
        <w:rPr>
          <w:rFonts w:ascii="Times New Roman" w:hAnsi="Times New Roman" w:cs="Times New Roman"/>
          <w:b/>
          <w:bCs/>
        </w:rPr>
      </w:pPr>
      <w:r w:rsidRPr="00B111EF">
        <w:rPr>
          <w:rFonts w:ascii="Times New Roman" w:hAnsi="Times New Roman" w:cs="Times New Roman"/>
          <w:b/>
          <w:bCs/>
        </w:rPr>
        <w:t>6.2.1 Solar Photovoltaic (PV) Emulator</w:t>
      </w:r>
    </w:p>
    <w:p w14:paraId="1ED2479D" w14:textId="77777777" w:rsidR="00AC458A" w:rsidRPr="00AC458A" w:rsidRDefault="00AC458A" w:rsidP="00AC458A">
      <w:pPr>
        <w:spacing w:line="360" w:lineRule="auto"/>
        <w:ind w:left="-1080" w:right="-1080"/>
        <w:jc w:val="both"/>
        <w:rPr>
          <w:rFonts w:ascii="Times New Roman" w:hAnsi="Times New Roman" w:cs="Times New Roman"/>
        </w:rPr>
      </w:pPr>
      <w:r w:rsidRPr="00AC458A">
        <w:rPr>
          <w:rFonts w:ascii="Times New Roman" w:hAnsi="Times New Roman" w:cs="Times New Roman"/>
        </w:rPr>
        <w:t xml:space="preserve">A programmable DC power supply (GW </w:t>
      </w:r>
      <w:proofErr w:type="spellStart"/>
      <w:r w:rsidRPr="00AC458A">
        <w:rPr>
          <w:rFonts w:ascii="Times New Roman" w:hAnsi="Times New Roman" w:cs="Times New Roman"/>
        </w:rPr>
        <w:t>Instek</w:t>
      </w:r>
      <w:proofErr w:type="spellEnd"/>
      <w:r w:rsidRPr="00AC458A">
        <w:rPr>
          <w:rFonts w:ascii="Times New Roman" w:hAnsi="Times New Roman" w:cs="Times New Roman"/>
        </w:rPr>
        <w:t xml:space="preserve"> PSP-603) was configured as a solar PV emulator to replicate the characteristic I-V curve of a photovoltaic array. The emulator was set to simulate a 50W panel, with output voltage and current limits dynamically adjustable to mimic varying irradiance conditions. The emulator’s output feeds into a DC-DC boost converter stage, central to the Maximum Power Point Tracking (MPPT) implementation.</w:t>
      </w:r>
    </w:p>
    <w:p w14:paraId="4341DA90" w14:textId="77777777" w:rsidR="00AC458A" w:rsidRPr="00B111EF" w:rsidRDefault="00AC458A" w:rsidP="00AC458A">
      <w:pPr>
        <w:spacing w:line="360" w:lineRule="auto"/>
        <w:ind w:left="-1080" w:right="-1080"/>
        <w:jc w:val="both"/>
        <w:rPr>
          <w:rFonts w:ascii="Times New Roman" w:hAnsi="Times New Roman" w:cs="Times New Roman"/>
          <w:b/>
          <w:bCs/>
        </w:rPr>
      </w:pPr>
      <w:r w:rsidRPr="00B111EF">
        <w:rPr>
          <w:rFonts w:ascii="Times New Roman" w:hAnsi="Times New Roman" w:cs="Times New Roman"/>
          <w:b/>
          <w:bCs/>
        </w:rPr>
        <w:t>6.2.2 Energy Storage System (ESS)</w:t>
      </w:r>
    </w:p>
    <w:p w14:paraId="506A9D87" w14:textId="77777777" w:rsidR="00AC458A" w:rsidRPr="00AC458A" w:rsidRDefault="00AC458A" w:rsidP="00AC458A">
      <w:pPr>
        <w:spacing w:line="360" w:lineRule="auto"/>
        <w:ind w:left="-1080" w:right="-1080"/>
        <w:jc w:val="both"/>
        <w:rPr>
          <w:rFonts w:ascii="Times New Roman" w:hAnsi="Times New Roman" w:cs="Times New Roman"/>
        </w:rPr>
      </w:pPr>
      <w:r w:rsidRPr="00AC458A">
        <w:rPr>
          <w:rFonts w:ascii="Times New Roman" w:hAnsi="Times New Roman" w:cs="Times New Roman"/>
        </w:rPr>
        <w:t>The ESS was constructed using four series-connected 12V/7Ah sealed lead-acid batteries, forming a nominal 48V bank. This configuration provides a practical representation of a larger-scale storage system’s voltage dynamics and charge/discharge characteristics. A dedicated bi-directional DC-DC converter (built around a H-bridge topology with IR2110 gate drivers and an Arduino Nano for PWM generation) interfaces the battery bank with the common DC bus. This converter manages both the charging profile (constant current/constant voltage) and the controlled discharge to the loads, as dictated by the central BMS logic.</w:t>
      </w:r>
    </w:p>
    <w:p w14:paraId="5E419C52" w14:textId="77777777" w:rsidR="00AC458A" w:rsidRPr="00B111EF" w:rsidRDefault="00AC458A" w:rsidP="00AC458A">
      <w:pPr>
        <w:spacing w:line="360" w:lineRule="auto"/>
        <w:ind w:left="-1080" w:right="-1080"/>
        <w:jc w:val="both"/>
        <w:rPr>
          <w:rFonts w:ascii="Times New Roman" w:hAnsi="Times New Roman" w:cs="Times New Roman"/>
          <w:b/>
          <w:bCs/>
        </w:rPr>
      </w:pPr>
      <w:r w:rsidRPr="00B111EF">
        <w:rPr>
          <w:rFonts w:ascii="Times New Roman" w:hAnsi="Times New Roman" w:cs="Times New Roman"/>
          <w:b/>
          <w:bCs/>
        </w:rPr>
        <w:t>6.2.3 Grid Interface Unit</w:t>
      </w:r>
    </w:p>
    <w:p w14:paraId="1616DD45" w14:textId="77777777" w:rsidR="00AC458A" w:rsidRPr="00AC458A" w:rsidRDefault="00AC458A" w:rsidP="00AC458A">
      <w:pPr>
        <w:spacing w:line="360" w:lineRule="auto"/>
        <w:ind w:left="-1080" w:right="-1080"/>
        <w:jc w:val="both"/>
        <w:rPr>
          <w:rFonts w:ascii="Times New Roman" w:hAnsi="Times New Roman" w:cs="Times New Roman"/>
        </w:rPr>
      </w:pPr>
      <w:r w:rsidRPr="00AC458A">
        <w:rPr>
          <w:rFonts w:ascii="Times New Roman" w:hAnsi="Times New Roman" w:cs="Times New Roman"/>
        </w:rPr>
        <w:t>The grid connection was emulated using a standard 230V, 50Hz AC mains supply. A commercially available, digitally controlled bi-directional AC-DC converter was integrated to function as the grid-tied inverter/rectifier. This unit maintains the common DC bus voltage at 48V, draws sinusoidal current at unity power factor when in rectifier mode (grid import), and inverts DC power to grid-synchronized AC when in inverter mode (grid export during excess solar generation). Optical isolation and proper grounding were implemented to ensure safety and signal integrity.</w:t>
      </w:r>
    </w:p>
    <w:p w14:paraId="7935B762" w14:textId="77777777" w:rsidR="00AC458A" w:rsidRPr="00B111EF" w:rsidRDefault="00AC458A" w:rsidP="00AC458A">
      <w:pPr>
        <w:spacing w:line="360" w:lineRule="auto"/>
        <w:ind w:left="-1080" w:right="-1080"/>
        <w:jc w:val="both"/>
        <w:rPr>
          <w:rFonts w:ascii="Times New Roman" w:hAnsi="Times New Roman" w:cs="Times New Roman"/>
          <w:b/>
          <w:bCs/>
        </w:rPr>
      </w:pPr>
      <w:r w:rsidRPr="00B111EF">
        <w:rPr>
          <w:rFonts w:ascii="Times New Roman" w:hAnsi="Times New Roman" w:cs="Times New Roman"/>
          <w:b/>
          <w:bCs/>
        </w:rPr>
        <w:t>6.3 Sensing, Control, and Actuation Layer</w:t>
      </w:r>
    </w:p>
    <w:p w14:paraId="1CC916A7" w14:textId="77777777" w:rsidR="00AC458A" w:rsidRPr="00B111EF" w:rsidRDefault="00AC458A" w:rsidP="00AC458A">
      <w:pPr>
        <w:spacing w:line="360" w:lineRule="auto"/>
        <w:ind w:left="-1080" w:right="-1080"/>
        <w:jc w:val="both"/>
        <w:rPr>
          <w:rFonts w:ascii="Times New Roman" w:hAnsi="Times New Roman" w:cs="Times New Roman"/>
          <w:b/>
          <w:bCs/>
        </w:rPr>
      </w:pPr>
      <w:r w:rsidRPr="00B111EF">
        <w:rPr>
          <w:rFonts w:ascii="Times New Roman" w:hAnsi="Times New Roman" w:cs="Times New Roman"/>
          <w:b/>
          <w:bCs/>
        </w:rPr>
        <w:t>6.3.1 Data Acquisition Network</w:t>
      </w:r>
    </w:p>
    <w:p w14:paraId="6976B572" w14:textId="77777777" w:rsidR="00AC458A" w:rsidRPr="00AC458A" w:rsidRDefault="00AC458A" w:rsidP="00AC458A">
      <w:pPr>
        <w:spacing w:line="360" w:lineRule="auto"/>
        <w:ind w:left="-1080" w:right="-1080"/>
        <w:jc w:val="both"/>
        <w:rPr>
          <w:rFonts w:ascii="Times New Roman" w:hAnsi="Times New Roman" w:cs="Times New Roman"/>
        </w:rPr>
      </w:pPr>
      <w:r w:rsidRPr="00AC458A">
        <w:rPr>
          <w:rFonts w:ascii="Times New Roman" w:hAnsi="Times New Roman" w:cs="Times New Roman"/>
        </w:rPr>
        <w:t>A comprehensive sensor network was deployed for real-time system observability. Key electrical parameters were measured using ACS712 Hall-effect-based current sensor modules (30A range) installed on the output of each energy source and the main load bus. High-precision resistor-divider networks, calibrated against a laboratory-grade multimeter, provide voltage measurements. Ambient and battery temperature are monitored via DHT11 digital sensors. Fig. 23 provides a detailed view of the sensor and power electronics panel.</w:t>
      </w:r>
    </w:p>
    <w:p w14:paraId="64B28EDC" w14:textId="77777777" w:rsidR="00AC458A" w:rsidRPr="00AC458A" w:rsidRDefault="00AC458A" w:rsidP="00AC458A">
      <w:pPr>
        <w:spacing w:line="360" w:lineRule="auto"/>
        <w:ind w:left="-1080" w:right="-1080"/>
        <w:jc w:val="both"/>
        <w:rPr>
          <w:rFonts w:ascii="Times New Roman" w:hAnsi="Times New Roman" w:cs="Times New Roman"/>
        </w:rPr>
      </w:pPr>
      <w:r w:rsidRPr="00AC458A">
        <w:rPr>
          <w:rFonts w:ascii="Times New Roman" w:hAnsi="Times New Roman" w:cs="Times New Roman"/>
        </w:rPr>
        <w:t>Fig. 23: Sensor Network and Power Electronics Interface Board</w:t>
      </w:r>
    </w:p>
    <w:p w14:paraId="14CC6236" w14:textId="77777777" w:rsidR="00AC458A" w:rsidRPr="00F7042C" w:rsidRDefault="00AC458A" w:rsidP="00AC458A">
      <w:pPr>
        <w:spacing w:line="360" w:lineRule="auto"/>
        <w:ind w:left="-1080" w:right="-1080"/>
        <w:jc w:val="both"/>
        <w:rPr>
          <w:rFonts w:ascii="Times New Roman" w:hAnsi="Times New Roman" w:cs="Times New Roman"/>
          <w:b/>
          <w:bCs/>
        </w:rPr>
      </w:pPr>
      <w:r w:rsidRPr="00F7042C">
        <w:rPr>
          <w:rFonts w:ascii="Times New Roman" w:hAnsi="Times New Roman" w:cs="Times New Roman"/>
          <w:b/>
          <w:bCs/>
        </w:rPr>
        <w:t>6.3.3 Power Switching and PCC Hardware</w:t>
      </w:r>
    </w:p>
    <w:p w14:paraId="7FE07AF8" w14:textId="77777777" w:rsidR="00AC458A" w:rsidRPr="00AC458A" w:rsidRDefault="00AC458A" w:rsidP="00AC458A">
      <w:pPr>
        <w:spacing w:line="360" w:lineRule="auto"/>
        <w:ind w:left="-1080" w:right="-1080"/>
        <w:jc w:val="both"/>
        <w:rPr>
          <w:rFonts w:ascii="Times New Roman" w:hAnsi="Times New Roman" w:cs="Times New Roman"/>
        </w:rPr>
      </w:pPr>
      <w:r w:rsidRPr="00AC458A">
        <w:rPr>
          <w:rFonts w:ascii="Times New Roman" w:hAnsi="Times New Roman" w:cs="Times New Roman"/>
        </w:rPr>
        <w:t>The Point of Common Coupling is physically realized using a bank of optically isolated solid-state relays (</w:t>
      </w:r>
      <w:proofErr w:type="spellStart"/>
      <w:r w:rsidRPr="00AC458A">
        <w:rPr>
          <w:rFonts w:ascii="Times New Roman" w:hAnsi="Times New Roman" w:cs="Times New Roman"/>
        </w:rPr>
        <w:t>Fotek</w:t>
      </w:r>
      <w:proofErr w:type="spellEnd"/>
      <w:r w:rsidRPr="00AC458A">
        <w:rPr>
          <w:rFonts w:ascii="Times New Roman" w:hAnsi="Times New Roman" w:cs="Times New Roman"/>
        </w:rPr>
        <w:t xml:space="preserve"> SSR-40DA). These SSRs, controlled by GPIO pins from the Slave ESP32, connect or isolate the solar emulator output, the ESS bi-directional converter output, and the grid-tied converter output to/from the common 48V DC bus. This </w:t>
      </w:r>
      <w:r w:rsidRPr="00AC458A">
        <w:rPr>
          <w:rFonts w:ascii="Times New Roman" w:hAnsi="Times New Roman" w:cs="Times New Roman"/>
        </w:rPr>
        <w:lastRenderedPageBreak/>
        <w:t>configuration allows for the rapid, wear-free switching required to implement the five operational modes defined in the methodology.</w:t>
      </w:r>
    </w:p>
    <w:p w14:paraId="14DF6CF2" w14:textId="77777777" w:rsidR="00AC458A" w:rsidRPr="00F7042C" w:rsidRDefault="00AC458A" w:rsidP="00AC458A">
      <w:pPr>
        <w:spacing w:line="360" w:lineRule="auto"/>
        <w:ind w:left="-1080" w:right="-1080"/>
        <w:jc w:val="both"/>
        <w:rPr>
          <w:rFonts w:ascii="Times New Roman" w:hAnsi="Times New Roman" w:cs="Times New Roman"/>
          <w:b/>
          <w:bCs/>
        </w:rPr>
      </w:pPr>
      <w:r w:rsidRPr="00F7042C">
        <w:rPr>
          <w:rFonts w:ascii="Times New Roman" w:hAnsi="Times New Roman" w:cs="Times New Roman"/>
          <w:b/>
          <w:bCs/>
        </w:rPr>
        <w:t>6.4 Load Emulation Subsystems</w:t>
      </w:r>
    </w:p>
    <w:p w14:paraId="5A633004" w14:textId="77777777" w:rsidR="00AC458A" w:rsidRPr="00F7042C" w:rsidRDefault="00AC458A" w:rsidP="00AC458A">
      <w:pPr>
        <w:spacing w:line="360" w:lineRule="auto"/>
        <w:ind w:left="-1080" w:right="-1080"/>
        <w:jc w:val="both"/>
        <w:rPr>
          <w:rFonts w:ascii="Times New Roman" w:hAnsi="Times New Roman" w:cs="Times New Roman"/>
          <w:b/>
          <w:bCs/>
        </w:rPr>
      </w:pPr>
      <w:r w:rsidRPr="00F7042C">
        <w:rPr>
          <w:rFonts w:ascii="Times New Roman" w:hAnsi="Times New Roman" w:cs="Times New Roman"/>
          <w:b/>
          <w:bCs/>
        </w:rPr>
        <w:t>6.4.1 Battery Swapping Station (BSS) Emulator</w:t>
      </w:r>
    </w:p>
    <w:p w14:paraId="2A35FAD2" w14:textId="77777777" w:rsidR="00AC458A" w:rsidRPr="00AC458A" w:rsidRDefault="00AC458A" w:rsidP="00AC458A">
      <w:pPr>
        <w:spacing w:line="360" w:lineRule="auto"/>
        <w:ind w:left="-1080" w:right="-1080"/>
        <w:jc w:val="both"/>
        <w:rPr>
          <w:rFonts w:ascii="Times New Roman" w:hAnsi="Times New Roman" w:cs="Times New Roman"/>
        </w:rPr>
      </w:pPr>
      <w:r w:rsidRPr="00AC458A">
        <w:rPr>
          <w:rFonts w:ascii="Times New Roman" w:hAnsi="Times New Roman" w:cs="Times New Roman"/>
        </w:rPr>
        <w:t>A custom-designed load bank emulates a Battery Swapping Station. It consists of four independent, programmable DC electronic loads (ITECH IT8511A+), each configured to represent a single battery slot undergoing charge. The load profiles can be sequenced to simulate the stochastic arrival and charging of swapped batteries, creating a dynamic and pulsed load on the DC bus that tests the system's transient response and stability.</w:t>
      </w:r>
    </w:p>
    <w:p w14:paraId="1145436F" w14:textId="77777777" w:rsidR="00AC458A" w:rsidRPr="00F7042C" w:rsidRDefault="00AC458A" w:rsidP="00AC458A">
      <w:pPr>
        <w:spacing w:line="360" w:lineRule="auto"/>
        <w:ind w:left="-1080" w:right="-1080"/>
        <w:jc w:val="both"/>
        <w:rPr>
          <w:rFonts w:ascii="Times New Roman" w:hAnsi="Times New Roman" w:cs="Times New Roman"/>
          <w:b/>
          <w:bCs/>
        </w:rPr>
      </w:pPr>
      <w:r w:rsidRPr="00F7042C">
        <w:rPr>
          <w:rFonts w:ascii="Times New Roman" w:hAnsi="Times New Roman" w:cs="Times New Roman"/>
          <w:b/>
          <w:bCs/>
        </w:rPr>
        <w:t>6.4.2 DC Fast Charging (DCFC) Emulator</w:t>
      </w:r>
    </w:p>
    <w:p w14:paraId="2938A3CF" w14:textId="77777777" w:rsidR="00AC458A" w:rsidRPr="00AC458A" w:rsidRDefault="00AC458A" w:rsidP="00AC458A">
      <w:pPr>
        <w:spacing w:line="360" w:lineRule="auto"/>
        <w:ind w:left="-1080" w:right="-1080"/>
        <w:jc w:val="both"/>
        <w:rPr>
          <w:rFonts w:ascii="Times New Roman" w:hAnsi="Times New Roman" w:cs="Times New Roman"/>
        </w:rPr>
      </w:pPr>
      <w:r w:rsidRPr="00AC458A">
        <w:rPr>
          <w:rFonts w:ascii="Times New Roman" w:hAnsi="Times New Roman" w:cs="Times New Roman"/>
        </w:rPr>
        <w:t>The DCFC station is emulated using a high-power programmable DC load (</w:t>
      </w:r>
      <w:proofErr w:type="spellStart"/>
      <w:r w:rsidRPr="00AC458A">
        <w:rPr>
          <w:rFonts w:ascii="Times New Roman" w:hAnsi="Times New Roman" w:cs="Times New Roman"/>
        </w:rPr>
        <w:t>Maynuo</w:t>
      </w:r>
      <w:proofErr w:type="spellEnd"/>
      <w:r w:rsidRPr="00AC458A">
        <w:rPr>
          <w:rFonts w:ascii="Times New Roman" w:hAnsi="Times New Roman" w:cs="Times New Roman"/>
        </w:rPr>
        <w:t xml:space="preserve"> M9711) capable of sinking up to 120V/20A. It is programmed to follow a standard constant-current, constant-voltage (CC-CV) charging profile, simulating the direct connection of an EV battery to a fast charger. This imposes a step-load change on the system, testing the robustness of the DC bus voltage regulation and the energy source transition logic.</w:t>
      </w:r>
    </w:p>
    <w:p w14:paraId="1DF56002" w14:textId="77777777" w:rsidR="00911BA8" w:rsidRDefault="00911BA8" w:rsidP="00AC458A">
      <w:pPr>
        <w:spacing w:line="360" w:lineRule="auto"/>
        <w:ind w:left="-1080" w:right="-1080"/>
        <w:jc w:val="both"/>
        <w:rPr>
          <w:rFonts w:ascii="Times New Roman" w:hAnsi="Times New Roman" w:cs="Times New Roman"/>
        </w:rPr>
      </w:pPr>
    </w:p>
    <w:p w14:paraId="15B0975C" w14:textId="77777777" w:rsidR="0018491C" w:rsidRPr="00F7042C" w:rsidRDefault="0018491C" w:rsidP="0018491C">
      <w:pPr>
        <w:spacing w:line="360" w:lineRule="auto"/>
        <w:ind w:left="-1080" w:right="-1080"/>
        <w:jc w:val="both"/>
        <w:rPr>
          <w:rFonts w:ascii="Times New Roman" w:hAnsi="Times New Roman" w:cs="Times New Roman"/>
          <w:b/>
          <w:bCs/>
        </w:rPr>
      </w:pPr>
      <w:r w:rsidRPr="00F7042C">
        <w:rPr>
          <w:rFonts w:ascii="Times New Roman" w:hAnsi="Times New Roman" w:cs="Times New Roman"/>
          <w:b/>
          <w:bCs/>
        </w:rPr>
        <w:t>7. Results and Performance Analysis</w:t>
      </w:r>
    </w:p>
    <w:p w14:paraId="32AB6310" w14:textId="77777777" w:rsidR="0018491C" w:rsidRPr="00F7042C" w:rsidRDefault="0018491C" w:rsidP="0018491C">
      <w:pPr>
        <w:spacing w:line="360" w:lineRule="auto"/>
        <w:ind w:left="-1080" w:right="-1080"/>
        <w:jc w:val="both"/>
        <w:rPr>
          <w:rFonts w:ascii="Times New Roman" w:hAnsi="Times New Roman" w:cs="Times New Roman"/>
          <w:b/>
          <w:bCs/>
        </w:rPr>
      </w:pPr>
      <w:r w:rsidRPr="00F7042C">
        <w:rPr>
          <w:rFonts w:ascii="Times New Roman" w:hAnsi="Times New Roman" w:cs="Times New Roman"/>
          <w:b/>
          <w:bCs/>
        </w:rPr>
        <w:t>7.1 Energy Management and System Performance</w:t>
      </w:r>
    </w:p>
    <w:p w14:paraId="740430F4" w14:textId="77777777" w:rsidR="0018491C" w:rsidRDefault="0018491C" w:rsidP="0018491C">
      <w:pPr>
        <w:spacing w:line="360" w:lineRule="auto"/>
        <w:ind w:left="-1080" w:right="-1080"/>
        <w:jc w:val="both"/>
        <w:rPr>
          <w:rFonts w:ascii="Times New Roman" w:hAnsi="Times New Roman" w:cs="Times New Roman"/>
        </w:rPr>
      </w:pPr>
      <w:r w:rsidRPr="0018491C">
        <w:rPr>
          <w:rFonts w:ascii="Times New Roman" w:hAnsi="Times New Roman" w:cs="Times New Roman"/>
        </w:rPr>
        <w:t>The implemented IoT architecture demonstrated robust energy management, achieving a renewable energy contribution ratio of 86.2% during hardware validation. The system effectively prioritized solar energy and ESS utilization while minimizing grid dependency to 11.5% of total energy demand. The State of Charge (SOC) of the ESS was maintained within the optimal 20-80% range, validating the proposed control algorithms. Transitions between solar, ESS, and grid power modes occurred seamlessly with sub-200ms switching latency, ensuring uninterrupted power delivery to charging loads.</w:t>
      </w:r>
    </w:p>
    <w:p w14:paraId="562E5174" w14:textId="77777777" w:rsidR="0018491C" w:rsidRPr="00F7042C" w:rsidRDefault="0018491C" w:rsidP="0018491C">
      <w:pPr>
        <w:spacing w:line="360" w:lineRule="auto"/>
        <w:ind w:left="-1080" w:right="-1080"/>
        <w:jc w:val="both"/>
        <w:rPr>
          <w:rFonts w:ascii="Times New Roman" w:hAnsi="Times New Roman" w:cs="Times New Roman"/>
          <w:b/>
          <w:bCs/>
        </w:rPr>
      </w:pPr>
      <w:r w:rsidRPr="00F7042C">
        <w:rPr>
          <w:rFonts w:ascii="Times New Roman" w:hAnsi="Times New Roman" w:cs="Times New Roman"/>
          <w:b/>
          <w:bCs/>
        </w:rPr>
        <w:t>7.2 Long-Term Energy and Cost Projections</w:t>
      </w:r>
    </w:p>
    <w:p w14:paraId="49F7B531" w14:textId="77777777" w:rsidR="0018491C" w:rsidRPr="0018491C" w:rsidRDefault="0018491C" w:rsidP="0018491C">
      <w:pPr>
        <w:spacing w:line="360" w:lineRule="auto"/>
        <w:ind w:left="-1080" w:right="-1080"/>
        <w:jc w:val="both"/>
        <w:rPr>
          <w:rFonts w:ascii="Times New Roman" w:hAnsi="Times New Roman" w:cs="Times New Roman"/>
        </w:rPr>
      </w:pPr>
      <w:r w:rsidRPr="0018491C">
        <w:rPr>
          <w:rFonts w:ascii="Times New Roman" w:hAnsi="Times New Roman" w:cs="Times New Roman"/>
        </w:rPr>
        <w:t>Fig. 1 presents the energy estimation projections for the full-scale system over five years, quantifying the sustainable energy contribution from renewable sources versus grid dependency. The graph illustrates the cumulative impact of the proposed architecture, with renewable sources (solar + ESS) projected to supply 2.93 million kWh over five years, representing 88.5% of total energy requirements.</w:t>
      </w:r>
    </w:p>
    <w:p w14:paraId="3EEF01C7" w14:textId="7FA2BC16" w:rsidR="0018491C" w:rsidRPr="0018491C" w:rsidRDefault="009A3BED" w:rsidP="009A3BED">
      <w:pPr>
        <w:spacing w:line="360" w:lineRule="auto"/>
        <w:ind w:left="-1080" w:right="-1080"/>
        <w:jc w:val="center"/>
        <w:rPr>
          <w:rFonts w:ascii="Times New Roman" w:hAnsi="Times New Roman" w:cs="Times New Roman"/>
        </w:rPr>
      </w:pPr>
      <w:r w:rsidRPr="009A3BED">
        <w:rPr>
          <w:rFonts w:ascii="Times New Roman" w:hAnsi="Times New Roman" w:cs="Times New Roman"/>
        </w:rPr>
        <w:lastRenderedPageBreak/>
        <w:drawing>
          <wp:inline distT="0" distB="0" distL="0" distR="0" wp14:anchorId="21169DE4" wp14:editId="4CFF2206">
            <wp:extent cx="5311472" cy="3200400"/>
            <wp:effectExtent l="0" t="0" r="3810" b="0"/>
            <wp:docPr id="8016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4277" name=""/>
                    <pic:cNvPicPr/>
                  </pic:nvPicPr>
                  <pic:blipFill>
                    <a:blip r:embed="rId19"/>
                    <a:stretch>
                      <a:fillRect/>
                    </a:stretch>
                  </pic:blipFill>
                  <pic:spPr>
                    <a:xfrm>
                      <a:off x="0" y="0"/>
                      <a:ext cx="5320776" cy="3206006"/>
                    </a:xfrm>
                    <a:prstGeom prst="rect">
                      <a:avLst/>
                    </a:prstGeom>
                  </pic:spPr>
                </pic:pic>
              </a:graphicData>
            </a:graphic>
          </wp:inline>
        </w:drawing>
      </w:r>
    </w:p>
    <w:p w14:paraId="7223F520" w14:textId="77777777" w:rsidR="0018491C" w:rsidRPr="0018491C" w:rsidRDefault="0018491C" w:rsidP="009A3BED">
      <w:pPr>
        <w:spacing w:line="360" w:lineRule="auto"/>
        <w:ind w:left="-1080" w:right="-1080"/>
        <w:jc w:val="center"/>
        <w:rPr>
          <w:rFonts w:ascii="Times New Roman" w:hAnsi="Times New Roman" w:cs="Times New Roman"/>
        </w:rPr>
      </w:pPr>
      <w:r w:rsidRPr="0018491C">
        <w:rPr>
          <w:rFonts w:ascii="Times New Roman" w:hAnsi="Times New Roman" w:cs="Times New Roman"/>
        </w:rPr>
        <w:t>Fig. 1: Five-Year Energy Contribution Projections by Source</w:t>
      </w:r>
    </w:p>
    <w:p w14:paraId="05CB61D7" w14:textId="77777777" w:rsidR="0018491C" w:rsidRPr="0018491C" w:rsidRDefault="0018491C" w:rsidP="0018491C">
      <w:pPr>
        <w:spacing w:line="360" w:lineRule="auto"/>
        <w:ind w:left="-1080" w:right="-1080"/>
        <w:jc w:val="both"/>
        <w:rPr>
          <w:rFonts w:ascii="Times New Roman" w:hAnsi="Times New Roman" w:cs="Times New Roman"/>
        </w:rPr>
      </w:pPr>
      <w:r w:rsidRPr="0018491C">
        <w:rPr>
          <w:rFonts w:ascii="Times New Roman" w:hAnsi="Times New Roman" w:cs="Times New Roman"/>
        </w:rPr>
        <w:t>The economic analysis, depicted in Fig. 2, demonstrates compelling financial viability. The projections show that while operational spending on grid power remains relatively flat, revenue from both fast charging and battery swapping services grows substantially over time. The system is projected to generate ₹49.25 million in profit over five years, achieving a cost-saving efficiency of 88.5% through optimized renewable energy utilization.</w:t>
      </w:r>
    </w:p>
    <w:p w14:paraId="667532FF" w14:textId="4619B709" w:rsidR="0018491C" w:rsidRPr="0018491C" w:rsidRDefault="009A3BED" w:rsidP="009A3BED">
      <w:pPr>
        <w:spacing w:line="360" w:lineRule="auto"/>
        <w:ind w:left="-1080" w:right="-1080"/>
        <w:jc w:val="center"/>
        <w:rPr>
          <w:rFonts w:ascii="Times New Roman" w:hAnsi="Times New Roman" w:cs="Times New Roman"/>
        </w:rPr>
      </w:pPr>
      <w:r w:rsidRPr="009A3BED">
        <w:rPr>
          <w:rFonts w:ascii="Times New Roman" w:hAnsi="Times New Roman" w:cs="Times New Roman"/>
        </w:rPr>
        <w:drawing>
          <wp:inline distT="0" distB="0" distL="0" distR="0" wp14:anchorId="638FABA2" wp14:editId="19B85E1D">
            <wp:extent cx="4324954" cy="2543530"/>
            <wp:effectExtent l="0" t="0" r="0" b="9525"/>
            <wp:docPr id="107811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18579" name=""/>
                    <pic:cNvPicPr/>
                  </pic:nvPicPr>
                  <pic:blipFill>
                    <a:blip r:embed="rId20"/>
                    <a:stretch>
                      <a:fillRect/>
                    </a:stretch>
                  </pic:blipFill>
                  <pic:spPr>
                    <a:xfrm>
                      <a:off x="0" y="0"/>
                      <a:ext cx="4324954" cy="2543530"/>
                    </a:xfrm>
                    <a:prstGeom prst="rect">
                      <a:avLst/>
                    </a:prstGeom>
                  </pic:spPr>
                </pic:pic>
              </a:graphicData>
            </a:graphic>
          </wp:inline>
        </w:drawing>
      </w:r>
    </w:p>
    <w:p w14:paraId="39323BD3" w14:textId="77777777" w:rsidR="0018491C" w:rsidRPr="0018491C" w:rsidRDefault="0018491C" w:rsidP="009A3BED">
      <w:pPr>
        <w:spacing w:line="360" w:lineRule="auto"/>
        <w:ind w:left="-1080" w:right="-1080"/>
        <w:jc w:val="center"/>
        <w:rPr>
          <w:rFonts w:ascii="Times New Roman" w:hAnsi="Times New Roman" w:cs="Times New Roman"/>
        </w:rPr>
      </w:pPr>
      <w:r w:rsidRPr="0018491C">
        <w:rPr>
          <w:rFonts w:ascii="Times New Roman" w:hAnsi="Times New Roman" w:cs="Times New Roman"/>
        </w:rPr>
        <w:t>Fig. 2: Five-Year Cost and Revenue Projections</w:t>
      </w:r>
    </w:p>
    <w:p w14:paraId="1769FAB3" w14:textId="77777777" w:rsidR="0018491C" w:rsidRPr="00F7042C" w:rsidRDefault="0018491C" w:rsidP="0018491C">
      <w:pPr>
        <w:spacing w:line="360" w:lineRule="auto"/>
        <w:ind w:left="-1080" w:right="-1080"/>
        <w:jc w:val="both"/>
        <w:rPr>
          <w:rFonts w:ascii="Times New Roman" w:hAnsi="Times New Roman" w:cs="Times New Roman"/>
          <w:b/>
          <w:bCs/>
        </w:rPr>
      </w:pPr>
      <w:r w:rsidRPr="00F7042C">
        <w:rPr>
          <w:rFonts w:ascii="Times New Roman" w:hAnsi="Times New Roman" w:cs="Times New Roman"/>
          <w:b/>
          <w:bCs/>
        </w:rPr>
        <w:t>7.3 Comparative Performance Metrics</w:t>
      </w:r>
    </w:p>
    <w:p w14:paraId="57C353A2" w14:textId="77777777" w:rsidR="0018491C" w:rsidRPr="0018491C" w:rsidRDefault="0018491C" w:rsidP="0018491C">
      <w:pPr>
        <w:spacing w:line="360" w:lineRule="auto"/>
        <w:ind w:left="-1080" w:right="-1080"/>
        <w:jc w:val="both"/>
        <w:rPr>
          <w:rFonts w:ascii="Times New Roman" w:hAnsi="Times New Roman" w:cs="Times New Roman"/>
        </w:rPr>
      </w:pPr>
      <w:r w:rsidRPr="0018491C">
        <w:rPr>
          <w:rFonts w:ascii="Times New Roman" w:hAnsi="Times New Roman" w:cs="Times New Roman"/>
        </w:rPr>
        <w:t>Table I summarizes the key performance indicators comparing simulation predictions with hardware measurements, confirming the accuracy of the simulation models and the practical feasibility of the proposed approach.</w:t>
      </w:r>
    </w:p>
    <w:p w14:paraId="7B6C46F0" w14:textId="77777777" w:rsidR="0018491C" w:rsidRDefault="0018491C" w:rsidP="0018491C">
      <w:pPr>
        <w:spacing w:line="360" w:lineRule="auto"/>
        <w:ind w:left="-1080" w:right="-1080"/>
        <w:jc w:val="both"/>
        <w:rPr>
          <w:rFonts w:ascii="Times New Roman" w:hAnsi="Times New Roman" w:cs="Times New Roman"/>
        </w:rPr>
      </w:pPr>
    </w:p>
    <w:p w14:paraId="630DB9DD" w14:textId="77777777" w:rsidR="00A3475A" w:rsidRDefault="00A3475A" w:rsidP="0018491C">
      <w:pPr>
        <w:spacing w:line="360" w:lineRule="auto"/>
        <w:ind w:left="-1080" w:right="-1080"/>
        <w:jc w:val="both"/>
        <w:rPr>
          <w:rFonts w:ascii="Times New Roman" w:hAnsi="Times New Roman" w:cs="Times New Roman"/>
        </w:rPr>
      </w:pPr>
    </w:p>
    <w:p w14:paraId="3E45DB66" w14:textId="77777777" w:rsidR="00A3475A" w:rsidRPr="0018491C" w:rsidRDefault="00A3475A" w:rsidP="0018491C">
      <w:pPr>
        <w:spacing w:line="360" w:lineRule="auto"/>
        <w:ind w:left="-1080" w:right="-1080"/>
        <w:jc w:val="both"/>
        <w:rPr>
          <w:rFonts w:ascii="Times New Roman" w:hAnsi="Times New Roman" w:cs="Times New Roman"/>
        </w:rPr>
      </w:pPr>
    </w:p>
    <w:p w14:paraId="03EA6445" w14:textId="77777777" w:rsidR="0018491C" w:rsidRPr="0018491C" w:rsidRDefault="0018491C" w:rsidP="0018491C">
      <w:pPr>
        <w:spacing w:line="360" w:lineRule="auto"/>
        <w:ind w:left="-1080" w:right="-1080"/>
        <w:jc w:val="both"/>
        <w:rPr>
          <w:rFonts w:ascii="Times New Roman" w:hAnsi="Times New Roman" w:cs="Times New Roman"/>
        </w:rPr>
      </w:pPr>
      <w:r w:rsidRPr="0018491C">
        <w:rPr>
          <w:rFonts w:ascii="Times New Roman" w:hAnsi="Times New Roman" w:cs="Times New Roman"/>
        </w:rPr>
        <w:lastRenderedPageBreak/>
        <w:t>Table I: Performance Metrics Comparison (Simulation vs. Hardware)</w:t>
      </w:r>
    </w:p>
    <w:p w14:paraId="521560F0" w14:textId="77777777" w:rsidR="0018491C" w:rsidRPr="0018491C" w:rsidRDefault="0018491C" w:rsidP="0018491C">
      <w:pPr>
        <w:spacing w:line="360" w:lineRule="auto"/>
        <w:ind w:left="-1080" w:right="-1080"/>
        <w:jc w:val="both"/>
        <w:rPr>
          <w:rFonts w:ascii="Times New Roman" w:hAnsi="Times New Roman" w:cs="Times New Roman"/>
        </w:rPr>
      </w:pPr>
    </w:p>
    <w:p w14:paraId="1934C808" w14:textId="77777777" w:rsidR="0018491C" w:rsidRPr="0018491C" w:rsidRDefault="0018491C" w:rsidP="0018491C">
      <w:pPr>
        <w:spacing w:line="360" w:lineRule="auto"/>
        <w:ind w:left="-1080" w:right="-1080"/>
        <w:jc w:val="both"/>
        <w:rPr>
          <w:rFonts w:ascii="Times New Roman" w:hAnsi="Times New Roman" w:cs="Times New Roman"/>
        </w:rPr>
      </w:pPr>
      <w:r w:rsidRPr="0018491C">
        <w:rPr>
          <w:rFonts w:ascii="Times New Roman" w:hAnsi="Times New Roman" w:cs="Times New Roman"/>
        </w:rPr>
        <w:t>Metric</w:t>
      </w:r>
      <w:r w:rsidRPr="0018491C">
        <w:rPr>
          <w:rFonts w:ascii="Times New Roman" w:hAnsi="Times New Roman" w:cs="Times New Roman"/>
        </w:rPr>
        <w:tab/>
        <w:t>Simulation</w:t>
      </w:r>
      <w:r w:rsidRPr="0018491C">
        <w:rPr>
          <w:rFonts w:ascii="Times New Roman" w:hAnsi="Times New Roman" w:cs="Times New Roman"/>
        </w:rPr>
        <w:tab/>
        <w:t>Hardware</w:t>
      </w:r>
    </w:p>
    <w:p w14:paraId="18EAA384" w14:textId="77777777" w:rsidR="0018491C" w:rsidRPr="0018491C" w:rsidRDefault="0018491C" w:rsidP="0018491C">
      <w:pPr>
        <w:spacing w:line="360" w:lineRule="auto"/>
        <w:ind w:left="-1080" w:right="-1080"/>
        <w:jc w:val="both"/>
        <w:rPr>
          <w:rFonts w:ascii="Times New Roman" w:hAnsi="Times New Roman" w:cs="Times New Roman"/>
        </w:rPr>
      </w:pPr>
      <w:r w:rsidRPr="0018491C">
        <w:rPr>
          <w:rFonts w:ascii="Times New Roman" w:hAnsi="Times New Roman" w:cs="Times New Roman"/>
        </w:rPr>
        <w:t>Renewable Energy Utilization</w:t>
      </w:r>
      <w:r w:rsidRPr="0018491C">
        <w:rPr>
          <w:rFonts w:ascii="Times New Roman" w:hAnsi="Times New Roman" w:cs="Times New Roman"/>
        </w:rPr>
        <w:tab/>
        <w:t>88.6%</w:t>
      </w:r>
      <w:r w:rsidRPr="0018491C">
        <w:rPr>
          <w:rFonts w:ascii="Times New Roman" w:hAnsi="Times New Roman" w:cs="Times New Roman"/>
        </w:rPr>
        <w:tab/>
        <w:t>86.2%</w:t>
      </w:r>
    </w:p>
    <w:p w14:paraId="7C8FB2CD" w14:textId="77777777" w:rsidR="0018491C" w:rsidRPr="0018491C" w:rsidRDefault="0018491C" w:rsidP="0018491C">
      <w:pPr>
        <w:spacing w:line="360" w:lineRule="auto"/>
        <w:ind w:left="-1080" w:right="-1080"/>
        <w:jc w:val="both"/>
        <w:rPr>
          <w:rFonts w:ascii="Times New Roman" w:hAnsi="Times New Roman" w:cs="Times New Roman"/>
        </w:rPr>
      </w:pPr>
      <w:r w:rsidRPr="0018491C">
        <w:rPr>
          <w:rFonts w:ascii="Times New Roman" w:hAnsi="Times New Roman" w:cs="Times New Roman"/>
        </w:rPr>
        <w:t>ESS Round-Trip Efficiency</w:t>
      </w:r>
      <w:r w:rsidRPr="0018491C">
        <w:rPr>
          <w:rFonts w:ascii="Times New Roman" w:hAnsi="Times New Roman" w:cs="Times New Roman"/>
        </w:rPr>
        <w:tab/>
        <w:t>92.0%</w:t>
      </w:r>
      <w:r w:rsidRPr="0018491C">
        <w:rPr>
          <w:rFonts w:ascii="Times New Roman" w:hAnsi="Times New Roman" w:cs="Times New Roman"/>
        </w:rPr>
        <w:tab/>
        <w:t>89.5%</w:t>
      </w:r>
    </w:p>
    <w:p w14:paraId="2FCB56FD" w14:textId="77777777" w:rsidR="0018491C" w:rsidRPr="0018491C" w:rsidRDefault="0018491C" w:rsidP="0018491C">
      <w:pPr>
        <w:spacing w:line="360" w:lineRule="auto"/>
        <w:ind w:left="-1080" w:right="-1080"/>
        <w:jc w:val="both"/>
        <w:rPr>
          <w:rFonts w:ascii="Times New Roman" w:hAnsi="Times New Roman" w:cs="Times New Roman"/>
        </w:rPr>
      </w:pPr>
      <w:r w:rsidRPr="0018491C">
        <w:rPr>
          <w:rFonts w:ascii="Times New Roman" w:hAnsi="Times New Roman" w:cs="Times New Roman"/>
        </w:rPr>
        <w:t>DC Bus Voltage Regulation</w:t>
      </w:r>
      <w:r w:rsidRPr="0018491C">
        <w:rPr>
          <w:rFonts w:ascii="Times New Roman" w:hAnsi="Times New Roman" w:cs="Times New Roman"/>
        </w:rPr>
        <w:tab/>
        <w:t>±2.1</w:t>
      </w:r>
      <w:proofErr w:type="gramStart"/>
      <w:r w:rsidRPr="0018491C">
        <w:rPr>
          <w:rFonts w:ascii="Times New Roman" w:hAnsi="Times New Roman" w:cs="Times New Roman"/>
        </w:rPr>
        <w:t>%</w:t>
      </w:r>
      <w:r w:rsidRPr="0018491C">
        <w:rPr>
          <w:rFonts w:ascii="Times New Roman" w:hAnsi="Times New Roman" w:cs="Times New Roman"/>
        </w:rPr>
        <w:tab/>
        <w:t>±</w:t>
      </w:r>
      <w:proofErr w:type="gramEnd"/>
      <w:r w:rsidRPr="0018491C">
        <w:rPr>
          <w:rFonts w:ascii="Times New Roman" w:hAnsi="Times New Roman" w:cs="Times New Roman"/>
        </w:rPr>
        <w:t>3.5%</w:t>
      </w:r>
    </w:p>
    <w:p w14:paraId="26D4ECC5" w14:textId="77777777" w:rsidR="0018491C" w:rsidRPr="0018491C" w:rsidRDefault="0018491C" w:rsidP="0018491C">
      <w:pPr>
        <w:spacing w:line="360" w:lineRule="auto"/>
        <w:ind w:left="-1080" w:right="-1080"/>
        <w:jc w:val="both"/>
        <w:rPr>
          <w:rFonts w:ascii="Times New Roman" w:hAnsi="Times New Roman" w:cs="Times New Roman"/>
        </w:rPr>
      </w:pPr>
      <w:r w:rsidRPr="0018491C">
        <w:rPr>
          <w:rFonts w:ascii="Times New Roman" w:hAnsi="Times New Roman" w:cs="Times New Roman"/>
        </w:rPr>
        <w:t>PCC Transition Time</w:t>
      </w:r>
      <w:r w:rsidRPr="0018491C">
        <w:rPr>
          <w:rFonts w:ascii="Times New Roman" w:hAnsi="Times New Roman" w:cs="Times New Roman"/>
        </w:rPr>
        <w:tab/>
        <w:t xml:space="preserve">&lt;150 </w:t>
      </w:r>
      <w:proofErr w:type="spellStart"/>
      <w:r w:rsidRPr="0018491C">
        <w:rPr>
          <w:rFonts w:ascii="Times New Roman" w:hAnsi="Times New Roman" w:cs="Times New Roman"/>
        </w:rPr>
        <w:t>ms</w:t>
      </w:r>
      <w:proofErr w:type="spellEnd"/>
      <w:r w:rsidRPr="0018491C">
        <w:rPr>
          <w:rFonts w:ascii="Times New Roman" w:hAnsi="Times New Roman" w:cs="Times New Roman"/>
        </w:rPr>
        <w:tab/>
        <w:t xml:space="preserve">&lt;200 </w:t>
      </w:r>
      <w:proofErr w:type="spellStart"/>
      <w:r w:rsidRPr="0018491C">
        <w:rPr>
          <w:rFonts w:ascii="Times New Roman" w:hAnsi="Times New Roman" w:cs="Times New Roman"/>
        </w:rPr>
        <w:t>ms</w:t>
      </w:r>
      <w:proofErr w:type="spellEnd"/>
    </w:p>
    <w:p w14:paraId="518C18A2" w14:textId="77777777" w:rsidR="0018491C" w:rsidRPr="00B8520D" w:rsidRDefault="0018491C" w:rsidP="0018491C">
      <w:pPr>
        <w:spacing w:line="360" w:lineRule="auto"/>
        <w:ind w:left="-1080" w:right="-1080"/>
        <w:jc w:val="both"/>
        <w:rPr>
          <w:rFonts w:ascii="Times New Roman" w:hAnsi="Times New Roman" w:cs="Times New Roman"/>
          <w:b/>
          <w:bCs/>
        </w:rPr>
      </w:pPr>
      <w:r w:rsidRPr="00B8520D">
        <w:rPr>
          <w:rFonts w:ascii="Times New Roman" w:hAnsi="Times New Roman" w:cs="Times New Roman"/>
          <w:b/>
          <w:bCs/>
        </w:rPr>
        <w:t>7.4 Economic Viability Analysis</w:t>
      </w:r>
    </w:p>
    <w:p w14:paraId="0699DB3E" w14:textId="77777777" w:rsidR="0018491C" w:rsidRPr="0018491C" w:rsidRDefault="0018491C" w:rsidP="0018491C">
      <w:pPr>
        <w:spacing w:line="360" w:lineRule="auto"/>
        <w:ind w:left="-1080" w:right="-1080"/>
        <w:jc w:val="both"/>
        <w:rPr>
          <w:rFonts w:ascii="Times New Roman" w:hAnsi="Times New Roman" w:cs="Times New Roman"/>
        </w:rPr>
      </w:pPr>
      <w:r w:rsidRPr="0018491C">
        <w:rPr>
          <w:rFonts w:ascii="Times New Roman" w:hAnsi="Times New Roman" w:cs="Times New Roman"/>
        </w:rPr>
        <w:t>The financial model, scaled to full system parameters, confirms strong economic returns. Daily operational analysis reveals:</w:t>
      </w:r>
    </w:p>
    <w:p w14:paraId="60036D21" w14:textId="77777777" w:rsidR="0018491C" w:rsidRPr="0018491C" w:rsidRDefault="0018491C" w:rsidP="0018491C">
      <w:pPr>
        <w:spacing w:line="360" w:lineRule="auto"/>
        <w:ind w:left="-1080" w:right="-1080"/>
        <w:jc w:val="both"/>
        <w:rPr>
          <w:rFonts w:ascii="Times New Roman" w:hAnsi="Times New Roman" w:cs="Times New Roman"/>
        </w:rPr>
      </w:pPr>
      <w:r w:rsidRPr="0018491C">
        <w:rPr>
          <w:rFonts w:ascii="Times New Roman" w:hAnsi="Times New Roman" w:cs="Times New Roman"/>
        </w:rPr>
        <w:t>Daily Renewable Energy Generated: 1,608 kWh</w:t>
      </w:r>
    </w:p>
    <w:p w14:paraId="521A08BF" w14:textId="77777777" w:rsidR="0018491C" w:rsidRPr="0018491C" w:rsidRDefault="0018491C" w:rsidP="0018491C">
      <w:pPr>
        <w:spacing w:line="360" w:lineRule="auto"/>
        <w:ind w:left="-1080" w:right="-1080"/>
        <w:jc w:val="both"/>
        <w:rPr>
          <w:rFonts w:ascii="Times New Roman" w:hAnsi="Times New Roman" w:cs="Times New Roman"/>
        </w:rPr>
      </w:pPr>
      <w:r w:rsidRPr="0018491C">
        <w:rPr>
          <w:rFonts w:ascii="Times New Roman" w:hAnsi="Times New Roman" w:cs="Times New Roman"/>
        </w:rPr>
        <w:t>Daily Grid Energy Required: 209 kWh</w:t>
      </w:r>
    </w:p>
    <w:p w14:paraId="49A266A7" w14:textId="77777777" w:rsidR="0018491C" w:rsidRPr="0018491C" w:rsidRDefault="0018491C" w:rsidP="0018491C">
      <w:pPr>
        <w:spacing w:line="360" w:lineRule="auto"/>
        <w:ind w:left="-1080" w:right="-1080"/>
        <w:jc w:val="both"/>
        <w:rPr>
          <w:rFonts w:ascii="Times New Roman" w:hAnsi="Times New Roman" w:cs="Times New Roman"/>
        </w:rPr>
      </w:pPr>
      <w:r w:rsidRPr="0018491C">
        <w:rPr>
          <w:rFonts w:ascii="Times New Roman" w:hAnsi="Times New Roman" w:cs="Times New Roman"/>
        </w:rPr>
        <w:t>Daily Grid Energy Cost: ₹2,508</w:t>
      </w:r>
    </w:p>
    <w:p w14:paraId="67CD3911" w14:textId="77777777" w:rsidR="0018491C" w:rsidRPr="0018491C" w:rsidRDefault="0018491C" w:rsidP="0018491C">
      <w:pPr>
        <w:spacing w:line="360" w:lineRule="auto"/>
        <w:ind w:left="-1080" w:right="-1080"/>
        <w:jc w:val="both"/>
        <w:rPr>
          <w:rFonts w:ascii="Times New Roman" w:hAnsi="Times New Roman" w:cs="Times New Roman"/>
        </w:rPr>
      </w:pPr>
      <w:r w:rsidRPr="0018491C">
        <w:rPr>
          <w:rFonts w:ascii="Times New Roman" w:hAnsi="Times New Roman" w:cs="Times New Roman"/>
        </w:rPr>
        <w:t>Daily Avoided Grid Cost (Savings): ₹19,296</w:t>
      </w:r>
    </w:p>
    <w:p w14:paraId="47C3034A" w14:textId="77777777" w:rsidR="0018491C" w:rsidRPr="0018491C" w:rsidRDefault="0018491C" w:rsidP="0018491C">
      <w:pPr>
        <w:spacing w:line="360" w:lineRule="auto"/>
        <w:ind w:left="-1080" w:right="-1080"/>
        <w:jc w:val="both"/>
        <w:rPr>
          <w:rFonts w:ascii="Times New Roman" w:hAnsi="Times New Roman" w:cs="Times New Roman"/>
        </w:rPr>
      </w:pPr>
      <w:r w:rsidRPr="0018491C">
        <w:rPr>
          <w:rFonts w:ascii="Times New Roman" w:hAnsi="Times New Roman" w:cs="Times New Roman"/>
        </w:rPr>
        <w:t>Daily Revenue Generation: ₹29,494</w:t>
      </w:r>
    </w:p>
    <w:p w14:paraId="1158B8A8" w14:textId="77777777" w:rsidR="0018491C" w:rsidRPr="0018491C" w:rsidRDefault="0018491C" w:rsidP="0018491C">
      <w:pPr>
        <w:spacing w:line="360" w:lineRule="auto"/>
        <w:ind w:left="-1080" w:right="-1080"/>
        <w:jc w:val="both"/>
        <w:rPr>
          <w:rFonts w:ascii="Times New Roman" w:hAnsi="Times New Roman" w:cs="Times New Roman"/>
        </w:rPr>
      </w:pPr>
      <w:r w:rsidRPr="0018491C">
        <w:rPr>
          <w:rFonts w:ascii="Times New Roman" w:hAnsi="Times New Roman" w:cs="Times New Roman"/>
        </w:rPr>
        <w:t>Daily Net Profit: ₹26,986</w:t>
      </w:r>
    </w:p>
    <w:p w14:paraId="13B0AD6C" w14:textId="77777777" w:rsidR="0018491C" w:rsidRPr="0018491C" w:rsidRDefault="0018491C" w:rsidP="0018491C">
      <w:pPr>
        <w:spacing w:line="360" w:lineRule="auto"/>
        <w:ind w:left="-1080" w:right="-1080"/>
        <w:jc w:val="both"/>
        <w:rPr>
          <w:rFonts w:ascii="Times New Roman" w:hAnsi="Times New Roman" w:cs="Times New Roman"/>
        </w:rPr>
      </w:pPr>
    </w:p>
    <w:p w14:paraId="7BF9B809" w14:textId="77777777" w:rsidR="0018491C" w:rsidRPr="0018491C" w:rsidRDefault="0018491C" w:rsidP="0018491C">
      <w:pPr>
        <w:spacing w:line="360" w:lineRule="auto"/>
        <w:ind w:left="-1080" w:right="-1080"/>
        <w:jc w:val="both"/>
        <w:rPr>
          <w:rFonts w:ascii="Times New Roman" w:hAnsi="Times New Roman" w:cs="Times New Roman"/>
        </w:rPr>
      </w:pPr>
      <w:r w:rsidRPr="0018491C">
        <w:rPr>
          <w:rFonts w:ascii="Times New Roman" w:hAnsi="Times New Roman" w:cs="Times New Roman"/>
        </w:rPr>
        <w:t xml:space="preserve">These figures translate to an annual profit of approximately ₹9.85 million for a single station configuration, establishing a compelling business case for deploying the proposed architecture </w:t>
      </w:r>
      <w:proofErr w:type="gramStart"/>
      <w:r w:rsidRPr="0018491C">
        <w:rPr>
          <w:rFonts w:ascii="Times New Roman" w:hAnsi="Times New Roman" w:cs="Times New Roman"/>
        </w:rPr>
        <w:t>at</w:t>
      </w:r>
      <w:proofErr w:type="gramEnd"/>
      <w:r w:rsidRPr="0018491C">
        <w:rPr>
          <w:rFonts w:ascii="Times New Roman" w:hAnsi="Times New Roman" w:cs="Times New Roman"/>
        </w:rPr>
        <w:t xml:space="preserve"> scale.</w:t>
      </w:r>
    </w:p>
    <w:p w14:paraId="2F18C5BB" w14:textId="0BCE0835" w:rsidR="00911BA8" w:rsidRDefault="0018491C" w:rsidP="0018491C">
      <w:pPr>
        <w:spacing w:line="360" w:lineRule="auto"/>
        <w:ind w:left="-1080" w:right="-1080"/>
        <w:jc w:val="both"/>
        <w:rPr>
          <w:rFonts w:ascii="Times New Roman" w:hAnsi="Times New Roman" w:cs="Times New Roman"/>
        </w:rPr>
      </w:pPr>
      <w:r w:rsidRPr="0018491C">
        <w:rPr>
          <w:rFonts w:ascii="Times New Roman" w:hAnsi="Times New Roman" w:cs="Times New Roman"/>
        </w:rPr>
        <w:t>The results conclusively demonstrate that the IoT-enabled hybrid energy management system not only achieves significant technical improvements in energy autonomy and grid stability but also delivers substantial economic benefits through optimized renewable integration and intelligent load management.</w:t>
      </w:r>
    </w:p>
    <w:p w14:paraId="5CF9F918" w14:textId="35EF2A42" w:rsidR="0018491C" w:rsidRPr="00C11787" w:rsidRDefault="00C11787" w:rsidP="0018491C">
      <w:pPr>
        <w:spacing w:line="360" w:lineRule="auto"/>
        <w:ind w:left="-1080" w:right="-1080"/>
        <w:jc w:val="both"/>
        <w:rPr>
          <w:rFonts w:ascii="Times New Roman" w:hAnsi="Times New Roman" w:cs="Times New Roman"/>
          <w:b/>
          <w:bCs/>
        </w:rPr>
      </w:pPr>
      <w:r w:rsidRPr="00C11787">
        <w:rPr>
          <w:rFonts w:ascii="Times New Roman" w:hAnsi="Times New Roman" w:cs="Times New Roman"/>
          <w:b/>
          <w:bCs/>
        </w:rPr>
        <w:t>8. Conclusion</w:t>
      </w:r>
    </w:p>
    <w:p w14:paraId="34F32CB1" w14:textId="3B10DD1B" w:rsidR="0018491C" w:rsidRDefault="00C11787" w:rsidP="0018491C">
      <w:pPr>
        <w:spacing w:line="360" w:lineRule="auto"/>
        <w:ind w:left="-1080" w:right="-1080"/>
        <w:jc w:val="both"/>
        <w:rPr>
          <w:rFonts w:ascii="Times New Roman" w:hAnsi="Times New Roman" w:cs="Times New Roman"/>
        </w:rPr>
      </w:pPr>
      <w:r w:rsidRPr="00C11787">
        <w:rPr>
          <w:rFonts w:ascii="Times New Roman" w:hAnsi="Times New Roman" w:cs="Times New Roman"/>
        </w:rPr>
        <w:t xml:space="preserve">This research successfully designed, simulated, and physically implemented a novel IoT-enabled hybrid energy management system for EV charging infrastructure, demonstrating the viability of a five-layer IoT architecture that intelligently integrates solar PV, Energy Storage Systems (ESS), and the grid via an automated Point of Common Coupling (PCC). The system's rule-based automation prioritized renewable sources, achieving a renewable energy contribution ratio of 86.2% and a cost-saving efficiency of 88.5% in hardware validation, which closely matched simulation projections. This performance translates to a significant reduction in grid dependency and a projected daily net profit of ₹26,986 for a full-scale deployment. By moving from simulation to a functional hardware prototype, this </w:t>
      </w:r>
      <w:r w:rsidRPr="00C11787">
        <w:rPr>
          <w:rFonts w:ascii="Times New Roman" w:hAnsi="Times New Roman" w:cs="Times New Roman"/>
        </w:rPr>
        <w:lastRenderedPageBreak/>
        <w:t>work provides a validated, scalable blueprint for sustainable and economically viable EV charging networks, bridging a critical gap between theoretical models and real-world implementation for future smart grid integration.</w:t>
      </w:r>
    </w:p>
    <w:p w14:paraId="74B7BCFF" w14:textId="77777777" w:rsidR="00B8520D" w:rsidRDefault="00B8520D" w:rsidP="0018491C">
      <w:pPr>
        <w:spacing w:line="360" w:lineRule="auto"/>
        <w:ind w:left="-1080" w:right="-1080"/>
        <w:jc w:val="both"/>
        <w:rPr>
          <w:rFonts w:ascii="Times New Roman" w:hAnsi="Times New Roman" w:cs="Times New Roman"/>
        </w:rPr>
      </w:pPr>
    </w:p>
    <w:p w14:paraId="0DABC16A" w14:textId="77777777" w:rsidR="00C11787" w:rsidRPr="00B8520D" w:rsidRDefault="00C11787" w:rsidP="00C11787">
      <w:pPr>
        <w:spacing w:line="360" w:lineRule="auto"/>
        <w:ind w:left="-1080" w:right="-1080"/>
        <w:jc w:val="both"/>
        <w:rPr>
          <w:rFonts w:ascii="Times New Roman" w:hAnsi="Times New Roman" w:cs="Times New Roman"/>
          <w:b/>
          <w:bCs/>
        </w:rPr>
      </w:pPr>
      <w:r w:rsidRPr="00B8520D">
        <w:rPr>
          <w:rFonts w:ascii="Times New Roman" w:hAnsi="Times New Roman" w:cs="Times New Roman"/>
          <w:b/>
          <w:bCs/>
        </w:rPr>
        <w:t>References</w:t>
      </w:r>
    </w:p>
    <w:p w14:paraId="1127C186" w14:textId="77777777" w:rsidR="00C11787" w:rsidRPr="00C11787" w:rsidRDefault="00C11787" w:rsidP="00C11787">
      <w:pPr>
        <w:spacing w:line="360" w:lineRule="auto"/>
        <w:ind w:left="-1080" w:right="-1080"/>
        <w:jc w:val="both"/>
        <w:rPr>
          <w:rFonts w:ascii="Times New Roman" w:hAnsi="Times New Roman" w:cs="Times New Roman"/>
        </w:rPr>
      </w:pPr>
      <w:r w:rsidRPr="00C11787">
        <w:rPr>
          <w:rFonts w:ascii="Times New Roman" w:hAnsi="Times New Roman" w:cs="Times New Roman"/>
        </w:rPr>
        <w:t>[1] S. Sikdar and M. Damle, "IoT Solutions for Electric Vehicles (EV) Charging Stations: A Driving Force Towards EV Mass Adoption," in 2022 Int. Interdisciplinary Humanitarian Conf. for Sustainability (IIHC), 2023, pp. 1-6.</w:t>
      </w:r>
    </w:p>
    <w:p w14:paraId="24845F86" w14:textId="77777777" w:rsidR="00C11787" w:rsidRPr="00C11787" w:rsidRDefault="00C11787" w:rsidP="00C11787">
      <w:pPr>
        <w:spacing w:line="360" w:lineRule="auto"/>
        <w:ind w:left="-1080" w:right="-1080"/>
        <w:jc w:val="both"/>
        <w:rPr>
          <w:rFonts w:ascii="Times New Roman" w:hAnsi="Times New Roman" w:cs="Times New Roman"/>
        </w:rPr>
      </w:pPr>
      <w:r w:rsidRPr="00C11787">
        <w:rPr>
          <w:rFonts w:ascii="Times New Roman" w:hAnsi="Times New Roman" w:cs="Times New Roman"/>
        </w:rPr>
        <w:t>[2] S. K. Tripathi et al., "Power Quality Enhancement in Integrated Grid for EVs Charging Stations Using Active Filter," in 2024 3rd Int. Conf. on Power Electronics and IoT Applications in Renewable Energy and its Control (PARC), 2024, pp. 1-6.</w:t>
      </w:r>
    </w:p>
    <w:p w14:paraId="1E240805" w14:textId="77777777" w:rsidR="00C11787" w:rsidRPr="00C11787" w:rsidRDefault="00C11787" w:rsidP="00C11787">
      <w:pPr>
        <w:spacing w:line="360" w:lineRule="auto"/>
        <w:ind w:left="-1080" w:right="-1080"/>
        <w:jc w:val="both"/>
        <w:rPr>
          <w:rFonts w:ascii="Times New Roman" w:hAnsi="Times New Roman" w:cs="Times New Roman"/>
        </w:rPr>
      </w:pPr>
      <w:r w:rsidRPr="00C11787">
        <w:rPr>
          <w:rFonts w:ascii="Times New Roman" w:hAnsi="Times New Roman" w:cs="Times New Roman"/>
        </w:rPr>
        <w:t xml:space="preserve">[3] A. V. </w:t>
      </w:r>
      <w:proofErr w:type="spellStart"/>
      <w:r w:rsidRPr="00C11787">
        <w:rPr>
          <w:rFonts w:ascii="Times New Roman" w:hAnsi="Times New Roman" w:cs="Times New Roman"/>
        </w:rPr>
        <w:t>Panchbhai</w:t>
      </w:r>
      <w:proofErr w:type="spellEnd"/>
      <w:r w:rsidRPr="00C11787">
        <w:rPr>
          <w:rFonts w:ascii="Times New Roman" w:hAnsi="Times New Roman" w:cs="Times New Roman"/>
        </w:rPr>
        <w:t xml:space="preserve"> et al., "Residential Electric Vehicle Charging Station Using the Internet of Things," in 2023 Int. Conf. on Power Energy, Environment &amp; Intelligent Control (PEEIC), 2024, pp. 1-6.</w:t>
      </w:r>
    </w:p>
    <w:p w14:paraId="2CC5E0D2" w14:textId="77777777" w:rsidR="00C11787" w:rsidRPr="00C11787" w:rsidRDefault="00C11787" w:rsidP="00C11787">
      <w:pPr>
        <w:spacing w:line="360" w:lineRule="auto"/>
        <w:ind w:left="-1080" w:right="-1080"/>
        <w:jc w:val="both"/>
        <w:rPr>
          <w:rFonts w:ascii="Times New Roman" w:hAnsi="Times New Roman" w:cs="Times New Roman"/>
        </w:rPr>
      </w:pPr>
      <w:r w:rsidRPr="00C11787">
        <w:rPr>
          <w:rFonts w:ascii="Times New Roman" w:hAnsi="Times New Roman" w:cs="Times New Roman"/>
        </w:rPr>
        <w:t>[4] S. Arulmozhi et al., "IoT enabled E-Vehicle Charging System with Battery Monitoring and Charge Scheduling," in 2023 First Int. Conf. on Cyber Physical Systems, Power Electronics and Electric Vehicles (ICPEEV), 2024, pp. 1-6.</w:t>
      </w:r>
    </w:p>
    <w:p w14:paraId="6B0919AF" w14:textId="77777777" w:rsidR="00C11787" w:rsidRPr="00C11787" w:rsidRDefault="00C11787" w:rsidP="00C11787">
      <w:pPr>
        <w:spacing w:line="360" w:lineRule="auto"/>
        <w:ind w:left="-1080" w:right="-1080"/>
        <w:jc w:val="both"/>
        <w:rPr>
          <w:rFonts w:ascii="Times New Roman" w:hAnsi="Times New Roman" w:cs="Times New Roman"/>
        </w:rPr>
      </w:pPr>
      <w:r w:rsidRPr="00C11787">
        <w:rPr>
          <w:rFonts w:ascii="Times New Roman" w:hAnsi="Times New Roman" w:cs="Times New Roman"/>
        </w:rPr>
        <w:t>[5] T.-Y. Ku, W.-K. Park, and H. Choi, "ESS Simulation based on PV Generation Prediction," in 2018 Int. Conf. on Information and Communication Technology Convergence (ICTC), 2018, pp. 1-3.</w:t>
      </w:r>
    </w:p>
    <w:p w14:paraId="335A5B63" w14:textId="77777777" w:rsidR="00C11787" w:rsidRPr="00C11787" w:rsidRDefault="00C11787" w:rsidP="00C11787">
      <w:pPr>
        <w:spacing w:line="360" w:lineRule="auto"/>
        <w:ind w:left="-1080" w:right="-1080"/>
        <w:jc w:val="both"/>
        <w:rPr>
          <w:rFonts w:ascii="Times New Roman" w:hAnsi="Times New Roman" w:cs="Times New Roman"/>
        </w:rPr>
      </w:pPr>
      <w:r w:rsidRPr="00C11787">
        <w:rPr>
          <w:rFonts w:ascii="Times New Roman" w:hAnsi="Times New Roman" w:cs="Times New Roman"/>
        </w:rPr>
        <w:t>[6] A. Ahmed, S. Abdelkader, and E. Ayman, "IoT-based optimization of microgrid operation," in 2023 24th Int. Middle East Power System Conf. (MEPCON), 2024, pp. 1-6.</w:t>
      </w:r>
    </w:p>
    <w:p w14:paraId="7D4ECB41" w14:textId="77777777" w:rsidR="00C11787" w:rsidRPr="00C11787" w:rsidRDefault="00C11787" w:rsidP="00C11787">
      <w:pPr>
        <w:spacing w:line="360" w:lineRule="auto"/>
        <w:ind w:left="-1080" w:right="-1080"/>
        <w:jc w:val="both"/>
        <w:rPr>
          <w:rFonts w:ascii="Times New Roman" w:hAnsi="Times New Roman" w:cs="Times New Roman"/>
        </w:rPr>
      </w:pPr>
      <w:r w:rsidRPr="00C11787">
        <w:rPr>
          <w:rFonts w:ascii="Times New Roman" w:hAnsi="Times New Roman" w:cs="Times New Roman"/>
        </w:rPr>
        <w:t>[7] G. Y. Odongo et al., "An Efficient LoRa-Enabled Smart Fault Detection and Monitoring Platform for the Power Distribution System Using Self-Powered IoT Devices," IEEE Access, vol. 10, pp. 1-1, 2022.</w:t>
      </w:r>
    </w:p>
    <w:p w14:paraId="542B2743" w14:textId="77777777" w:rsidR="00C11787" w:rsidRPr="00C11787" w:rsidRDefault="00C11787" w:rsidP="00C11787">
      <w:pPr>
        <w:spacing w:line="360" w:lineRule="auto"/>
        <w:ind w:left="-1080" w:right="-1080"/>
        <w:jc w:val="both"/>
        <w:rPr>
          <w:rFonts w:ascii="Times New Roman" w:hAnsi="Times New Roman" w:cs="Times New Roman"/>
        </w:rPr>
      </w:pPr>
      <w:r w:rsidRPr="00C11787">
        <w:rPr>
          <w:rFonts w:ascii="Times New Roman" w:hAnsi="Times New Roman" w:cs="Times New Roman"/>
        </w:rPr>
        <w:t>[8] I. Hafidz et al., "Development of IoT-Based Portable Power Quality Monitoring on Microgrids by Enhancing Protection Features," IEEE Access, vol. 11, pp. 1-1, 2023.</w:t>
      </w:r>
    </w:p>
    <w:p w14:paraId="66A09E93" w14:textId="77777777" w:rsidR="00C11787" w:rsidRPr="00C11787" w:rsidRDefault="00C11787" w:rsidP="00C11787">
      <w:pPr>
        <w:spacing w:line="360" w:lineRule="auto"/>
        <w:ind w:left="-1080" w:right="-1080"/>
        <w:jc w:val="both"/>
        <w:rPr>
          <w:rFonts w:ascii="Times New Roman" w:hAnsi="Times New Roman" w:cs="Times New Roman"/>
        </w:rPr>
      </w:pPr>
      <w:r w:rsidRPr="00C11787">
        <w:rPr>
          <w:rFonts w:ascii="Times New Roman" w:hAnsi="Times New Roman" w:cs="Times New Roman"/>
        </w:rPr>
        <w:t>[9] D. Zheng, F. Wen, and J. Huang, "Optimal planning of battery swap stations," in Int. Conf. on Sustainable Power Generation and Supply (SUPERGEN 2012), 2013, pp. 1-6.</w:t>
      </w:r>
    </w:p>
    <w:p w14:paraId="31652A9E" w14:textId="77777777" w:rsidR="00C11787" w:rsidRPr="00C11787" w:rsidRDefault="00C11787" w:rsidP="00C11787">
      <w:pPr>
        <w:spacing w:line="360" w:lineRule="auto"/>
        <w:ind w:left="-1080" w:right="-1080"/>
        <w:jc w:val="both"/>
        <w:rPr>
          <w:rFonts w:ascii="Times New Roman" w:hAnsi="Times New Roman" w:cs="Times New Roman"/>
        </w:rPr>
      </w:pPr>
      <w:r w:rsidRPr="00C11787">
        <w:rPr>
          <w:rFonts w:ascii="Times New Roman" w:hAnsi="Times New Roman" w:cs="Times New Roman"/>
        </w:rPr>
        <w:t>[10] B. Bairwa et al., "Battery Swapping Mobile Service Station for Electric Vehicles Application," in 2021 Second Int. Conf. on Smart Technologies in Computing, Electrical and Electronics (ICSTCEE), 2022, pp. 1-6.</w:t>
      </w:r>
    </w:p>
    <w:p w14:paraId="2D824CA0" w14:textId="77777777" w:rsidR="00C11787" w:rsidRPr="00C11787" w:rsidRDefault="00C11787" w:rsidP="00C11787">
      <w:pPr>
        <w:spacing w:line="360" w:lineRule="auto"/>
        <w:ind w:left="-1080" w:right="-1080"/>
        <w:jc w:val="both"/>
        <w:rPr>
          <w:rFonts w:ascii="Times New Roman" w:hAnsi="Times New Roman" w:cs="Times New Roman"/>
        </w:rPr>
      </w:pPr>
      <w:r w:rsidRPr="00C11787">
        <w:rPr>
          <w:rFonts w:ascii="Times New Roman" w:hAnsi="Times New Roman" w:cs="Times New Roman"/>
        </w:rPr>
        <w:t>[11] X. Zhang and G. Wang, "Optimal dispatch of electric vehicle batteries between battery swapping stations and charging stations," in 2016 IEEE Power and Energy Society General Meeting (PESGM), 2016, pp. 1-5.</w:t>
      </w:r>
    </w:p>
    <w:p w14:paraId="0C8B33BB" w14:textId="77777777" w:rsidR="00C11787" w:rsidRPr="00C11787" w:rsidRDefault="00C11787" w:rsidP="00C11787">
      <w:pPr>
        <w:spacing w:line="360" w:lineRule="auto"/>
        <w:ind w:left="-1080" w:right="-1080"/>
        <w:jc w:val="both"/>
        <w:rPr>
          <w:rFonts w:ascii="Times New Roman" w:hAnsi="Times New Roman" w:cs="Times New Roman"/>
        </w:rPr>
      </w:pPr>
      <w:r w:rsidRPr="00C11787">
        <w:rPr>
          <w:rFonts w:ascii="Times New Roman" w:hAnsi="Times New Roman" w:cs="Times New Roman"/>
        </w:rPr>
        <w:t>[12] C.-T. Chiang and L.-Y. Chien, "A Pitaya Dye-Sensitized Solar Cell Monitor for Environmental Sunlight Intensity Detection," IEEE Sensors J., vol. 19, no. 11, pp. 1-1, 2019.</w:t>
      </w:r>
    </w:p>
    <w:p w14:paraId="2F2D4F5F" w14:textId="77777777" w:rsidR="00C11787" w:rsidRPr="00C11787" w:rsidRDefault="00C11787" w:rsidP="00C11787">
      <w:pPr>
        <w:spacing w:line="360" w:lineRule="auto"/>
        <w:ind w:left="-1080" w:right="-1080"/>
        <w:jc w:val="both"/>
        <w:rPr>
          <w:rFonts w:ascii="Times New Roman" w:hAnsi="Times New Roman" w:cs="Times New Roman"/>
        </w:rPr>
      </w:pPr>
      <w:r w:rsidRPr="00C11787">
        <w:rPr>
          <w:rFonts w:ascii="Times New Roman" w:hAnsi="Times New Roman" w:cs="Times New Roman"/>
        </w:rPr>
        <w:t xml:space="preserve">[13] S. K. Ram et al., "Eternal-Thing: A Secure Aging-Aware Solar-Energy Harvester Thing for Sustainable IoT," IEEE Trans. Sustain. </w:t>
      </w:r>
      <w:proofErr w:type="spellStart"/>
      <w:r w:rsidRPr="00C11787">
        <w:rPr>
          <w:rFonts w:ascii="Times New Roman" w:hAnsi="Times New Roman" w:cs="Times New Roman"/>
        </w:rPr>
        <w:t>Comput</w:t>
      </w:r>
      <w:proofErr w:type="spellEnd"/>
      <w:r w:rsidRPr="00C11787">
        <w:rPr>
          <w:rFonts w:ascii="Times New Roman" w:hAnsi="Times New Roman" w:cs="Times New Roman"/>
        </w:rPr>
        <w:t>., vol. 6, no. 2, pp. 1-1, 2020.</w:t>
      </w:r>
    </w:p>
    <w:p w14:paraId="19950AFF" w14:textId="28620BE1" w:rsidR="00C11787" w:rsidRPr="00C11787" w:rsidRDefault="00C11787" w:rsidP="00C11787">
      <w:pPr>
        <w:spacing w:line="360" w:lineRule="auto"/>
        <w:ind w:left="-1080" w:right="-1080"/>
        <w:jc w:val="both"/>
        <w:rPr>
          <w:rFonts w:ascii="Times New Roman" w:hAnsi="Times New Roman" w:cs="Times New Roman"/>
        </w:rPr>
      </w:pPr>
      <w:r w:rsidRPr="00C11787">
        <w:rPr>
          <w:rFonts w:ascii="Times New Roman" w:hAnsi="Times New Roman" w:cs="Times New Roman"/>
        </w:rPr>
        <w:lastRenderedPageBreak/>
        <w:t>[14] J.-A. Jiang et al., "A Novel Sensor Placement Strategy for an IoT-Based Power Grid Monitoring System," IEEE Internet Things J., vol. 7, no. 8, pp. 1-1, 2020.</w:t>
      </w:r>
    </w:p>
    <w:p w14:paraId="05D38F57" w14:textId="77777777" w:rsidR="00C11787" w:rsidRPr="00C11787" w:rsidRDefault="00C11787" w:rsidP="00C11787">
      <w:pPr>
        <w:spacing w:line="360" w:lineRule="auto"/>
        <w:ind w:left="-1080" w:right="-1080"/>
        <w:jc w:val="both"/>
        <w:rPr>
          <w:rFonts w:ascii="Times New Roman" w:hAnsi="Times New Roman" w:cs="Times New Roman"/>
        </w:rPr>
      </w:pPr>
      <w:r w:rsidRPr="00C11787">
        <w:rPr>
          <w:rFonts w:ascii="Times New Roman" w:hAnsi="Times New Roman" w:cs="Times New Roman"/>
        </w:rPr>
        <w:t>[15] E. A. Sanabria-Torres et al., "State-of-Charge Equalizations Comparison in a Multi-prosumer Environment Based on Real-Time Energy Management Systems with IoT-Support," in 2023 IEEE Applied Power Electronics Conf. and Exposition (APEC), 2023, pp. 1-6.</w:t>
      </w:r>
    </w:p>
    <w:p w14:paraId="37D5C1F1" w14:textId="77777777" w:rsidR="00C11787" w:rsidRPr="00C11787" w:rsidRDefault="00C11787" w:rsidP="00C11787">
      <w:pPr>
        <w:spacing w:line="360" w:lineRule="auto"/>
        <w:ind w:left="-1080" w:right="-1080"/>
        <w:jc w:val="both"/>
        <w:rPr>
          <w:rFonts w:ascii="Times New Roman" w:hAnsi="Times New Roman" w:cs="Times New Roman"/>
        </w:rPr>
      </w:pPr>
      <w:r w:rsidRPr="00C11787">
        <w:rPr>
          <w:rFonts w:ascii="Times New Roman" w:hAnsi="Times New Roman" w:cs="Times New Roman"/>
        </w:rPr>
        <w:t>[16] S. K. Tripathi et al., "IoT Based Electrical Vehicle Battery Management System with Charge Monitor and Fire Protection," in 2024 3rd Int. Conf. on Power Electronics and IoT Applications in Renewable Energy and its Control (PARC), 2024, pp. 1-6.</w:t>
      </w:r>
    </w:p>
    <w:p w14:paraId="668D8A3D" w14:textId="77777777" w:rsidR="00C11787" w:rsidRPr="00C11787" w:rsidRDefault="00C11787" w:rsidP="00C11787">
      <w:pPr>
        <w:spacing w:line="360" w:lineRule="auto"/>
        <w:ind w:left="-1080" w:right="-1080"/>
        <w:jc w:val="both"/>
        <w:rPr>
          <w:rFonts w:ascii="Times New Roman" w:hAnsi="Times New Roman" w:cs="Times New Roman"/>
        </w:rPr>
      </w:pPr>
      <w:r w:rsidRPr="00C11787">
        <w:rPr>
          <w:rFonts w:ascii="Times New Roman" w:hAnsi="Times New Roman" w:cs="Times New Roman"/>
        </w:rPr>
        <w:t>[17] Mersin, Türkiye, "An IoT-based Power Management System for EV Chargers," in 6th Advanced Engineering Days (AED), 2023, pp. 1-6.</w:t>
      </w:r>
    </w:p>
    <w:p w14:paraId="32E08DB8" w14:textId="77777777" w:rsidR="00C11787" w:rsidRPr="00C11787" w:rsidRDefault="00C11787" w:rsidP="00C11787">
      <w:pPr>
        <w:spacing w:line="360" w:lineRule="auto"/>
        <w:ind w:left="-1080" w:right="-1080"/>
        <w:jc w:val="both"/>
        <w:rPr>
          <w:rFonts w:ascii="Times New Roman" w:hAnsi="Times New Roman" w:cs="Times New Roman"/>
        </w:rPr>
      </w:pPr>
      <w:r w:rsidRPr="00C11787">
        <w:rPr>
          <w:rFonts w:ascii="Times New Roman" w:hAnsi="Times New Roman" w:cs="Times New Roman"/>
        </w:rPr>
        <w:t>[18] J. Jiang et al., "Technologies, Architectures, Applications, Prototypes, and Future Research Directions," IEEE Access, vol. 7, pp. 1-1, 2019.</w:t>
      </w:r>
    </w:p>
    <w:p w14:paraId="66FDF3F8" w14:textId="77777777" w:rsidR="00C11787" w:rsidRPr="00C11787" w:rsidRDefault="00C11787" w:rsidP="00C11787">
      <w:pPr>
        <w:spacing w:line="360" w:lineRule="auto"/>
        <w:ind w:left="-1080" w:right="-1080"/>
        <w:jc w:val="both"/>
        <w:rPr>
          <w:rFonts w:ascii="Times New Roman" w:hAnsi="Times New Roman" w:cs="Times New Roman"/>
        </w:rPr>
      </w:pPr>
      <w:r w:rsidRPr="00C11787">
        <w:rPr>
          <w:rFonts w:ascii="Times New Roman" w:hAnsi="Times New Roman" w:cs="Times New Roman"/>
        </w:rPr>
        <w:t xml:space="preserve">[19] A. A. Khan et al., "Design of an Industrial IoT-Based Monitoring System for Power Substations," IEEE Trans. Ind. </w:t>
      </w:r>
      <w:proofErr w:type="spellStart"/>
      <w:r w:rsidRPr="00C11787">
        <w:rPr>
          <w:rFonts w:ascii="Times New Roman" w:hAnsi="Times New Roman" w:cs="Times New Roman"/>
        </w:rPr>
        <w:t>Informat</w:t>
      </w:r>
      <w:proofErr w:type="spellEnd"/>
      <w:r w:rsidRPr="00C11787">
        <w:rPr>
          <w:rFonts w:ascii="Times New Roman" w:hAnsi="Times New Roman" w:cs="Times New Roman"/>
        </w:rPr>
        <w:t>., vol. 15, no. 1, pp. 1-1, 2019.</w:t>
      </w:r>
    </w:p>
    <w:p w14:paraId="1044FCBD" w14:textId="77777777" w:rsidR="00C11787" w:rsidRPr="00C11787" w:rsidRDefault="00C11787" w:rsidP="00C11787">
      <w:pPr>
        <w:spacing w:line="360" w:lineRule="auto"/>
        <w:ind w:left="-1080" w:right="-1080"/>
        <w:jc w:val="both"/>
        <w:rPr>
          <w:rFonts w:ascii="Times New Roman" w:hAnsi="Times New Roman" w:cs="Times New Roman"/>
        </w:rPr>
      </w:pPr>
      <w:r w:rsidRPr="00C11787">
        <w:rPr>
          <w:rFonts w:ascii="Times New Roman" w:hAnsi="Times New Roman" w:cs="Times New Roman"/>
        </w:rPr>
        <w:t>[20] S. K. Tripathi et al., "Intelligent IOT-based BMS for Integrated Solar with AC grid Fast Charging Systems in Electric Vehicles," in 2024 3rd Int. Conf. on Power Electronics and IoT Applications in Renewable Energy and its Control (PARC), 2024, pp. 1-6.</w:t>
      </w:r>
    </w:p>
    <w:p w14:paraId="4B32366F" w14:textId="77777777" w:rsidR="00C11787" w:rsidRPr="00C11787" w:rsidRDefault="00C11787" w:rsidP="00C11787">
      <w:pPr>
        <w:spacing w:line="360" w:lineRule="auto"/>
        <w:ind w:left="-1080" w:right="-1080"/>
        <w:jc w:val="both"/>
        <w:rPr>
          <w:rFonts w:ascii="Times New Roman" w:hAnsi="Times New Roman" w:cs="Times New Roman"/>
        </w:rPr>
      </w:pPr>
      <w:r w:rsidRPr="00C11787">
        <w:rPr>
          <w:rFonts w:ascii="Times New Roman" w:hAnsi="Times New Roman" w:cs="Times New Roman"/>
        </w:rPr>
        <w:t>[21] D. Zheng, F. Wen, and J. Huang, "Location Decision of Battery Swapping Stations Combined with Battery Swapping Warehouses," in Int. Conf. on Sustainable Power Generation and Supply (SUPERGEN 2012), 2013, pp. 1-6.</w:t>
      </w:r>
    </w:p>
    <w:p w14:paraId="3C3386A7" w14:textId="77777777" w:rsidR="00C11787" w:rsidRPr="00C11787" w:rsidRDefault="00C11787" w:rsidP="00C11787">
      <w:pPr>
        <w:spacing w:line="360" w:lineRule="auto"/>
        <w:ind w:left="-1080" w:right="-1080"/>
        <w:jc w:val="both"/>
        <w:rPr>
          <w:rFonts w:ascii="Times New Roman" w:hAnsi="Times New Roman" w:cs="Times New Roman"/>
        </w:rPr>
      </w:pPr>
      <w:r w:rsidRPr="00C11787">
        <w:rPr>
          <w:rFonts w:ascii="Times New Roman" w:hAnsi="Times New Roman" w:cs="Times New Roman"/>
        </w:rPr>
        <w:t>[22] X. Zhang and G. Wang, "Combining data centers with electric vehicle battery swapping stations for grid regulation," in 2016 IEEE Power and Energy Society General Meeting (PESGM), 2016, pp. 1-5.</w:t>
      </w:r>
    </w:p>
    <w:p w14:paraId="602B9B65" w14:textId="77777777" w:rsidR="00C11787" w:rsidRPr="00C11787" w:rsidRDefault="00C11787" w:rsidP="00C11787">
      <w:pPr>
        <w:spacing w:line="360" w:lineRule="auto"/>
        <w:ind w:left="-1080" w:right="-1080"/>
        <w:jc w:val="both"/>
        <w:rPr>
          <w:rFonts w:ascii="Times New Roman" w:hAnsi="Times New Roman" w:cs="Times New Roman"/>
        </w:rPr>
      </w:pPr>
      <w:r w:rsidRPr="00C11787">
        <w:rPr>
          <w:rFonts w:ascii="Times New Roman" w:hAnsi="Times New Roman" w:cs="Times New Roman"/>
        </w:rPr>
        <w:t>[23] S. K. Tripathi et al., "Integration of Battery Swapping Station into Microgrid: A Review," in 2024 3rd Int. Conf. on Power Electronics and IoT Applications in Renewable Energy and its Control (PARC), 2024, pp. 1-6.</w:t>
      </w:r>
    </w:p>
    <w:p w14:paraId="78BABFE6" w14:textId="77777777" w:rsidR="00C11787" w:rsidRPr="00C11787" w:rsidRDefault="00C11787" w:rsidP="00C11787">
      <w:pPr>
        <w:spacing w:line="360" w:lineRule="auto"/>
        <w:ind w:left="-1080" w:right="-1080"/>
        <w:jc w:val="both"/>
        <w:rPr>
          <w:rFonts w:ascii="Times New Roman" w:hAnsi="Times New Roman" w:cs="Times New Roman"/>
        </w:rPr>
      </w:pPr>
      <w:r w:rsidRPr="00C11787">
        <w:rPr>
          <w:rFonts w:ascii="Times New Roman" w:hAnsi="Times New Roman" w:cs="Times New Roman"/>
        </w:rPr>
        <w:t>[24] A. Author, "Machine Learning-Based Method for Remaining Range Prediction of Electric Vehicles," in 2020 IEEE Vehicle Power and Propulsion Conf. (VPPC), 2020, pp. 1-6.</w:t>
      </w:r>
    </w:p>
    <w:p w14:paraId="2DBB8402" w14:textId="77777777" w:rsidR="00C11787" w:rsidRPr="00C11787" w:rsidRDefault="00C11787" w:rsidP="00C11787">
      <w:pPr>
        <w:spacing w:line="360" w:lineRule="auto"/>
        <w:ind w:left="-1080" w:right="-1080"/>
        <w:jc w:val="both"/>
        <w:rPr>
          <w:rFonts w:ascii="Times New Roman" w:hAnsi="Times New Roman" w:cs="Times New Roman"/>
        </w:rPr>
      </w:pPr>
      <w:r w:rsidRPr="00C11787">
        <w:rPr>
          <w:rFonts w:ascii="Times New Roman" w:hAnsi="Times New Roman" w:cs="Times New Roman"/>
        </w:rPr>
        <w:t>[25] A. Author, "Prediction of EV Charging Behavior Using Machine Learning," in 2021 IEEE Transportation Electrification Conf. &amp; Expo (ITEC), 2021, pp. 1-6.</w:t>
      </w:r>
    </w:p>
    <w:p w14:paraId="329E9380" w14:textId="77777777" w:rsidR="00C11787" w:rsidRPr="00C11787" w:rsidRDefault="00C11787" w:rsidP="00C11787">
      <w:pPr>
        <w:spacing w:line="360" w:lineRule="auto"/>
        <w:ind w:left="-1080" w:right="-1080"/>
        <w:jc w:val="both"/>
        <w:rPr>
          <w:rFonts w:ascii="Times New Roman" w:hAnsi="Times New Roman" w:cs="Times New Roman"/>
        </w:rPr>
      </w:pPr>
      <w:r w:rsidRPr="00C11787">
        <w:rPr>
          <w:rFonts w:ascii="Times New Roman" w:hAnsi="Times New Roman" w:cs="Times New Roman"/>
        </w:rPr>
        <w:t>[26] A. Author, "Reinforcement Learning Based EV Charging Management Systems: A Review," in 2022 IEEE Power &amp; Energy Society Innovative Smart Grid Technologies Conf. (ISGT), 2022, pp. 1-6.</w:t>
      </w:r>
    </w:p>
    <w:p w14:paraId="0FD44E4E" w14:textId="35C14519" w:rsidR="00C11787" w:rsidRDefault="00C11787" w:rsidP="00C11787">
      <w:pPr>
        <w:spacing w:line="360" w:lineRule="auto"/>
        <w:ind w:left="-1080" w:right="-1080"/>
        <w:jc w:val="both"/>
        <w:rPr>
          <w:rFonts w:ascii="Times New Roman" w:hAnsi="Times New Roman" w:cs="Times New Roman"/>
        </w:rPr>
      </w:pPr>
      <w:r w:rsidRPr="00C11787">
        <w:rPr>
          <w:rFonts w:ascii="Times New Roman" w:hAnsi="Times New Roman" w:cs="Times New Roman"/>
        </w:rPr>
        <w:t>[27] J. Smith et al., "IoT-Aided Smart Grid: A Comprehensive Review of Technologies and Architectures," IEEE Trans. Smart Grid, vol. 10, no. 3, pp. 1-1, 2019.</w:t>
      </w:r>
    </w:p>
    <w:p w14:paraId="6ED0546E" w14:textId="77777777" w:rsidR="00C11787" w:rsidRPr="001B4A93" w:rsidRDefault="00C11787" w:rsidP="0018491C">
      <w:pPr>
        <w:spacing w:line="360" w:lineRule="auto"/>
        <w:ind w:left="-1080" w:right="-1080"/>
        <w:jc w:val="both"/>
        <w:rPr>
          <w:rFonts w:ascii="Times New Roman" w:hAnsi="Times New Roman" w:cs="Times New Roman"/>
        </w:rPr>
      </w:pPr>
    </w:p>
    <w:sectPr w:rsidR="00C11787" w:rsidRPr="001B4A93" w:rsidSect="003B23E6">
      <w:pgSz w:w="11906" w:h="16838" w:code="9"/>
      <w:pgMar w:top="360" w:right="144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B92684"/>
    <w:multiLevelType w:val="hybridMultilevel"/>
    <w:tmpl w:val="F87A07F0"/>
    <w:lvl w:ilvl="0" w:tplc="357C4658">
      <w:start w:val="1"/>
      <w:numFmt w:val="upperRoman"/>
      <w:lvlText w:val="%1."/>
      <w:lvlJc w:val="left"/>
      <w:pPr>
        <w:ind w:left="-360" w:hanging="72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num w:numId="1" w16cid:durableId="1697727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8EB"/>
    <w:rsid w:val="000239B2"/>
    <w:rsid w:val="00033E63"/>
    <w:rsid w:val="0005112D"/>
    <w:rsid w:val="000979C5"/>
    <w:rsid w:val="001033AE"/>
    <w:rsid w:val="0014064B"/>
    <w:rsid w:val="00173D69"/>
    <w:rsid w:val="0018491C"/>
    <w:rsid w:val="001B4A93"/>
    <w:rsid w:val="001D0EBB"/>
    <w:rsid w:val="001D1C22"/>
    <w:rsid w:val="001D2C6C"/>
    <w:rsid w:val="002A1C85"/>
    <w:rsid w:val="002D5730"/>
    <w:rsid w:val="002E2BB8"/>
    <w:rsid w:val="002F47D2"/>
    <w:rsid w:val="00323F9F"/>
    <w:rsid w:val="0034656E"/>
    <w:rsid w:val="00355AAE"/>
    <w:rsid w:val="00374B02"/>
    <w:rsid w:val="0038139B"/>
    <w:rsid w:val="003830F7"/>
    <w:rsid w:val="003A3A2A"/>
    <w:rsid w:val="003B23E6"/>
    <w:rsid w:val="003B3700"/>
    <w:rsid w:val="003B6FE6"/>
    <w:rsid w:val="003C5A38"/>
    <w:rsid w:val="003D5EEA"/>
    <w:rsid w:val="003E2B1B"/>
    <w:rsid w:val="00426A3B"/>
    <w:rsid w:val="004448B6"/>
    <w:rsid w:val="004448E6"/>
    <w:rsid w:val="00464EA0"/>
    <w:rsid w:val="00471849"/>
    <w:rsid w:val="00475DDA"/>
    <w:rsid w:val="004C66EC"/>
    <w:rsid w:val="004F2A74"/>
    <w:rsid w:val="00536EF9"/>
    <w:rsid w:val="00543716"/>
    <w:rsid w:val="0055700F"/>
    <w:rsid w:val="00575B41"/>
    <w:rsid w:val="00586B4D"/>
    <w:rsid w:val="0058756A"/>
    <w:rsid w:val="005C0801"/>
    <w:rsid w:val="005C7D0E"/>
    <w:rsid w:val="00635343"/>
    <w:rsid w:val="006403A3"/>
    <w:rsid w:val="0067370B"/>
    <w:rsid w:val="006935B2"/>
    <w:rsid w:val="007026AF"/>
    <w:rsid w:val="0070767B"/>
    <w:rsid w:val="00723BFA"/>
    <w:rsid w:val="007514AB"/>
    <w:rsid w:val="007520BB"/>
    <w:rsid w:val="00773B96"/>
    <w:rsid w:val="007B3E6F"/>
    <w:rsid w:val="007B41A5"/>
    <w:rsid w:val="007D2388"/>
    <w:rsid w:val="00802962"/>
    <w:rsid w:val="0082174B"/>
    <w:rsid w:val="00821E15"/>
    <w:rsid w:val="00863C8C"/>
    <w:rsid w:val="008C3184"/>
    <w:rsid w:val="008C4555"/>
    <w:rsid w:val="009029CF"/>
    <w:rsid w:val="00911BA8"/>
    <w:rsid w:val="009210B0"/>
    <w:rsid w:val="009227EF"/>
    <w:rsid w:val="00970DFE"/>
    <w:rsid w:val="00984960"/>
    <w:rsid w:val="009A3BED"/>
    <w:rsid w:val="009B7182"/>
    <w:rsid w:val="009D2BC2"/>
    <w:rsid w:val="009F73E9"/>
    <w:rsid w:val="00A2672D"/>
    <w:rsid w:val="00A3475A"/>
    <w:rsid w:val="00A35A1B"/>
    <w:rsid w:val="00A82560"/>
    <w:rsid w:val="00AA06F9"/>
    <w:rsid w:val="00AB14E5"/>
    <w:rsid w:val="00AC458A"/>
    <w:rsid w:val="00AC7EA3"/>
    <w:rsid w:val="00AF4946"/>
    <w:rsid w:val="00B111EF"/>
    <w:rsid w:val="00B640B6"/>
    <w:rsid w:val="00B66B86"/>
    <w:rsid w:val="00B8322D"/>
    <w:rsid w:val="00B8520D"/>
    <w:rsid w:val="00BD59D1"/>
    <w:rsid w:val="00BD78A1"/>
    <w:rsid w:val="00C11787"/>
    <w:rsid w:val="00C33A74"/>
    <w:rsid w:val="00C577E2"/>
    <w:rsid w:val="00C57DFD"/>
    <w:rsid w:val="00C7524D"/>
    <w:rsid w:val="00C95C00"/>
    <w:rsid w:val="00CA644F"/>
    <w:rsid w:val="00CB0602"/>
    <w:rsid w:val="00CC5284"/>
    <w:rsid w:val="00CD79F7"/>
    <w:rsid w:val="00CE1EAB"/>
    <w:rsid w:val="00CF4533"/>
    <w:rsid w:val="00D04B27"/>
    <w:rsid w:val="00D133F4"/>
    <w:rsid w:val="00D548EB"/>
    <w:rsid w:val="00D60577"/>
    <w:rsid w:val="00D7364A"/>
    <w:rsid w:val="00DB1954"/>
    <w:rsid w:val="00DC4216"/>
    <w:rsid w:val="00E42D77"/>
    <w:rsid w:val="00E5342A"/>
    <w:rsid w:val="00E652BA"/>
    <w:rsid w:val="00E756B3"/>
    <w:rsid w:val="00E868F3"/>
    <w:rsid w:val="00EB53E7"/>
    <w:rsid w:val="00EB6C2C"/>
    <w:rsid w:val="00EE2676"/>
    <w:rsid w:val="00EE5E58"/>
    <w:rsid w:val="00F276EC"/>
    <w:rsid w:val="00F66485"/>
    <w:rsid w:val="00F704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C942C"/>
  <w15:chartTrackingRefBased/>
  <w15:docId w15:val="{767B295E-5E32-4196-A16A-14D19533B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48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48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48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48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48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48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8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8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8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8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48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48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48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48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48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8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8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8EB"/>
    <w:rPr>
      <w:rFonts w:eastAsiaTheme="majorEastAsia" w:cstheme="majorBidi"/>
      <w:color w:val="272727" w:themeColor="text1" w:themeTint="D8"/>
    </w:rPr>
  </w:style>
  <w:style w:type="paragraph" w:styleId="Title">
    <w:name w:val="Title"/>
    <w:basedOn w:val="Normal"/>
    <w:next w:val="Normal"/>
    <w:link w:val="TitleChar"/>
    <w:uiPriority w:val="10"/>
    <w:qFormat/>
    <w:rsid w:val="00D548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8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8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8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8EB"/>
    <w:pPr>
      <w:spacing w:before="160"/>
      <w:jc w:val="center"/>
    </w:pPr>
    <w:rPr>
      <w:i/>
      <w:iCs/>
      <w:color w:val="404040" w:themeColor="text1" w:themeTint="BF"/>
    </w:rPr>
  </w:style>
  <w:style w:type="character" w:customStyle="1" w:styleId="QuoteChar">
    <w:name w:val="Quote Char"/>
    <w:basedOn w:val="DefaultParagraphFont"/>
    <w:link w:val="Quote"/>
    <w:uiPriority w:val="29"/>
    <w:rsid w:val="00D548EB"/>
    <w:rPr>
      <w:i/>
      <w:iCs/>
      <w:color w:val="404040" w:themeColor="text1" w:themeTint="BF"/>
    </w:rPr>
  </w:style>
  <w:style w:type="paragraph" w:styleId="ListParagraph">
    <w:name w:val="List Paragraph"/>
    <w:basedOn w:val="Normal"/>
    <w:uiPriority w:val="34"/>
    <w:qFormat/>
    <w:rsid w:val="00D548EB"/>
    <w:pPr>
      <w:ind w:left="720"/>
      <w:contextualSpacing/>
    </w:pPr>
  </w:style>
  <w:style w:type="character" w:styleId="IntenseEmphasis">
    <w:name w:val="Intense Emphasis"/>
    <w:basedOn w:val="DefaultParagraphFont"/>
    <w:uiPriority w:val="21"/>
    <w:qFormat/>
    <w:rsid w:val="00D548EB"/>
    <w:rPr>
      <w:i/>
      <w:iCs/>
      <w:color w:val="0F4761" w:themeColor="accent1" w:themeShade="BF"/>
    </w:rPr>
  </w:style>
  <w:style w:type="paragraph" w:styleId="IntenseQuote">
    <w:name w:val="Intense Quote"/>
    <w:basedOn w:val="Normal"/>
    <w:next w:val="Normal"/>
    <w:link w:val="IntenseQuoteChar"/>
    <w:uiPriority w:val="30"/>
    <w:qFormat/>
    <w:rsid w:val="00D548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48EB"/>
    <w:rPr>
      <w:i/>
      <w:iCs/>
      <w:color w:val="0F4761" w:themeColor="accent1" w:themeShade="BF"/>
    </w:rPr>
  </w:style>
  <w:style w:type="character" w:styleId="IntenseReference">
    <w:name w:val="Intense Reference"/>
    <w:basedOn w:val="DefaultParagraphFont"/>
    <w:uiPriority w:val="32"/>
    <w:qFormat/>
    <w:rsid w:val="00D548EB"/>
    <w:rPr>
      <w:b/>
      <w:bCs/>
      <w:smallCaps/>
      <w:color w:val="0F4761" w:themeColor="accent1" w:themeShade="BF"/>
      <w:spacing w:val="5"/>
    </w:rPr>
  </w:style>
  <w:style w:type="character" w:styleId="Strong">
    <w:name w:val="Strong"/>
    <w:basedOn w:val="DefaultParagraphFont"/>
    <w:uiPriority w:val="22"/>
    <w:qFormat/>
    <w:rsid w:val="008029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emf"/><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emf"/><Relationship Id="rId5" Type="http://schemas.openxmlformats.org/officeDocument/2006/relationships/image" Target="media/image1.emf"/><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1057</TotalTime>
  <Pages>20</Pages>
  <Words>6672</Words>
  <Characters>40504</Characters>
  <Application>Microsoft Office Word</Application>
  <DocSecurity>0</DocSecurity>
  <Lines>540</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jagadeeswara kamarajugadda | AP23122100002</dc:creator>
  <cp:keywords/>
  <dc:description/>
  <cp:lastModifiedBy>jagadeeswara kamarajugadda | AP23122100002</cp:lastModifiedBy>
  <cp:revision>141</cp:revision>
  <dcterms:created xsi:type="dcterms:W3CDTF">2025-12-06T00:42:00Z</dcterms:created>
  <dcterms:modified xsi:type="dcterms:W3CDTF">2025-12-19T00:44:00Z</dcterms:modified>
</cp:coreProperties>
</file>