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010530" w14:textId="5C8D954F" w:rsidR="00E16B2E" w:rsidRDefault="00E16B2E" w:rsidP="00E16B2E">
      <w:pPr>
        <w:spacing w:after="0" w:line="360" w:lineRule="auto"/>
        <w:ind w:left="-630" w:right="-720"/>
        <w:jc w:val="both"/>
        <w:rPr>
          <w:rFonts w:ascii="Times New Roman" w:hAnsi="Times New Roman" w:cs="Times New Roman"/>
          <w:b/>
          <w:bCs/>
        </w:rPr>
      </w:pPr>
      <w:r>
        <w:rPr>
          <w:rFonts w:ascii="Times New Roman" w:hAnsi="Times New Roman" w:cs="Times New Roman"/>
          <w:b/>
          <w:bCs/>
        </w:rPr>
        <w:t>Chapter – 3</w:t>
      </w:r>
    </w:p>
    <w:p w14:paraId="0D570C4D" w14:textId="21945EAE" w:rsidR="00DD7AE1" w:rsidRPr="00DD7AE1" w:rsidRDefault="00DD7AE1" w:rsidP="00E16B2E">
      <w:pPr>
        <w:spacing w:after="0" w:line="360" w:lineRule="auto"/>
        <w:ind w:left="-630" w:right="-720"/>
        <w:jc w:val="both"/>
        <w:rPr>
          <w:rFonts w:ascii="Times New Roman" w:hAnsi="Times New Roman" w:cs="Times New Roman"/>
          <w:b/>
          <w:bCs/>
        </w:rPr>
      </w:pPr>
      <w:r w:rsidRPr="00DD7AE1">
        <w:rPr>
          <w:rFonts w:ascii="Times New Roman" w:hAnsi="Times New Roman" w:cs="Times New Roman"/>
          <w:b/>
          <w:bCs/>
        </w:rPr>
        <w:t>Literature Review</w:t>
      </w:r>
    </w:p>
    <w:p w14:paraId="7B4EA1CC" w14:textId="77777777" w:rsidR="00656534" w:rsidRDefault="00656534" w:rsidP="002F172C">
      <w:pPr>
        <w:spacing w:line="360" w:lineRule="auto"/>
        <w:ind w:left="-630" w:right="-720"/>
        <w:jc w:val="both"/>
        <w:rPr>
          <w:rFonts w:ascii="Times New Roman" w:hAnsi="Times New Roman" w:cs="Times New Roman"/>
        </w:rPr>
      </w:pPr>
      <w:r w:rsidRPr="008A4DF7">
        <w:rPr>
          <w:rFonts w:ascii="Times New Roman" w:hAnsi="Times New Roman" w:cs="Times New Roman"/>
        </w:rPr>
        <w:t>The rapid proliferation of electric vehicles (EVs) demands advancements in charging infrastructure, energy management, and grid stability. This chapter reviews existing research on IoT-enabled EV charging systems, renewable energy integration, battery swapping, and machine learning applications. By analyzing technological advancements and gaps, this review establishes the foundation for the proposed IoT-based Battery Charging Management System. The literature underscores the need for scalable, multi-source architectures, dynamic automation, and cost-efficient models—key challenges addressed in this project.</w:t>
      </w:r>
    </w:p>
    <w:p w14:paraId="5483E4CC" w14:textId="76F9FC1A" w:rsidR="00FB25F1" w:rsidRPr="00FB25F1" w:rsidRDefault="00FB25F1" w:rsidP="00FB25F1">
      <w:pPr>
        <w:spacing w:line="360" w:lineRule="auto"/>
        <w:ind w:left="-630" w:right="-720"/>
        <w:jc w:val="both"/>
        <w:rPr>
          <w:rFonts w:ascii="Times New Roman" w:hAnsi="Times New Roman" w:cs="Times New Roman"/>
          <w:b/>
          <w:bCs/>
        </w:rPr>
      </w:pPr>
      <w:r w:rsidRPr="00FB25F1">
        <w:rPr>
          <w:rFonts w:ascii="Times New Roman" w:hAnsi="Times New Roman" w:cs="Times New Roman"/>
          <w:b/>
          <w:bCs/>
        </w:rPr>
        <w:t xml:space="preserve">3.1 </w:t>
      </w:r>
      <w:r w:rsidRPr="00FB25F1">
        <w:rPr>
          <w:rFonts w:ascii="Times New Roman" w:hAnsi="Times New Roman" w:cs="Times New Roman"/>
          <w:b/>
          <w:bCs/>
        </w:rPr>
        <w:t>Solar Monitoring and Energy Harvesting</w:t>
      </w:r>
    </w:p>
    <w:p w14:paraId="138F51C4" w14:textId="75B07F63" w:rsidR="00FB25F1" w:rsidRPr="008A4DF7" w:rsidRDefault="00FB25F1" w:rsidP="00FB25F1">
      <w:pPr>
        <w:spacing w:line="360" w:lineRule="auto"/>
        <w:ind w:left="-630" w:right="-720"/>
        <w:jc w:val="both"/>
        <w:rPr>
          <w:rFonts w:ascii="Times New Roman" w:hAnsi="Times New Roman" w:cs="Times New Roman"/>
        </w:rPr>
      </w:pPr>
      <w:r w:rsidRPr="00FB25F1">
        <w:rPr>
          <w:rFonts w:ascii="Times New Roman" w:hAnsi="Times New Roman" w:cs="Times New Roman"/>
        </w:rPr>
        <w:t xml:space="preserve">The integration of solar energy into IoT </w:t>
      </w:r>
      <w:r w:rsidR="0079116E" w:rsidRPr="00FB25F1">
        <w:rPr>
          <w:rFonts w:ascii="Times New Roman" w:hAnsi="Times New Roman" w:cs="Times New Roman"/>
        </w:rPr>
        <w:t>architecture</w:t>
      </w:r>
      <w:r w:rsidRPr="00FB25F1">
        <w:rPr>
          <w:rFonts w:ascii="Times New Roman" w:hAnsi="Times New Roman" w:cs="Times New Roman"/>
        </w:rPr>
        <w:t xml:space="preserve"> demands precise monitoring and robust security frameworks. A Pitaya Dye-Sensitized Solar Cell Monitor for Environmental Sunlight Intensity Detection [1] introduces a novel sensor for real-time solar irradiance tracking, enabling accurate PV generation predictions. This aligns with the project’s reliance on solar energy (56.8% contribution) and underscores the need for adaptive monitoring to optimize energy harvesting. Complementing this, Eternal-Thing: A Secure Aging-Aware Solar-Energy Harvester Thing for Sustainable IoT [2] addresses a critical gap in prior research by merging energy efficiency with cybersecurity. While existing works focus solely on power conditioning (e.g., MPPT, DC-DC converters), this study emphasizes capacitor aging analysis and secure impedance matching, ensuring long-term reliability. The current project adopts these principles by integrating MPPT algorithms and AWS-based encryption, enhancing both energy yield and data security. However, [1] and [2] lack grid synchronization strategies, which the proposed system resolves through automation rules (e.g., Solar → ESS → Grid hierarchy) and cloud-driven analytics.</w:t>
      </w:r>
    </w:p>
    <w:p w14:paraId="6B668216" w14:textId="20441434" w:rsidR="00656534" w:rsidRPr="00F854FB" w:rsidRDefault="00656534" w:rsidP="002F172C">
      <w:pPr>
        <w:spacing w:line="360" w:lineRule="auto"/>
        <w:ind w:left="-630" w:right="-720"/>
        <w:jc w:val="both"/>
        <w:rPr>
          <w:rFonts w:ascii="Times New Roman" w:hAnsi="Times New Roman" w:cs="Times New Roman"/>
          <w:b/>
          <w:bCs/>
        </w:rPr>
      </w:pPr>
      <w:r w:rsidRPr="00F854FB">
        <w:rPr>
          <w:rFonts w:ascii="Times New Roman" w:hAnsi="Times New Roman" w:cs="Times New Roman"/>
          <w:b/>
          <w:bCs/>
        </w:rPr>
        <w:t>3.</w:t>
      </w:r>
      <w:r w:rsidR="001C5E9C">
        <w:rPr>
          <w:rFonts w:ascii="Times New Roman" w:hAnsi="Times New Roman" w:cs="Times New Roman"/>
          <w:b/>
          <w:bCs/>
        </w:rPr>
        <w:t>2</w:t>
      </w:r>
      <w:r w:rsidRPr="00F854FB">
        <w:rPr>
          <w:rFonts w:ascii="Times New Roman" w:hAnsi="Times New Roman" w:cs="Times New Roman"/>
          <w:b/>
          <w:bCs/>
        </w:rPr>
        <w:t xml:space="preserve"> IoT in EV Charging Infrastructure</w:t>
      </w:r>
    </w:p>
    <w:p w14:paraId="569963A7" w14:textId="4623A782" w:rsidR="00656534" w:rsidRPr="008A4DF7" w:rsidRDefault="00656534" w:rsidP="002F172C">
      <w:pPr>
        <w:spacing w:line="360" w:lineRule="auto"/>
        <w:ind w:left="-630" w:right="-720"/>
        <w:jc w:val="both"/>
        <w:rPr>
          <w:rFonts w:ascii="Times New Roman" w:hAnsi="Times New Roman" w:cs="Times New Roman"/>
        </w:rPr>
      </w:pPr>
      <w:r w:rsidRPr="008A4DF7">
        <w:rPr>
          <w:rFonts w:ascii="Times New Roman" w:hAnsi="Times New Roman" w:cs="Times New Roman"/>
        </w:rPr>
        <w:t xml:space="preserve">The integration of IoT in EV charging infrastructure has emerged as a critical </w:t>
      </w:r>
      <w:r w:rsidR="006B6844" w:rsidRPr="008A4DF7">
        <w:rPr>
          <w:rFonts w:ascii="Times New Roman" w:hAnsi="Times New Roman" w:cs="Times New Roman"/>
        </w:rPr>
        <w:t>enabling</w:t>
      </w:r>
      <w:r w:rsidRPr="008A4DF7">
        <w:rPr>
          <w:rFonts w:ascii="Times New Roman" w:hAnsi="Times New Roman" w:cs="Times New Roman"/>
        </w:rPr>
        <w:t xml:space="preserve"> of real-time monitoring, user accessibility, and grid stability. For instance, IoT Solutions for EV Charging Stations [10] highlights how IoT mitigates range anxiety by optimizing charging schedules and preventing battery damage through continuous monitoring. While this study emphasizes operational efficiency, it overlooks the integration of renewable energy </w:t>
      </w:r>
      <w:r w:rsidR="0075751D" w:rsidRPr="008A4DF7">
        <w:rPr>
          <w:rFonts w:ascii="Times New Roman" w:hAnsi="Times New Roman" w:cs="Times New Roman"/>
        </w:rPr>
        <w:t>sources</w:t>
      </w:r>
      <w:r w:rsidRPr="008A4DF7">
        <w:rPr>
          <w:rFonts w:ascii="Times New Roman" w:hAnsi="Times New Roman" w:cs="Times New Roman"/>
        </w:rPr>
        <w:t xml:space="preserve"> gap addressed in the current project through solar and ESS hybridization. Similarly, Residential EV Charging Stations [11] identifies high installation costs and limited ports as barriers to residential adoption. The proposed system resolves these issues with portable stations and scalable architecture, extending applicability to commercial settings. Further, IoT-Based Battery Management [12, 15] focuses on real-time monitoring of voltage and temperature but lacks a holistic approach to multi-source energy balancing. By contrast, this project’s 5-layer IoT architecture unifies device-level sensors, edge computing, and cloud analytics to enhance both safety </w:t>
      </w:r>
      <w:r w:rsidRPr="008A4DF7">
        <w:rPr>
          <w:rFonts w:ascii="Times New Roman" w:hAnsi="Times New Roman" w:cs="Times New Roman"/>
        </w:rPr>
        <w:lastRenderedPageBreak/>
        <w:t>and energy efficiency. Collectively, prior works emphasize IoT’s potential but fail to address scalability and multi-energy integration, which are central to this project’s design.</w:t>
      </w:r>
    </w:p>
    <w:p w14:paraId="30F8E447" w14:textId="5097CEA9" w:rsidR="00656534" w:rsidRPr="00F854FB" w:rsidRDefault="00656534" w:rsidP="002F172C">
      <w:pPr>
        <w:spacing w:line="360" w:lineRule="auto"/>
        <w:ind w:left="-630" w:right="-720"/>
        <w:jc w:val="both"/>
        <w:rPr>
          <w:rFonts w:ascii="Times New Roman" w:hAnsi="Times New Roman" w:cs="Times New Roman"/>
          <w:b/>
          <w:bCs/>
        </w:rPr>
      </w:pPr>
      <w:r w:rsidRPr="00F854FB">
        <w:rPr>
          <w:rFonts w:ascii="Times New Roman" w:hAnsi="Times New Roman" w:cs="Times New Roman"/>
          <w:b/>
          <w:bCs/>
        </w:rPr>
        <w:t>3.</w:t>
      </w:r>
      <w:r w:rsidR="007D532C">
        <w:rPr>
          <w:rFonts w:ascii="Times New Roman" w:hAnsi="Times New Roman" w:cs="Times New Roman"/>
          <w:b/>
          <w:bCs/>
        </w:rPr>
        <w:t>3</w:t>
      </w:r>
      <w:r w:rsidRPr="00F854FB">
        <w:rPr>
          <w:rFonts w:ascii="Times New Roman" w:hAnsi="Times New Roman" w:cs="Times New Roman"/>
          <w:b/>
          <w:bCs/>
        </w:rPr>
        <w:t xml:space="preserve"> Energy Storage Systems (ESS) and Renewable Integration</w:t>
      </w:r>
    </w:p>
    <w:p w14:paraId="575A50E2" w14:textId="77777777" w:rsidR="00656534" w:rsidRPr="008A4DF7" w:rsidRDefault="00656534" w:rsidP="002F172C">
      <w:pPr>
        <w:spacing w:line="360" w:lineRule="auto"/>
        <w:ind w:left="-630" w:right="-720"/>
        <w:jc w:val="both"/>
        <w:rPr>
          <w:rFonts w:ascii="Times New Roman" w:hAnsi="Times New Roman" w:cs="Times New Roman"/>
        </w:rPr>
      </w:pPr>
      <w:r w:rsidRPr="008A4DF7">
        <w:rPr>
          <w:rFonts w:ascii="Times New Roman" w:hAnsi="Times New Roman" w:cs="Times New Roman"/>
        </w:rPr>
        <w:t>Optimal ESS capacity planning and renewable energy integration are pivotal for reducing grid dependency and operational costs. ESS Simulation and PV Prediction [3, 4] underscores the importance of considering ESS lifespan and operational constraints beyond numerical calculations, aligning with this project’s hybrid model where solar (56.8%) and ESS (31.7%) dominate energy contributions. IoT-Based Microgrid Optimization [4] advocates energy management strategies but lacks actionable automation rules for prioritizing energy sources. The proposed system fills this gap with dynamic logic, such as prioritizing solar over ESS and grid based on charge levels (e.g., Solar → ESS → Grid hierarchy). Additionally, studies like Eternal-Thing [2] emphasize solar energy harvesting but neglect grid synchronization. By integrating solar, ESS, and grid under a single IoT framework, this project ensures seamless switching between sources, resolving prior limitations in real-time load balancing and source adaptability.</w:t>
      </w:r>
    </w:p>
    <w:p w14:paraId="5D211C29" w14:textId="31FC8309" w:rsidR="00656534" w:rsidRPr="00F854FB" w:rsidRDefault="00656534" w:rsidP="002F172C">
      <w:pPr>
        <w:spacing w:line="360" w:lineRule="auto"/>
        <w:ind w:left="-630" w:right="-720"/>
        <w:jc w:val="both"/>
        <w:rPr>
          <w:rFonts w:ascii="Times New Roman" w:hAnsi="Times New Roman" w:cs="Times New Roman"/>
          <w:b/>
          <w:bCs/>
        </w:rPr>
      </w:pPr>
      <w:r w:rsidRPr="00F854FB">
        <w:rPr>
          <w:rFonts w:ascii="Times New Roman" w:hAnsi="Times New Roman" w:cs="Times New Roman"/>
          <w:b/>
          <w:bCs/>
        </w:rPr>
        <w:t>3.</w:t>
      </w:r>
      <w:r w:rsidR="007D532C">
        <w:rPr>
          <w:rFonts w:ascii="Times New Roman" w:hAnsi="Times New Roman" w:cs="Times New Roman"/>
          <w:b/>
          <w:bCs/>
        </w:rPr>
        <w:t>4</w:t>
      </w:r>
      <w:r w:rsidRPr="00F854FB">
        <w:rPr>
          <w:rFonts w:ascii="Times New Roman" w:hAnsi="Times New Roman" w:cs="Times New Roman"/>
          <w:b/>
          <w:bCs/>
        </w:rPr>
        <w:t xml:space="preserve"> Power Quality and Grid Integration</w:t>
      </w:r>
    </w:p>
    <w:p w14:paraId="5A4241BC" w14:textId="77777777" w:rsidR="00656534" w:rsidRDefault="00656534" w:rsidP="002F172C">
      <w:pPr>
        <w:spacing w:line="360" w:lineRule="auto"/>
        <w:ind w:left="-630" w:right="-720"/>
        <w:jc w:val="both"/>
        <w:rPr>
          <w:rFonts w:ascii="Times New Roman" w:hAnsi="Times New Roman" w:cs="Times New Roman"/>
        </w:rPr>
      </w:pPr>
      <w:r w:rsidRPr="008A4DF7">
        <w:rPr>
          <w:rFonts w:ascii="Times New Roman" w:hAnsi="Times New Roman" w:cs="Times New Roman"/>
        </w:rPr>
        <w:t xml:space="preserve">EV charging systems often introduce harmonic distortions and voltage instability, necessitating advanced power quality solutions. Active Filters for THD Mitigation [2] proposes active filters to reduce harmonic distortion, aligning with the project’s goal of grid stability. However, this approach lacks IoT-enabled real-time adjustments, which the current system addresses through edge computing and AWS-based analytics. IoT-Based Power Monitoring [6, 13] explores microcontroller-based protection schemes but omits cloud connectivity, a limitation overcome here via AWS S3 for data storage and </w:t>
      </w:r>
      <w:proofErr w:type="spellStart"/>
      <w:r w:rsidRPr="008A4DF7">
        <w:rPr>
          <w:rFonts w:ascii="Times New Roman" w:hAnsi="Times New Roman" w:cs="Times New Roman"/>
        </w:rPr>
        <w:t>Quicksight</w:t>
      </w:r>
      <w:proofErr w:type="spellEnd"/>
      <w:r w:rsidRPr="008A4DF7">
        <w:rPr>
          <w:rFonts w:ascii="Times New Roman" w:hAnsi="Times New Roman" w:cs="Times New Roman"/>
        </w:rPr>
        <w:t xml:space="preserve"> for visualization. Furthermore, Development of IoT-Based Portable Power Quality Monitoring [6] highlights coordination challenges in microgrid protection, which the project tackles through centralized Node-RED dashboards and automated alerts. By merging IoT-driven analytics with grid management, the proposed system advances beyond conventional methods, ensuring resilient grid integration and proactive fault detection.</w:t>
      </w:r>
    </w:p>
    <w:p w14:paraId="4AAFCE75" w14:textId="3D5A9FFE" w:rsidR="00C23E42" w:rsidRPr="00C23E42" w:rsidRDefault="007D532C" w:rsidP="00C23E42">
      <w:pPr>
        <w:spacing w:line="360" w:lineRule="auto"/>
        <w:ind w:left="-630" w:right="-720"/>
        <w:jc w:val="both"/>
        <w:rPr>
          <w:rFonts w:ascii="Times New Roman" w:hAnsi="Times New Roman" w:cs="Times New Roman"/>
          <w:b/>
          <w:bCs/>
        </w:rPr>
      </w:pPr>
      <w:r>
        <w:rPr>
          <w:rFonts w:ascii="Times New Roman" w:hAnsi="Times New Roman" w:cs="Times New Roman"/>
          <w:b/>
          <w:bCs/>
        </w:rPr>
        <w:t xml:space="preserve">3.5 </w:t>
      </w:r>
      <w:r w:rsidR="00C23E42" w:rsidRPr="00C23E42">
        <w:rPr>
          <w:rFonts w:ascii="Times New Roman" w:hAnsi="Times New Roman" w:cs="Times New Roman"/>
          <w:b/>
          <w:bCs/>
        </w:rPr>
        <w:t>Fault Detection and State-of-Charge Optimization</w:t>
      </w:r>
    </w:p>
    <w:p w14:paraId="3C3AB44C" w14:textId="5590496D" w:rsidR="00C23E42" w:rsidRPr="008A4DF7" w:rsidRDefault="00C23E42" w:rsidP="00C23E42">
      <w:pPr>
        <w:spacing w:line="360" w:lineRule="auto"/>
        <w:ind w:left="-630" w:right="-720"/>
        <w:jc w:val="both"/>
        <w:rPr>
          <w:rFonts w:ascii="Times New Roman" w:hAnsi="Times New Roman" w:cs="Times New Roman"/>
        </w:rPr>
      </w:pPr>
      <w:r w:rsidRPr="00C23E42">
        <w:rPr>
          <w:rFonts w:ascii="Times New Roman" w:hAnsi="Times New Roman" w:cs="Times New Roman"/>
        </w:rPr>
        <w:t xml:space="preserve">Real-time fault detection and state-of-charge (SOC) management are vital for grid resilience and user trust. An Efficient LoRa-Enabled Smart Fault Detection and Monitoring Platform [5] leverages </w:t>
      </w:r>
      <w:proofErr w:type="spellStart"/>
      <w:r w:rsidRPr="00C23E42">
        <w:rPr>
          <w:rFonts w:ascii="Times New Roman" w:hAnsi="Times New Roman" w:cs="Times New Roman"/>
        </w:rPr>
        <w:t>LoRaWAN</w:t>
      </w:r>
      <w:proofErr w:type="spellEnd"/>
      <w:r w:rsidRPr="00C23E42">
        <w:rPr>
          <w:rFonts w:ascii="Times New Roman" w:hAnsi="Times New Roman" w:cs="Times New Roman"/>
        </w:rPr>
        <w:t xml:space="preserve"> and self-powered IoT devices to identify faults in power distribution systems, significantly reducing downtime. This aligns with the project’s goal of grid stability, as the proposed system employs similar edge-computing techniques for rapid fault isolation. Concurrently, State-of-Charge Equalizations Comparison in a Multi-prosumer Environment [14] explores SOC balancing across distributed energy resources, emphasizing IoT-supported real-time energy management. The project’s Battery Swapping Stations (BSS) benefit from this research by implementing SOC-based prioritization (e.g., ESS &lt;20% triggers grid activation), ensuring efficient </w:t>
      </w:r>
      <w:r w:rsidRPr="00C23E42">
        <w:rPr>
          <w:rFonts w:ascii="Times New Roman" w:hAnsi="Times New Roman" w:cs="Times New Roman"/>
        </w:rPr>
        <w:lastRenderedPageBreak/>
        <w:t>energy distribution. Additionally, An IoT-Based Power Management System for EV Chargers [16] utilizes Arduino and Raspberry Pi for current/voltage monitoring, a foundational concept for the project’s device-layer sensors. While [5] and [14] advance fault detection and SOC optimization, they do not integrate these features into a unified architecture. By combining LoRa-enabled fault detection, SOC equalization, and multi-source automation, the proposed system achieves proactive grid management and enhanced user reliability.</w:t>
      </w:r>
    </w:p>
    <w:p w14:paraId="5A09E2EA" w14:textId="68FCD6DB" w:rsidR="00656534" w:rsidRPr="00D941D8" w:rsidRDefault="00656534" w:rsidP="002F172C">
      <w:pPr>
        <w:spacing w:line="360" w:lineRule="auto"/>
        <w:ind w:left="-630" w:right="-720"/>
        <w:jc w:val="both"/>
        <w:rPr>
          <w:rFonts w:ascii="Times New Roman" w:hAnsi="Times New Roman" w:cs="Times New Roman"/>
          <w:b/>
          <w:bCs/>
        </w:rPr>
      </w:pPr>
      <w:r w:rsidRPr="00D941D8">
        <w:rPr>
          <w:rFonts w:ascii="Times New Roman" w:hAnsi="Times New Roman" w:cs="Times New Roman"/>
          <w:b/>
          <w:bCs/>
        </w:rPr>
        <w:t>3.</w:t>
      </w:r>
      <w:r w:rsidR="009119D7">
        <w:rPr>
          <w:rFonts w:ascii="Times New Roman" w:hAnsi="Times New Roman" w:cs="Times New Roman"/>
          <w:b/>
          <w:bCs/>
        </w:rPr>
        <w:t>6</w:t>
      </w:r>
      <w:r w:rsidRPr="00D941D8">
        <w:rPr>
          <w:rFonts w:ascii="Times New Roman" w:hAnsi="Times New Roman" w:cs="Times New Roman"/>
          <w:b/>
          <w:bCs/>
        </w:rPr>
        <w:t xml:space="preserve"> Battery Swapping and </w:t>
      </w:r>
      <w:r w:rsidR="00E31C33">
        <w:rPr>
          <w:rFonts w:ascii="Times New Roman" w:hAnsi="Times New Roman" w:cs="Times New Roman"/>
          <w:b/>
          <w:bCs/>
        </w:rPr>
        <w:t>Unit</w:t>
      </w:r>
      <w:r w:rsidRPr="00D941D8">
        <w:rPr>
          <w:rFonts w:ascii="Times New Roman" w:hAnsi="Times New Roman" w:cs="Times New Roman"/>
          <w:b/>
          <w:bCs/>
        </w:rPr>
        <w:t xml:space="preserve"> Charging</w:t>
      </w:r>
    </w:p>
    <w:p w14:paraId="239840E2" w14:textId="48531F85" w:rsidR="00B66B86" w:rsidRDefault="00656534" w:rsidP="002F172C">
      <w:pPr>
        <w:spacing w:line="360" w:lineRule="auto"/>
        <w:ind w:left="-630" w:right="-720"/>
        <w:jc w:val="both"/>
        <w:rPr>
          <w:rFonts w:ascii="Times New Roman" w:hAnsi="Times New Roman" w:cs="Times New Roman"/>
        </w:rPr>
      </w:pPr>
      <w:r w:rsidRPr="008A4DF7">
        <w:rPr>
          <w:rFonts w:ascii="Times New Roman" w:hAnsi="Times New Roman" w:cs="Times New Roman"/>
        </w:rPr>
        <w:t>Battery swapping stations (BSS) complement fast-charging solutions by reducing downtime and grid strain. Optimal BSS Planning [7, 9] focuses on strategic placement but treats BSS as isolated systems. In contrast, this project integrates 30 BSS units with DC fast chargers, optimizing logistics and revenue (₹26,986/day). Mobile BSS Applications [8] introduces portable swapping units but lacks cost-efficiency models, a gap addressed here through hybrid revenue streams from BSS (₹2,700/day) and fast charging (₹26,794/day). Additionally, Optimal Dispatch of EV Batteries [9] highlights the urgency of battery logistics between BSS and charging stations, a challenge resolved through the project’s centralized IoT platform for real-time inventory tracking. Prior research often segregates BSS and charging infrastructure, whereas this project unifies them under a single framework, enhancing operational synergy and economic viability.</w:t>
      </w:r>
    </w:p>
    <w:p w14:paraId="1C34C48F" w14:textId="4103A29D" w:rsidR="00274E69" w:rsidRPr="008A4DF7" w:rsidRDefault="00274E69" w:rsidP="002F172C">
      <w:pPr>
        <w:spacing w:line="360" w:lineRule="auto"/>
        <w:ind w:left="-630" w:right="-720"/>
        <w:jc w:val="both"/>
        <w:rPr>
          <w:rFonts w:ascii="Times New Roman" w:hAnsi="Times New Roman" w:cs="Times New Roman"/>
        </w:rPr>
      </w:pPr>
      <w:r w:rsidRPr="00274E69">
        <w:rPr>
          <w:rFonts w:ascii="Times New Roman" w:hAnsi="Times New Roman" w:cs="Times New Roman"/>
        </w:rPr>
        <w:t>The reviewed literature reveals three critical gaps. First, existing IoT architectures prioritize single energy sources, neglecting multi-energy integration (solar, ESS, grid). Second, energy management systems often rely on static rules, lacking dynamic automation for source prioritization. Third, standalone BSS or charging stations suffer from economic inefficiency, which this project resolves through a hybrid model. The proposed system bridges these gaps via a 5-layer IoT architecture that unifies device sensors, edge processing, and cloud analytics. Automation logic ensures renewable energy prioritization (solar &gt; ESS &gt; grid), reducing grid dependency by 88.5%. Furthermore, the integration of BSS and DC fast charging under a single platform maximizes revenue while stabilizing grid loads. By addressing these challenges, the project advances EV infrastructure toward sustainability and scalability.</w:t>
      </w:r>
    </w:p>
    <w:sectPr w:rsidR="00274E69" w:rsidRPr="008A4DF7" w:rsidSect="00DF366B">
      <w:pgSz w:w="12240" w:h="15840"/>
      <w:pgMar w:top="720" w:right="1440" w:bottom="63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7ECD"/>
    <w:rsid w:val="000239B2"/>
    <w:rsid w:val="0014064B"/>
    <w:rsid w:val="001C5E9C"/>
    <w:rsid w:val="00247354"/>
    <w:rsid w:val="00274E69"/>
    <w:rsid w:val="002B70FA"/>
    <w:rsid w:val="002F172C"/>
    <w:rsid w:val="00471849"/>
    <w:rsid w:val="00656534"/>
    <w:rsid w:val="006B6844"/>
    <w:rsid w:val="0074423F"/>
    <w:rsid w:val="0075751D"/>
    <w:rsid w:val="0079116E"/>
    <w:rsid w:val="007D532C"/>
    <w:rsid w:val="008A4DF7"/>
    <w:rsid w:val="008E5C97"/>
    <w:rsid w:val="009119D7"/>
    <w:rsid w:val="00B66B86"/>
    <w:rsid w:val="00C23E42"/>
    <w:rsid w:val="00D941D8"/>
    <w:rsid w:val="00DD7AE1"/>
    <w:rsid w:val="00DF366B"/>
    <w:rsid w:val="00E16B2E"/>
    <w:rsid w:val="00E31C33"/>
    <w:rsid w:val="00F854FB"/>
    <w:rsid w:val="00FB25F1"/>
    <w:rsid w:val="00FD7EC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AA6206"/>
  <w15:chartTrackingRefBased/>
  <w15:docId w15:val="{5A277A59-C10B-443B-A9E8-B191EB5F75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D7EC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D7EC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D7EC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D7EC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D7EC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D7EC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D7EC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D7EC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D7EC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D7EC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D7EC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D7EC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D7EC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D7EC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D7EC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D7EC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D7EC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D7ECD"/>
    <w:rPr>
      <w:rFonts w:eastAsiaTheme="majorEastAsia" w:cstheme="majorBidi"/>
      <w:color w:val="272727" w:themeColor="text1" w:themeTint="D8"/>
    </w:rPr>
  </w:style>
  <w:style w:type="paragraph" w:styleId="Title">
    <w:name w:val="Title"/>
    <w:basedOn w:val="Normal"/>
    <w:next w:val="Normal"/>
    <w:link w:val="TitleChar"/>
    <w:uiPriority w:val="10"/>
    <w:qFormat/>
    <w:rsid w:val="00FD7EC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D7EC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D7EC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D7EC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D7ECD"/>
    <w:pPr>
      <w:spacing w:before="160"/>
      <w:jc w:val="center"/>
    </w:pPr>
    <w:rPr>
      <w:i/>
      <w:iCs/>
      <w:color w:val="404040" w:themeColor="text1" w:themeTint="BF"/>
    </w:rPr>
  </w:style>
  <w:style w:type="character" w:customStyle="1" w:styleId="QuoteChar">
    <w:name w:val="Quote Char"/>
    <w:basedOn w:val="DefaultParagraphFont"/>
    <w:link w:val="Quote"/>
    <w:uiPriority w:val="29"/>
    <w:rsid w:val="00FD7ECD"/>
    <w:rPr>
      <w:i/>
      <w:iCs/>
      <w:color w:val="404040" w:themeColor="text1" w:themeTint="BF"/>
    </w:rPr>
  </w:style>
  <w:style w:type="paragraph" w:styleId="ListParagraph">
    <w:name w:val="List Paragraph"/>
    <w:basedOn w:val="Normal"/>
    <w:uiPriority w:val="34"/>
    <w:qFormat/>
    <w:rsid w:val="00FD7ECD"/>
    <w:pPr>
      <w:ind w:left="720"/>
      <w:contextualSpacing/>
    </w:pPr>
  </w:style>
  <w:style w:type="character" w:styleId="IntenseEmphasis">
    <w:name w:val="Intense Emphasis"/>
    <w:basedOn w:val="DefaultParagraphFont"/>
    <w:uiPriority w:val="21"/>
    <w:qFormat/>
    <w:rsid w:val="00FD7ECD"/>
    <w:rPr>
      <w:i/>
      <w:iCs/>
      <w:color w:val="0F4761" w:themeColor="accent1" w:themeShade="BF"/>
    </w:rPr>
  </w:style>
  <w:style w:type="paragraph" w:styleId="IntenseQuote">
    <w:name w:val="Intense Quote"/>
    <w:basedOn w:val="Normal"/>
    <w:next w:val="Normal"/>
    <w:link w:val="IntenseQuoteChar"/>
    <w:uiPriority w:val="30"/>
    <w:qFormat/>
    <w:rsid w:val="00FD7EC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D7ECD"/>
    <w:rPr>
      <w:i/>
      <w:iCs/>
      <w:color w:val="0F4761" w:themeColor="accent1" w:themeShade="BF"/>
    </w:rPr>
  </w:style>
  <w:style w:type="character" w:styleId="IntenseReference">
    <w:name w:val="Intense Reference"/>
    <w:basedOn w:val="DefaultParagraphFont"/>
    <w:uiPriority w:val="32"/>
    <w:qFormat/>
    <w:rsid w:val="00FD7EC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36400878">
      <w:bodyDiv w:val="1"/>
      <w:marLeft w:val="0"/>
      <w:marRight w:val="0"/>
      <w:marTop w:val="0"/>
      <w:marBottom w:val="0"/>
      <w:divBdr>
        <w:top w:val="none" w:sz="0" w:space="0" w:color="auto"/>
        <w:left w:val="none" w:sz="0" w:space="0" w:color="auto"/>
        <w:bottom w:val="none" w:sz="0" w:space="0" w:color="auto"/>
        <w:right w:val="none" w:sz="0" w:space="0" w:color="auto"/>
      </w:divBdr>
    </w:div>
    <w:div w:id="1670402926">
      <w:bodyDiv w:val="1"/>
      <w:marLeft w:val="0"/>
      <w:marRight w:val="0"/>
      <w:marTop w:val="0"/>
      <w:marBottom w:val="0"/>
      <w:divBdr>
        <w:top w:val="none" w:sz="0" w:space="0" w:color="auto"/>
        <w:left w:val="none" w:sz="0" w:space="0" w:color="auto"/>
        <w:bottom w:val="none" w:sz="0" w:space="0" w:color="auto"/>
        <w:right w:val="none" w:sz="0" w:space="0" w:color="auto"/>
      </w:divBdr>
    </w:div>
    <w:div w:id="16866629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3</Pages>
  <Words>1297</Words>
  <Characters>7396</Characters>
  <Application>Microsoft Office Word</Application>
  <DocSecurity>0</DocSecurity>
  <Lines>61</Lines>
  <Paragraphs>17</Paragraphs>
  <ScaleCrop>false</ScaleCrop>
  <Company/>
  <LinksUpToDate>false</LinksUpToDate>
  <CharactersWithSpaces>8676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jagadeeswara kamarajugadda | AP23122100002</dc:creator>
  <cp:keywords/>
  <dc:description/>
  <cp:lastModifiedBy>jagadeeswara kamarajugadda | AP23122100002</cp:lastModifiedBy>
  <cp:revision>25</cp:revision>
  <dcterms:created xsi:type="dcterms:W3CDTF">2025-04-20T03:50:00Z</dcterms:created>
  <dcterms:modified xsi:type="dcterms:W3CDTF">2025-04-20T03:59:00Z</dcterms:modified>
</cp:coreProperties>
</file>