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260350</wp:posOffset>
            </wp:positionH>
            <wp:positionV relativeFrom="page">
              <wp:posOffset>2463800</wp:posOffset>
            </wp:positionV>
            <wp:extent cx="7251700" cy="6051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51700" cy="605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2" w:after="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200" w:right="0" w:firstLine="0"/>
        <w:jc w:val="left"/>
      </w:pPr>
      <w:r>
        <w:rPr>
          <w:spacing w:val="-10"/>
          <w:rFonts w:ascii="Aptos Display" w:hAnsi="Aptos Display" w:eastAsia="Aptos Display"/>
          <w:color w:val="0F4761"/>
          <w:sz w:val="40"/>
        </w:rPr>
        <w:t>EXP:18</w:t>
      </w:r>
    </w:p>
    <w:p>
      <w:pPr>
        <w:autoSpaceDN w:val="0"/>
        <w:autoSpaceDE w:val="0"/>
        <w:widowControl/>
        <w:spacing w:line="202" w:lineRule="exact" w:before="336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Exp No 18: Determination and plotting of Antenna Half power beamwidth.</w:t>
      </w:r>
    </w:p>
    <w:p>
      <w:pPr>
        <w:autoSpaceDN w:val="0"/>
        <w:autoSpaceDE w:val="0"/>
        <w:widowControl/>
        <w:spacing w:line="202" w:lineRule="exact" w:before="29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Aim:</w:t>
      </w:r>
      <w:r>
        <w:rPr>
          <w:spacing w:val="-10"/>
          <w:rFonts w:ascii="Aptos" w:hAnsi="Aptos" w:eastAsia="Aptos"/>
          <w:color w:val="000000"/>
          <w:sz w:val="24"/>
        </w:rPr>
        <w:t xml:space="preserve"> To determine and plot Half Power Beamwidth (HPBW) and to determine the angular</w:t>
      </w:r>
    </w:p>
    <w:p>
      <w:pPr>
        <w:autoSpaceDN w:val="0"/>
        <w:autoSpaceDE w:val="0"/>
        <w:widowControl/>
        <w:spacing w:line="202" w:lineRule="exact" w:before="136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width at -3 dB points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848350" cy="121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1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3797300</wp:posOffset>
            </wp:positionV>
            <wp:extent cx="7759700" cy="3632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0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943600" cy="4603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6591300</wp:posOffset>
            </wp:positionV>
            <wp:extent cx="5511800" cy="142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428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1:</w:t>
      </w:r>
      <w:r>
        <w:rPr>
          <w:spacing w:val="-10"/>
          <w:rFonts w:ascii="Aptos" w:hAnsi="Aptos" w:eastAsia="Aptos"/>
          <w:color w:val="000000"/>
          <w:sz w:val="24"/>
        </w:rPr>
        <w:t xml:space="preserve"> Beamwidth Comparison for Different Directivity Factors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867400" cy="5581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581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107950</wp:posOffset>
            </wp:positionH>
            <wp:positionV relativeFrom="page">
              <wp:posOffset>1225550</wp:posOffset>
            </wp:positionV>
            <wp:extent cx="7537450" cy="5911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5911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2:</w:t>
      </w:r>
      <w:r>
        <w:rPr>
          <w:spacing w:val="-10"/>
          <w:rFonts w:ascii="Aptos" w:hAnsi="Aptos" w:eastAsia="Aptos"/>
          <w:color w:val="000000"/>
          <w:sz w:val="24"/>
        </w:rPr>
        <w:t xml:space="preserve"> Effect of Frequency on HPBW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6680200" cy="635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63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1225550</wp:posOffset>
            </wp:positionV>
            <wp:extent cx="7480300" cy="5810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581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3:</w:t>
      </w:r>
      <w:r>
        <w:rPr>
          <w:spacing w:val="-10"/>
          <w:rFonts w:ascii="Aptos" w:hAnsi="Aptos" w:eastAsia="Aptos"/>
          <w:color w:val="000000"/>
          <w:sz w:val="24"/>
        </w:rPr>
        <w:t xml:space="preserve"> Practical Implementation of HPBW in Wireless Networks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886450" cy="5511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51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7181850</wp:posOffset>
            </wp:positionV>
            <wp:extent cx="5683250" cy="628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628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1225550</wp:posOffset>
            </wp:positionV>
            <wp:extent cx="7289800" cy="563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898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4:</w:t>
      </w:r>
      <w:r>
        <w:rPr>
          <w:spacing w:val="-10"/>
          <w:rFonts w:ascii="Aptos" w:hAnsi="Aptos" w:eastAsia="Aptos"/>
          <w:color w:val="000000"/>
          <w:sz w:val="24"/>
        </w:rPr>
        <w:t xml:space="preserve"> Validation of HPBW with Measured Data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810250" cy="5397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39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