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EzyMart Project Report</w:t>
      </w:r>
    </w:p>
    <w:p>
      <w:pPr>
        <w:spacing w:after="200"/>
      </w:pPr>
      <w:r>
        <w:rPr>
          <w:rFonts w:ascii="Aptos" w:hAnsi="Aptos"/>
          <w:b/>
          <w:color w:val="4B5B69"/>
          <w:sz w:val="24"/>
        </w:rPr>
        <w:t>Full Stack Ecommerce Application  |  Interview Brief</w:t>
      </w:r>
    </w:p>
    <w:p>
      <w:pPr>
        <w:pStyle w:val="Heading1"/>
      </w:pPr>
      <w:r>
        <w:t>Project overview</w:t>
      </w:r>
    </w:p>
    <w:p>
      <w:r>
        <w:t>EzyMart is a full stack ecommerce application for browsing a product catalogue, managing a shopping cart, placing orders, and administering products and order fulfilment. The React client communicates with an Express API backed by MongoDB. Customer and admin workflows are implemented; checkout currently records orders through a simulated payment flow, so the project is not yet charging real payments.</w:t>
      </w:r>
    </w:p>
    <w:p>
      <w:pPr>
        <w:pStyle w:val="Heading1"/>
      </w:pPr>
      <w:r>
        <w:t>Interview introduction</w:t>
      </w:r>
    </w:p>
    <w:p>
      <w:pPr>
        <w:spacing w:after="140"/>
        <w:ind w:left="259" w:right="259"/>
      </w:pPr>
      <w:r>
        <w:rPr>
          <w:i/>
          <w:sz w:val="20"/>
        </w:rPr>
        <w:t>“I built EzyMart as a MERN ecommerce application. Customers can register and sign in, browse and filter products, keep a cart across page refreshes, submit a delivery address, and view their orders. I also built an admin area for product management, order status updates, and sales summaries. The backend uses JWT authentication, role checks, MongoDB models, and Cloudinary for product images. Payment is currently simulated; integrating and verifying a real Razorpay transaction is the next major step.”</w:t>
      </w:r>
    </w:p>
    <w:p>
      <w:pPr>
        <w:pStyle w:val="Heading1"/>
      </w:pPr>
      <w:r>
        <w:t>Goals and scope</w:t>
      </w:r>
    </w:p>
    <w:p>
      <w:pPr>
        <w:pStyle w:val="ListBullet"/>
        <w:spacing w:after="40"/>
        <w:ind w:left="317" w:hanging="173"/>
      </w:pPr>
      <w:r>
        <w:t>Deliver a complete customer path from product discovery through order placement and order history.</w:t>
      </w:r>
    </w:p>
    <w:p>
      <w:pPr>
        <w:pStyle w:val="ListBullet"/>
        <w:spacing w:after="40"/>
        <w:ind w:left="317" w:hanging="173"/>
      </w:pPr>
      <w:r>
        <w:t>Provide administrators with tools to manage catalogue data, review orders, and see high-level metrics.</w:t>
      </w:r>
    </w:p>
    <w:p>
      <w:pPr>
        <w:pStyle w:val="ListBullet"/>
        <w:spacing w:after="40"/>
        <w:ind w:left="317" w:hanging="173"/>
      </w:pPr>
      <w:r>
        <w:t>Keep authorization and order data handling on the server, with clear boundaries between customer and admin access.</w:t>
      </w:r>
    </w:p>
    <w:p>
      <w:pPr>
        <w:pStyle w:val="Heading1"/>
      </w:pPr>
      <w:r>
        <w:t>What users can do</w:t>
      </w:r>
    </w:p>
    <w:tbl>
      <w:tblPr>
        <w:tblW w:type="auto" w:w="0"/>
        <w:jc w:val="center"/>
        <w:tblLayout w:type="fixed"/>
        <w:tblLook w:firstColumn="1" w:firstRow="1" w:lastColumn="0" w:lastRow="0" w:noHBand="0" w:noVBand="1" w:val="04A0"/>
      </w:tblPr>
      <w:tblGrid>
        <w:gridCol w:w="5083"/>
        <w:gridCol w:w="5083"/>
      </w:tblGrid>
      <w:tr>
        <w:tc>
          <w:tcPr>
            <w:tcW w:type="dxa" w:w="1944"/>
            <w:vAlign w:val="center"/>
            <w:shd w:fill="263746"/>
          </w:tcPr>
          <w:p>
            <w:pPr>
              <w:spacing w:after="40" w:before="40"/>
            </w:pPr>
            <w:r/>
            <w:r>
              <w:rPr>
                <w:rFonts w:ascii="Aptos" w:hAnsi="Aptos"/>
                <w:b/>
                <w:color w:val="FFFFFF"/>
                <w:sz w:val="18"/>
              </w:rPr>
              <w:t>Customer area</w:t>
            </w:r>
          </w:p>
        </w:tc>
        <w:tc>
          <w:tcPr>
            <w:tcW w:type="dxa" w:w="8352"/>
            <w:vAlign w:val="center"/>
            <w:shd w:fill="263746"/>
          </w:tcPr>
          <w:p>
            <w:pPr>
              <w:spacing w:after="40" w:before="40"/>
            </w:pPr>
            <w:r/>
            <w:r>
              <w:rPr>
                <w:rFonts w:ascii="Aptos" w:hAnsi="Aptos"/>
                <w:b/>
                <w:color w:val="FFFFFF"/>
                <w:sz w:val="18"/>
              </w:rPr>
              <w:t>Current capability</w:t>
            </w:r>
          </w:p>
        </w:tc>
      </w:tr>
      <w:tr>
        <w:tc>
          <w:tcPr>
            <w:tcW w:type="dxa" w:w="1944"/>
            <w:vAlign w:val="center"/>
            <w:shd w:fill="F1F5F7"/>
          </w:tcPr>
          <w:p>
            <w:pPr>
              <w:spacing w:after="40" w:before="40"/>
            </w:pPr>
            <w:r/>
            <w:r>
              <w:rPr>
                <w:rFonts w:ascii="Aptos" w:hAnsi="Aptos"/>
                <w:b/>
                <w:color w:val="23303D"/>
                <w:sz w:val="18"/>
              </w:rPr>
              <w:t>Account</w:t>
            </w:r>
          </w:p>
        </w:tc>
        <w:tc>
          <w:tcPr>
            <w:tcW w:type="dxa" w:w="8352"/>
            <w:vAlign w:val="center"/>
            <w:shd w:fill="F1F5F7"/>
          </w:tcPr>
          <w:p>
            <w:pPr>
              <w:spacing w:after="40" w:before="40"/>
            </w:pPr>
            <w:r/>
            <w:r>
              <w:rPr>
                <w:rFonts w:ascii="Aptos" w:hAnsi="Aptos"/>
                <w:b w:val="0"/>
                <w:color w:val="23303D"/>
                <w:sz w:val="18"/>
              </w:rPr>
              <w:t>Register, verify email with a one-time code, sign in, and access protected pages.</w:t>
            </w:r>
          </w:p>
        </w:tc>
      </w:tr>
      <w:tr>
        <w:tc>
          <w:tcPr>
            <w:tcW w:type="dxa" w:w="1944"/>
            <w:vAlign w:val="center"/>
          </w:tcPr>
          <w:p>
            <w:pPr>
              <w:spacing w:after="40" w:before="40"/>
            </w:pPr>
            <w:r/>
            <w:r>
              <w:rPr>
                <w:rFonts w:ascii="Aptos" w:hAnsi="Aptos"/>
                <w:b/>
                <w:color w:val="23303D"/>
                <w:sz w:val="18"/>
              </w:rPr>
              <w:t>Storefront</w:t>
            </w:r>
          </w:p>
        </w:tc>
        <w:tc>
          <w:tcPr>
            <w:tcW w:type="dxa" w:w="8352"/>
            <w:vAlign w:val="center"/>
          </w:tcPr>
          <w:p>
            <w:pPr>
              <w:spacing w:after="40" w:before="40"/>
            </w:pPr>
            <w:r/>
            <w:r>
              <w:rPr>
                <w:rFonts w:ascii="Aptos" w:hAnsi="Aptos"/>
                <w:b w:val="0"/>
                <w:color w:val="23303D"/>
                <w:sz w:val="18"/>
              </w:rPr>
              <w:t>Browse products, search, filter by category, sort results, and open product details.</w:t>
            </w:r>
          </w:p>
        </w:tc>
      </w:tr>
      <w:tr>
        <w:tc>
          <w:tcPr>
            <w:tcW w:type="dxa" w:w="1944"/>
            <w:vAlign w:val="center"/>
            <w:shd w:fill="F1F5F7"/>
          </w:tcPr>
          <w:p>
            <w:pPr>
              <w:spacing w:after="40" w:before="40"/>
            </w:pPr>
            <w:r/>
            <w:r>
              <w:rPr>
                <w:rFonts w:ascii="Aptos" w:hAnsi="Aptos"/>
                <w:b/>
                <w:color w:val="23303D"/>
                <w:sz w:val="18"/>
              </w:rPr>
              <w:t>Cart and checkout</w:t>
            </w:r>
          </w:p>
        </w:tc>
        <w:tc>
          <w:tcPr>
            <w:tcW w:type="dxa" w:w="8352"/>
            <w:vAlign w:val="center"/>
            <w:shd w:fill="F1F5F7"/>
          </w:tcPr>
          <w:p>
            <w:pPr>
              <w:spacing w:after="40" w:before="40"/>
            </w:pPr>
            <w:r/>
            <w:r>
              <w:rPr>
                <w:rFonts w:ascii="Aptos" w:hAnsi="Aptos"/>
                <w:b w:val="0"/>
                <w:color w:val="23303D"/>
                <w:sz w:val="18"/>
              </w:rPr>
              <w:t>Adjust quantities within available stock, retain cart contents in the browser, and submit an address with an order.</w:t>
            </w:r>
          </w:p>
        </w:tc>
      </w:tr>
      <w:tr>
        <w:tc>
          <w:tcPr>
            <w:tcW w:type="dxa" w:w="1944"/>
            <w:vAlign w:val="center"/>
          </w:tcPr>
          <w:p>
            <w:pPr>
              <w:spacing w:after="40" w:before="40"/>
            </w:pPr>
            <w:r/>
            <w:r>
              <w:rPr>
                <w:rFonts w:ascii="Aptos" w:hAnsi="Aptos"/>
                <w:b/>
                <w:color w:val="23303D"/>
                <w:sz w:val="18"/>
              </w:rPr>
              <w:t>Account pages</w:t>
            </w:r>
          </w:p>
        </w:tc>
        <w:tc>
          <w:tcPr>
            <w:tcW w:type="dxa" w:w="8352"/>
            <w:vAlign w:val="center"/>
          </w:tcPr>
          <w:p>
            <w:pPr>
              <w:spacing w:after="40" w:before="40"/>
            </w:pPr>
            <w:r/>
            <w:r>
              <w:rPr>
                <w:rFonts w:ascii="Aptos" w:hAnsi="Aptos"/>
                <w:b w:val="0"/>
                <w:color w:val="23303D"/>
                <w:sz w:val="18"/>
              </w:rPr>
              <w:t>View profile information and order history after authentication. Profile editing is not implemented.</w:t>
            </w:r>
          </w:p>
        </w:tc>
      </w:tr>
    </w:tbl>
    <w:p>
      <w:pPr>
        <w:spacing w:after="0"/>
      </w:pPr>
    </w:p>
    <w:p>
      <w:r>
        <w:br w:type="page"/>
      </w:r>
    </w:p>
    <w:p>
      <w:pPr>
        <w:pStyle w:val="Heading1"/>
      </w:pPr>
      <w:r>
        <w:t>Architecture and technology</w:t>
      </w:r>
    </w:p>
    <w:p>
      <w:r>
        <w:t>The project uses a browser client and a REST API. React Router selects pages, Axios makes API requests, and shared React context keeps cart state available across the storefront. The server groups request handling into routes, middleware, controllers, and Mongoose models. MongoDB stores users, products, addresses, and orders.</w:t>
      </w:r>
    </w:p>
    <w:tbl>
      <w:tblPr>
        <w:tblW w:type="auto" w:w="0"/>
        <w:jc w:val="center"/>
        <w:tblLayout w:type="fixed"/>
        <w:tblLook w:firstColumn="1" w:firstRow="1" w:lastColumn="0" w:lastRow="0" w:noHBand="0" w:noVBand="1" w:val="04A0"/>
      </w:tblPr>
      <w:tblGrid>
        <w:gridCol w:w="5083"/>
        <w:gridCol w:w="5083"/>
      </w:tblGrid>
      <w:tr>
        <w:tc>
          <w:tcPr>
            <w:tcW w:type="dxa" w:w="1944"/>
            <w:vAlign w:val="center"/>
            <w:shd w:fill="263746"/>
          </w:tcPr>
          <w:p>
            <w:pPr>
              <w:spacing w:after="40" w:before="40"/>
            </w:pPr>
            <w:r/>
            <w:r>
              <w:rPr>
                <w:rFonts w:ascii="Aptos" w:hAnsi="Aptos"/>
                <w:b/>
                <w:color w:val="FFFFFF"/>
                <w:sz w:val="18"/>
              </w:rPr>
              <w:t>Layer</w:t>
            </w:r>
          </w:p>
        </w:tc>
        <w:tc>
          <w:tcPr>
            <w:tcW w:type="dxa" w:w="8352"/>
            <w:vAlign w:val="center"/>
            <w:shd w:fill="263746"/>
          </w:tcPr>
          <w:p>
            <w:pPr>
              <w:spacing w:after="40" w:before="40"/>
            </w:pPr>
            <w:r/>
            <w:r>
              <w:rPr>
                <w:rFonts w:ascii="Aptos" w:hAnsi="Aptos"/>
                <w:b/>
                <w:color w:val="FFFFFF"/>
                <w:sz w:val="18"/>
              </w:rPr>
              <w:t>Technology and responsibility</w:t>
            </w:r>
          </w:p>
        </w:tc>
      </w:tr>
      <w:tr>
        <w:tc>
          <w:tcPr>
            <w:tcW w:type="dxa" w:w="1944"/>
            <w:vAlign w:val="center"/>
            <w:shd w:fill="F1F5F7"/>
          </w:tcPr>
          <w:p>
            <w:pPr>
              <w:spacing w:after="40" w:before="40"/>
            </w:pPr>
            <w:r/>
            <w:r>
              <w:rPr>
                <w:rFonts w:ascii="Aptos" w:hAnsi="Aptos"/>
                <w:b/>
                <w:color w:val="23303D"/>
                <w:sz w:val="18"/>
              </w:rPr>
              <w:t>Client</w:t>
            </w:r>
          </w:p>
        </w:tc>
        <w:tc>
          <w:tcPr>
            <w:tcW w:type="dxa" w:w="8352"/>
            <w:vAlign w:val="center"/>
            <w:shd w:fill="F1F5F7"/>
          </w:tcPr>
          <w:p>
            <w:pPr>
              <w:spacing w:after="40" w:before="40"/>
            </w:pPr>
            <w:r/>
            <w:r>
              <w:rPr>
                <w:rFonts w:ascii="Aptos" w:hAnsi="Aptos"/>
                <w:b w:val="0"/>
                <w:color w:val="23303D"/>
                <w:sz w:val="18"/>
              </w:rPr>
              <w:t>React 19, Vite, React Router, and Axios. Presents storefront, account, checkout, and admin experiences.</w:t>
            </w:r>
          </w:p>
        </w:tc>
      </w:tr>
      <w:tr>
        <w:tc>
          <w:tcPr>
            <w:tcW w:type="dxa" w:w="1944"/>
            <w:vAlign w:val="center"/>
          </w:tcPr>
          <w:p>
            <w:pPr>
              <w:spacing w:after="40" w:before="40"/>
            </w:pPr>
            <w:r/>
            <w:r>
              <w:rPr>
                <w:rFonts w:ascii="Aptos" w:hAnsi="Aptos"/>
                <w:b/>
                <w:color w:val="23303D"/>
                <w:sz w:val="18"/>
              </w:rPr>
              <w:t>API</w:t>
            </w:r>
          </w:p>
        </w:tc>
        <w:tc>
          <w:tcPr>
            <w:tcW w:type="dxa" w:w="8352"/>
            <w:vAlign w:val="center"/>
          </w:tcPr>
          <w:p>
            <w:pPr>
              <w:spacing w:after="40" w:before="40"/>
            </w:pPr>
            <w:r/>
            <w:r>
              <w:rPr>
                <w:rFonts w:ascii="Aptos" w:hAnsi="Aptos"/>
                <w:b w:val="0"/>
                <w:color w:val="23303D"/>
                <w:sz w:val="18"/>
              </w:rPr>
              <w:t>Node.js and Express 5. Exposes REST endpoints and applies authentication and role middleware.</w:t>
            </w:r>
          </w:p>
        </w:tc>
      </w:tr>
      <w:tr>
        <w:tc>
          <w:tcPr>
            <w:tcW w:type="dxa" w:w="1944"/>
            <w:vAlign w:val="center"/>
            <w:shd w:fill="F1F5F7"/>
          </w:tcPr>
          <w:p>
            <w:pPr>
              <w:spacing w:after="40" w:before="40"/>
            </w:pPr>
            <w:r/>
            <w:r>
              <w:rPr>
                <w:rFonts w:ascii="Aptos" w:hAnsi="Aptos"/>
                <w:b/>
                <w:color w:val="23303D"/>
                <w:sz w:val="18"/>
              </w:rPr>
              <w:t>Data</w:t>
            </w:r>
          </w:p>
        </w:tc>
        <w:tc>
          <w:tcPr>
            <w:tcW w:type="dxa" w:w="8352"/>
            <w:vAlign w:val="center"/>
            <w:shd w:fill="F1F5F7"/>
          </w:tcPr>
          <w:p>
            <w:pPr>
              <w:spacing w:after="40" w:before="40"/>
            </w:pPr>
            <w:r/>
            <w:r>
              <w:rPr>
                <w:rFonts w:ascii="Aptos" w:hAnsi="Aptos"/>
                <w:b w:val="0"/>
                <w:color w:val="23303D"/>
                <w:sz w:val="18"/>
              </w:rPr>
              <w:t>MongoDB with Mongoose models for users, products, addresses, and orders.</w:t>
            </w:r>
          </w:p>
        </w:tc>
      </w:tr>
      <w:tr>
        <w:tc>
          <w:tcPr>
            <w:tcW w:type="dxa" w:w="1944"/>
            <w:vAlign w:val="center"/>
          </w:tcPr>
          <w:p>
            <w:pPr>
              <w:spacing w:after="40" w:before="40"/>
            </w:pPr>
            <w:r/>
            <w:r>
              <w:rPr>
                <w:rFonts w:ascii="Aptos" w:hAnsi="Aptos"/>
                <w:b/>
                <w:color w:val="23303D"/>
                <w:sz w:val="18"/>
              </w:rPr>
              <w:t>Security and media</w:t>
            </w:r>
          </w:p>
        </w:tc>
        <w:tc>
          <w:tcPr>
            <w:tcW w:type="dxa" w:w="8352"/>
            <w:vAlign w:val="center"/>
          </w:tcPr>
          <w:p>
            <w:pPr>
              <w:spacing w:after="40" w:before="40"/>
            </w:pPr>
            <w:r/>
            <w:r>
              <w:rPr>
                <w:rFonts w:ascii="Aptos" w:hAnsi="Aptos"/>
                <w:b w:val="0"/>
                <w:color w:val="23303D"/>
                <w:sz w:val="18"/>
              </w:rPr>
              <w:t>bcrypt password hashing, JWT sessions, hashed email verification codes, and Cloudinary image storage.</w:t>
            </w:r>
          </w:p>
        </w:tc>
      </w:tr>
      <w:tr>
        <w:tc>
          <w:tcPr>
            <w:tcW w:type="dxa" w:w="1944"/>
            <w:vAlign w:val="center"/>
            <w:shd w:fill="F1F5F7"/>
          </w:tcPr>
          <w:p>
            <w:pPr>
              <w:spacing w:after="40" w:before="40"/>
            </w:pPr>
            <w:r/>
            <w:r>
              <w:rPr>
                <w:rFonts w:ascii="Aptos" w:hAnsi="Aptos"/>
                <w:b/>
                <w:color w:val="23303D"/>
                <w:sz w:val="18"/>
              </w:rPr>
              <w:t>Payments</w:t>
            </w:r>
          </w:p>
        </w:tc>
        <w:tc>
          <w:tcPr>
            <w:tcW w:type="dxa" w:w="8352"/>
            <w:vAlign w:val="center"/>
            <w:shd w:fill="F1F5F7"/>
          </w:tcPr>
          <w:p>
            <w:pPr>
              <w:spacing w:after="40" w:before="40"/>
            </w:pPr>
            <w:r/>
            <w:r>
              <w:rPr>
                <w:rFonts w:ascii="Aptos" w:hAnsi="Aptos"/>
                <w:b w:val="0"/>
                <w:color w:val="23303D"/>
                <w:sz w:val="18"/>
              </w:rPr>
              <w:t>Razorpay package is present, but current checkout uses a mock payment identifier and does not verify a real gateway signature.</w:t>
            </w:r>
          </w:p>
        </w:tc>
      </w:tr>
    </w:tbl>
    <w:p>
      <w:pPr>
        <w:spacing w:after="0"/>
      </w:pPr>
    </w:p>
    <w:p>
      <w:pPr>
        <w:pStyle w:val="Heading1"/>
      </w:pPr>
      <w:r>
        <w:t>Main request flows</w:t>
      </w:r>
    </w:p>
    <w:tbl>
      <w:tblPr>
        <w:tblW w:type="auto" w:w="0"/>
        <w:jc w:val="center"/>
        <w:tblLayout w:type="fixed"/>
        <w:tblLook w:firstColumn="1" w:firstRow="1" w:lastColumn="0" w:lastRow="0" w:noHBand="0" w:noVBand="1" w:val="04A0"/>
      </w:tblPr>
      <w:tblGrid>
        <w:gridCol w:w="5083"/>
        <w:gridCol w:w="5083"/>
      </w:tblGrid>
      <w:tr>
        <w:tc>
          <w:tcPr>
            <w:tcW w:type="dxa" w:w="1944"/>
            <w:vAlign w:val="center"/>
            <w:shd w:fill="263746"/>
          </w:tcPr>
          <w:p>
            <w:pPr>
              <w:spacing w:after="40" w:before="40"/>
            </w:pPr>
            <w:r/>
            <w:r>
              <w:rPr>
                <w:rFonts w:ascii="Aptos" w:hAnsi="Aptos"/>
                <w:b/>
                <w:color w:val="FFFFFF"/>
                <w:sz w:val="18"/>
              </w:rPr>
              <w:t>Flow</w:t>
            </w:r>
          </w:p>
        </w:tc>
        <w:tc>
          <w:tcPr>
            <w:tcW w:type="dxa" w:w="8352"/>
            <w:vAlign w:val="center"/>
            <w:shd w:fill="263746"/>
          </w:tcPr>
          <w:p>
            <w:pPr>
              <w:spacing w:after="40" w:before="40"/>
            </w:pPr>
            <w:r/>
            <w:r>
              <w:rPr>
                <w:rFonts w:ascii="Aptos" w:hAnsi="Aptos"/>
                <w:b/>
                <w:color w:val="FFFFFF"/>
                <w:sz w:val="18"/>
              </w:rPr>
              <w:t>How it works</w:t>
            </w:r>
          </w:p>
        </w:tc>
      </w:tr>
      <w:tr>
        <w:tc>
          <w:tcPr>
            <w:tcW w:type="dxa" w:w="1944"/>
            <w:vAlign w:val="center"/>
            <w:shd w:fill="F1F5F7"/>
          </w:tcPr>
          <w:p>
            <w:pPr>
              <w:spacing w:after="40" w:before="40"/>
            </w:pPr>
            <w:r/>
            <w:r>
              <w:rPr>
                <w:rFonts w:ascii="Aptos" w:hAnsi="Aptos"/>
                <w:b/>
                <w:color w:val="23303D"/>
                <w:sz w:val="18"/>
              </w:rPr>
              <w:t>Sign in</w:t>
            </w:r>
          </w:p>
        </w:tc>
        <w:tc>
          <w:tcPr>
            <w:tcW w:type="dxa" w:w="8352"/>
            <w:vAlign w:val="center"/>
            <w:shd w:fill="F1F5F7"/>
          </w:tcPr>
          <w:p>
            <w:pPr>
              <w:spacing w:after="40" w:before="40"/>
            </w:pPr>
            <w:r/>
            <w:r>
              <w:rPr>
                <w:rFonts w:ascii="Aptos" w:hAnsi="Aptos"/>
                <w:b w:val="0"/>
                <w:color w:val="23303D"/>
                <w:sz w:val="18"/>
              </w:rPr>
              <w:t>The server verifies credentials, issues a three-day JWT, and the auth middleware resolves the current user for protected requests.</w:t>
            </w:r>
          </w:p>
        </w:tc>
      </w:tr>
      <w:tr>
        <w:tc>
          <w:tcPr>
            <w:tcW w:type="dxa" w:w="1944"/>
            <w:vAlign w:val="center"/>
          </w:tcPr>
          <w:p>
            <w:pPr>
              <w:spacing w:after="40" w:before="40"/>
            </w:pPr>
            <w:r/>
            <w:r>
              <w:rPr>
                <w:rFonts w:ascii="Aptos" w:hAnsi="Aptos"/>
                <w:b/>
                <w:color w:val="23303D"/>
                <w:sz w:val="18"/>
              </w:rPr>
              <w:t>Browse and cart</w:t>
            </w:r>
          </w:p>
        </w:tc>
        <w:tc>
          <w:tcPr>
            <w:tcW w:type="dxa" w:w="8352"/>
            <w:vAlign w:val="center"/>
          </w:tcPr>
          <w:p>
            <w:pPr>
              <w:spacing w:after="40" w:before="40"/>
            </w:pPr>
            <w:r/>
            <w:r>
              <w:rPr>
                <w:rFonts w:ascii="Aptos" w:hAnsi="Aptos"/>
                <w:b w:val="0"/>
                <w:color w:val="23303D"/>
                <w:sz w:val="18"/>
              </w:rPr>
              <w:t>The client loads public product endpoints. Cart items and quantities are stored in localStorage; the backend remains the source for product and stock data.</w:t>
            </w:r>
          </w:p>
        </w:tc>
      </w:tr>
      <w:tr>
        <w:tc>
          <w:tcPr>
            <w:tcW w:type="dxa" w:w="1944"/>
            <w:vAlign w:val="center"/>
            <w:shd w:fill="F1F5F7"/>
          </w:tcPr>
          <w:p>
            <w:pPr>
              <w:spacing w:after="40" w:before="40"/>
            </w:pPr>
            <w:r/>
            <w:r>
              <w:rPr>
                <w:rFonts w:ascii="Aptos" w:hAnsi="Aptos"/>
                <w:b/>
                <w:color w:val="23303D"/>
                <w:sz w:val="18"/>
              </w:rPr>
              <w:t>Place an order</w:t>
            </w:r>
          </w:p>
        </w:tc>
        <w:tc>
          <w:tcPr>
            <w:tcW w:type="dxa" w:w="8352"/>
            <w:vAlign w:val="center"/>
            <w:shd w:fill="F1F5F7"/>
          </w:tcPr>
          <w:p>
            <w:pPr>
              <w:spacing w:after="40" w:before="40"/>
            </w:pPr>
            <w:r/>
            <w:r>
              <w:rPr>
                <w:rFonts w:ascii="Aptos" w:hAnsi="Aptos"/>
                <w:b w:val="0"/>
                <w:color w:val="23303D"/>
                <w:sz w:val="18"/>
              </w:rPr>
              <w:t>Checkout sends the delivery address and cart details to protected payment/order endpoints. The server creates the address and order records and returns an order result. Payment is simulated.</w:t>
            </w:r>
          </w:p>
        </w:tc>
      </w:tr>
      <w:tr>
        <w:tc>
          <w:tcPr>
            <w:tcW w:type="dxa" w:w="1944"/>
            <w:vAlign w:val="center"/>
          </w:tcPr>
          <w:p>
            <w:pPr>
              <w:spacing w:after="40" w:before="40"/>
            </w:pPr>
            <w:r/>
            <w:r>
              <w:rPr>
                <w:rFonts w:ascii="Aptos" w:hAnsi="Aptos"/>
                <w:b/>
                <w:color w:val="23303D"/>
                <w:sz w:val="18"/>
              </w:rPr>
              <w:t>Manage orders</w:t>
            </w:r>
          </w:p>
        </w:tc>
        <w:tc>
          <w:tcPr>
            <w:tcW w:type="dxa" w:w="8352"/>
            <w:vAlign w:val="center"/>
          </w:tcPr>
          <w:p>
            <w:pPr>
              <w:spacing w:after="40" w:before="40"/>
            </w:pPr>
            <w:r/>
            <w:r>
              <w:rPr>
                <w:rFonts w:ascii="Aptos" w:hAnsi="Aptos"/>
                <w:b w:val="0"/>
                <w:color w:val="23303D"/>
                <w:sz w:val="18"/>
              </w:rPr>
              <w:t>Customers request their own order history. Admin endpoints list orders and update fulfilment status; authorization is checked on the server.</w:t>
            </w:r>
          </w:p>
        </w:tc>
      </w:tr>
      <w:tr>
        <w:tc>
          <w:tcPr>
            <w:tcW w:type="dxa" w:w="1944"/>
            <w:vAlign w:val="center"/>
            <w:shd w:fill="F1F5F7"/>
          </w:tcPr>
          <w:p>
            <w:pPr>
              <w:spacing w:after="40" w:before="40"/>
            </w:pPr>
            <w:r/>
            <w:r>
              <w:rPr>
                <w:rFonts w:ascii="Aptos" w:hAnsi="Aptos"/>
                <w:b/>
                <w:color w:val="23303D"/>
                <w:sz w:val="18"/>
              </w:rPr>
              <w:t>Manage catalogue</w:t>
            </w:r>
          </w:p>
        </w:tc>
        <w:tc>
          <w:tcPr>
            <w:tcW w:type="dxa" w:w="8352"/>
            <w:vAlign w:val="center"/>
            <w:shd w:fill="F1F5F7"/>
          </w:tcPr>
          <w:p>
            <w:pPr>
              <w:spacing w:after="40" w:before="40"/>
            </w:pPr>
            <w:r/>
            <w:r>
              <w:rPr>
                <w:rFonts w:ascii="Aptos" w:hAnsi="Aptos"/>
                <w:b w:val="0"/>
                <w:color w:val="23303D"/>
                <w:sz w:val="18"/>
              </w:rPr>
              <w:t>Admin product endpoints support create, update, delete, and image upload. The admin dashboard summarizes order and customer counts and revenue.</w:t>
            </w:r>
          </w:p>
        </w:tc>
      </w:tr>
    </w:tbl>
    <w:p>
      <w:pPr>
        <w:spacing w:after="0"/>
      </w:pPr>
    </w:p>
    <w:p>
      <w:pPr>
        <w:pStyle w:val="Heading1"/>
      </w:pPr>
      <w:r>
        <w:t>Design choices to explain</w:t>
      </w:r>
    </w:p>
    <w:p>
      <w:pPr>
        <w:pStyle w:val="ListBullet"/>
        <w:spacing w:after="40"/>
        <w:ind w:left="317" w:hanging="173"/>
      </w:pPr>
      <w:r>
        <w:t>Authorization is enforced in API middleware, so hiding an admin page in the client is not the security boundary.</w:t>
      </w:r>
    </w:p>
    <w:p>
      <w:pPr>
        <w:pStyle w:val="ListBullet"/>
        <w:spacing w:after="40"/>
        <w:ind w:left="317" w:hanging="173"/>
      </w:pPr>
      <w:r>
        <w:t>Email verification codes are stored as hashes with a short expiry, reducing exposure if stored data is read.</w:t>
      </w:r>
    </w:p>
    <w:p>
      <w:pPr>
        <w:pStyle w:val="ListBullet"/>
        <w:spacing w:after="40"/>
        <w:ind w:left="317" w:hanging="173"/>
      </w:pPr>
      <w:r>
        <w:t>The cart is browser-persisted for convenience; it is not a cross-device or server-synchronized cart.</w:t>
      </w:r>
    </w:p>
    <w:p>
      <w:pPr>
        <w:pStyle w:val="ListBullet"/>
        <w:spacing w:after="40"/>
        <w:ind w:left="317" w:hanging="173"/>
      </w:pPr>
      <w:r>
        <w:t>Product and order persistence are separate from the client UI, allowing the API to serve both customer and admin workflows.</w:t>
      </w:r>
    </w:p>
    <w:p>
      <w:r>
        <w:br w:type="page"/>
      </w:r>
    </w:p>
    <w:p>
      <w:pPr>
        <w:pStyle w:val="Heading1"/>
      </w:pPr>
      <w:r>
        <w:t>Admin capabilities and project status</w:t>
      </w:r>
    </w:p>
    <w:p>
      <w:r>
        <w:t>The admin interface is available at /admin and supports product maintenance, order review and fulfilment status changes, plus a dashboard with order and customer counts and revenue totals. Revenue is derived from orders marked shipped or delivered. An administrator role must be assigned to a user in the database before that account can use the admin APIs.</w:t>
      </w:r>
    </w:p>
    <w:p>
      <w:pPr>
        <w:pStyle w:val="Heading1"/>
      </w:pPr>
      <w:r>
        <w:t>Verification and known limits</w:t>
      </w:r>
    </w:p>
    <w:p>
      <w:pPr>
        <w:pStyle w:val="ListBullet"/>
        <w:spacing w:after="40"/>
        <w:ind w:left="317" w:hanging="173"/>
      </w:pPr>
      <w:r>
        <w:t>The client production build completed successfully with Vite.</w:t>
      </w:r>
    </w:p>
    <w:p>
      <w:pPr>
        <w:pStyle w:val="ListBullet"/>
        <w:spacing w:after="40"/>
        <w:ind w:left="317" w:hanging="173"/>
      </w:pPr>
      <w:r>
        <w:t>Backend syntax checks were completed for the authentication changes; no end-to-end run against a live database or payment provider is claimed.</w:t>
      </w:r>
    </w:p>
    <w:p>
      <w:pPr>
        <w:pStyle w:val="ListBullet"/>
        <w:spacing w:after="40"/>
        <w:ind w:left="317" w:hanging="173"/>
      </w:pPr>
      <w:r>
        <w:t>Real payment capture and server-side gateway signature verification are not implemented yet.</w:t>
      </w:r>
    </w:p>
    <w:p>
      <w:pPr>
        <w:pStyle w:val="ListBullet"/>
        <w:spacing w:after="40"/>
        <w:ind w:left="317" w:hanging="173"/>
      </w:pPr>
      <w:r>
        <w:t>The profile page is read-only, and cart contents live in the current browser storage.</w:t>
      </w:r>
    </w:p>
    <w:p>
      <w:pPr>
        <w:pStyle w:val="ListBullet"/>
        <w:spacing w:after="40"/>
        <w:ind w:left="317" w:hanging="173"/>
      </w:pPr>
      <w:r>
        <w:t>The API base URL is currently configured as localhost in the client, so a deployment should move it to environment-based configuration.</w:t>
      </w:r>
    </w:p>
    <w:p>
      <w:pPr>
        <w:pStyle w:val="Heading1"/>
      </w:pPr>
      <w:r>
        <w:t>Recommended next steps</w:t>
      </w:r>
    </w:p>
    <w:tbl>
      <w:tblPr>
        <w:tblW w:type="auto" w:w="0"/>
        <w:jc w:val="center"/>
        <w:tblLayout w:type="fixed"/>
        <w:tblLook w:firstColumn="1" w:firstRow="1" w:lastColumn="0" w:lastRow="0" w:noHBand="0" w:noVBand="1" w:val="04A0"/>
      </w:tblPr>
      <w:tblGrid>
        <w:gridCol w:w="5083"/>
        <w:gridCol w:w="5083"/>
      </w:tblGrid>
      <w:tr>
        <w:tc>
          <w:tcPr>
            <w:tcW w:type="dxa" w:w="1368"/>
            <w:vAlign w:val="center"/>
            <w:shd w:fill="263746"/>
          </w:tcPr>
          <w:p>
            <w:pPr>
              <w:spacing w:after="40" w:before="40"/>
            </w:pPr>
            <w:r/>
            <w:r>
              <w:rPr>
                <w:rFonts w:ascii="Aptos" w:hAnsi="Aptos"/>
                <w:b/>
                <w:color w:val="FFFFFF"/>
                <w:sz w:val="18"/>
              </w:rPr>
              <w:t>Priority</w:t>
            </w:r>
          </w:p>
        </w:tc>
        <w:tc>
          <w:tcPr>
            <w:tcW w:type="dxa" w:w="8928"/>
            <w:vAlign w:val="center"/>
            <w:shd w:fill="263746"/>
          </w:tcPr>
          <w:p>
            <w:pPr>
              <w:spacing w:after="40" w:before="40"/>
            </w:pPr>
            <w:r/>
            <w:r>
              <w:rPr>
                <w:rFonts w:ascii="Aptos" w:hAnsi="Aptos"/>
                <w:b/>
                <w:color w:val="FFFFFF"/>
                <w:sz w:val="18"/>
              </w:rPr>
              <w:t>Next improvement</w:t>
            </w:r>
          </w:p>
        </w:tc>
      </w:tr>
      <w:tr>
        <w:tc>
          <w:tcPr>
            <w:tcW w:type="dxa" w:w="1368"/>
            <w:vAlign w:val="center"/>
            <w:shd w:fill="F1F5F7"/>
          </w:tcPr>
          <w:p>
            <w:pPr>
              <w:spacing w:after="40" w:before="40"/>
            </w:pPr>
            <w:r/>
            <w:r>
              <w:rPr>
                <w:rFonts w:ascii="Aptos" w:hAnsi="Aptos"/>
                <w:b/>
                <w:color w:val="23303D"/>
                <w:sz w:val="18"/>
              </w:rPr>
              <w:t>1</w:t>
            </w:r>
          </w:p>
        </w:tc>
        <w:tc>
          <w:tcPr>
            <w:tcW w:type="dxa" w:w="8928"/>
            <w:vAlign w:val="center"/>
            <w:shd w:fill="F1F5F7"/>
          </w:tcPr>
          <w:p>
            <w:pPr>
              <w:spacing w:after="40" w:before="40"/>
            </w:pPr>
            <w:r/>
            <w:r>
              <w:rPr>
                <w:rFonts w:ascii="Aptos" w:hAnsi="Aptos"/>
                <w:b w:val="0"/>
                <w:color w:val="23303D"/>
                <w:sz w:val="18"/>
              </w:rPr>
              <w:t>Integrate real Razorpay order creation and verify payment signatures on the server before marking an order paid.</w:t>
            </w:r>
          </w:p>
        </w:tc>
      </w:tr>
      <w:tr>
        <w:tc>
          <w:tcPr>
            <w:tcW w:type="dxa" w:w="1368"/>
            <w:vAlign w:val="center"/>
          </w:tcPr>
          <w:p>
            <w:pPr>
              <w:spacing w:after="40" w:before="40"/>
            </w:pPr>
            <w:r/>
            <w:r>
              <w:rPr>
                <w:rFonts w:ascii="Aptos" w:hAnsi="Aptos"/>
                <w:b/>
                <w:color w:val="23303D"/>
                <w:sz w:val="18"/>
              </w:rPr>
              <w:t>2</w:t>
            </w:r>
          </w:p>
        </w:tc>
        <w:tc>
          <w:tcPr>
            <w:tcW w:type="dxa" w:w="8928"/>
            <w:vAlign w:val="center"/>
          </w:tcPr>
          <w:p>
            <w:pPr>
              <w:spacing w:after="40" w:before="40"/>
            </w:pPr>
            <w:r/>
            <w:r>
              <w:rPr>
                <w:rFonts w:ascii="Aptos" w:hAnsi="Aptos"/>
                <w:b w:val="0"/>
                <w:color w:val="23303D"/>
                <w:sz w:val="18"/>
              </w:rPr>
              <w:t>Move API endpoints and service credentials into deployment-specific environment configuration.</w:t>
            </w:r>
          </w:p>
        </w:tc>
      </w:tr>
      <w:tr>
        <w:tc>
          <w:tcPr>
            <w:tcW w:type="dxa" w:w="1368"/>
            <w:vAlign w:val="center"/>
            <w:shd w:fill="F1F5F7"/>
          </w:tcPr>
          <w:p>
            <w:pPr>
              <w:spacing w:after="40" w:before="40"/>
            </w:pPr>
            <w:r/>
            <w:r>
              <w:rPr>
                <w:rFonts w:ascii="Aptos" w:hAnsi="Aptos"/>
                <w:b/>
                <w:color w:val="23303D"/>
                <w:sz w:val="18"/>
              </w:rPr>
              <w:t>3</w:t>
            </w:r>
          </w:p>
        </w:tc>
        <w:tc>
          <w:tcPr>
            <w:tcW w:type="dxa" w:w="8928"/>
            <w:vAlign w:val="center"/>
            <w:shd w:fill="F1F5F7"/>
          </w:tcPr>
          <w:p>
            <w:pPr>
              <w:spacing w:after="40" w:before="40"/>
            </w:pPr>
            <w:r/>
            <w:r>
              <w:rPr>
                <w:rFonts w:ascii="Aptos" w:hAnsi="Aptos"/>
                <w:b w:val="0"/>
                <w:color w:val="23303D"/>
                <w:sz w:val="18"/>
              </w:rPr>
              <w:t>Add automated tests for authentication, stock validation, order ownership, admin permissions, and checkout failures.</w:t>
            </w:r>
          </w:p>
        </w:tc>
      </w:tr>
      <w:tr>
        <w:tc>
          <w:tcPr>
            <w:tcW w:type="dxa" w:w="1368"/>
            <w:vAlign w:val="center"/>
          </w:tcPr>
          <w:p>
            <w:pPr>
              <w:spacing w:after="40" w:before="40"/>
            </w:pPr>
            <w:r/>
            <w:r>
              <w:rPr>
                <w:rFonts w:ascii="Aptos" w:hAnsi="Aptos"/>
                <w:b/>
                <w:color w:val="23303D"/>
                <w:sz w:val="18"/>
              </w:rPr>
              <w:t>4</w:t>
            </w:r>
          </w:p>
        </w:tc>
        <w:tc>
          <w:tcPr>
            <w:tcW w:type="dxa" w:w="8928"/>
            <w:vAlign w:val="center"/>
          </w:tcPr>
          <w:p>
            <w:pPr>
              <w:spacing w:after="40" w:before="40"/>
            </w:pPr>
            <w:r/>
            <w:r>
              <w:rPr>
                <w:rFonts w:ascii="Aptos" w:hAnsi="Aptos"/>
                <w:b w:val="0"/>
                <w:color w:val="23303D"/>
                <w:sz w:val="18"/>
              </w:rPr>
              <w:t>Add profile editing and saved addresses, plus stronger checkout validation and stock concurrency handling.</w:t>
            </w:r>
          </w:p>
        </w:tc>
      </w:tr>
    </w:tbl>
    <w:p>
      <w:pPr>
        <w:spacing w:after="0"/>
      </w:pPr>
    </w:p>
    <w:p>
      <w:pPr>
        <w:pStyle w:val="Heading1"/>
      </w:pPr>
      <w:r>
        <w:t>Interview discussion points</w:t>
      </w:r>
    </w:p>
    <w:p>
      <w:pPr>
        <w:pStyle w:val="ListBullet"/>
        <w:spacing w:after="40"/>
        <w:ind w:left="317" w:hanging="173"/>
      </w:pPr>
      <w:r>
        <w:t>Explain how a product request moves from the React page through the Express route/controller to MongoDB and back.</w:t>
      </w:r>
    </w:p>
    <w:p>
      <w:pPr>
        <w:pStyle w:val="ListBullet"/>
        <w:spacing w:after="40"/>
        <w:ind w:left="317" w:hanging="173"/>
      </w:pPr>
      <w:r>
        <w:t>Describe why JWT authentication and role checks are both needed, and where each is enforced.</w:t>
      </w:r>
    </w:p>
    <w:p>
      <w:pPr>
        <w:pStyle w:val="ListBullet"/>
        <w:spacing w:after="40"/>
        <w:ind w:left="317" w:hanging="173"/>
      </w:pPr>
      <w:r>
        <w:t>Be transparent that payment is simulated; outline the server-side signature verification and order-state changes needed for production.</w:t>
      </w:r>
    </w:p>
    <w:p>
      <w:pPr>
        <w:pStyle w:val="ListBullet"/>
        <w:spacing w:after="40"/>
        <w:ind w:left="317" w:hanging="173"/>
      </w:pPr>
      <w:r>
        <w:t>Discuss tradeoffs: localStorage makes cart recovery simple, while server-side cart sync would support multiple devices and authenticated recovery.</w:t>
      </w:r>
    </w:p>
    <w:p>
      <w:pPr>
        <w:pStyle w:val="Heading1"/>
      </w:pPr>
      <w:r>
        <w:t>Short closing summary</w:t>
      </w:r>
    </w:p>
    <w:p>
      <w:r>
        <w:t>EzyMart demonstrates an end-to-end ecommerce workflow with separate customer and administrator experiences. Its core catalogue, account, cart, order, and admin paths are implemented. The main production gap is payment verification, followed by deployment configuration and broader automated coverage.</w:t>
      </w:r>
    </w:p>
    <w:sectPr w:rsidR="00FC693F" w:rsidRPr="0006063C" w:rsidSect="00034616">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B3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EzyMart Project Report</dc:title>
  <dc:subject>Interview report for a full stack ecommerce application</dc:subject>
  <dc:creator>EzyMart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