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40"/>
        </w:rPr>
        <w:t>TECHNICAL AUDIT OF THE PROJECT DOCUMENTATION</w:t>
      </w:r>
    </w:p>
    <w:p>
      <w:pPr>
        <w:spacing w:before="40"/>
        <w:jc w:val="center"/>
      </w:pPr>
      <w:r>
        <w:rPr>
          <w:i/>
          <w:color w:val="404040"/>
          <w:sz w:val="24"/>
        </w:rPr>
        <w:t>Verification of every metric, table and claim in the</w:t>
        <w:br/>
        <w:t>IEOM Conference Paper and the previous-semester IDP Lab Report</w:t>
      </w:r>
    </w:p>
    <w:p/>
    <w:p>
      <w:pPr>
        <w:jc w:val="center"/>
      </w:pPr>
      <w:r>
        <w:rPr>
          <w:b/>
          <w:color w:val="1F3864"/>
          <w:sz w:val="52"/>
        </w:rPr>
        <w:t>BIN GENIE</w:t>
      </w:r>
    </w:p>
    <w:p>
      <w:pPr>
        <w:jc w:val="center"/>
      </w:pPr>
      <w:r>
        <w:rPr>
          <w:color w:val="404040"/>
          <w:sz w:val="22"/>
        </w:rPr>
        <w:t>Waste Segregating Smart Bin</w:t>
        <w:br/>
        <w:t>IoT-Enabled Waste Segregation using a Carousel Disc Mechanism and AI-Driven Image Recognition</w:t>
      </w:r>
    </w:p>
    <w:p/>
    <w:p/>
    <w:p/>
    <w:tbl>
      <w:tblPr>
        <w:tblStyle w:val="TableGrid"/>
        <w:tblLook w:firstColumn="1" w:firstRow="1" w:lastColumn="0" w:lastRow="0" w:noHBand="0" w:noVBand="1" w:val="04A0"/>
        <w:tblCellMar>
          <w:top w:w="40" w:type="dxa"/>
          <w:left w:w="70" w:type="dxa"/>
          <w:bottom w:w="40" w:type="dxa"/>
          <w:right w:w="70" w:type="dxa"/>
        </w:tblCellMar>
        <w:tblLayout w:type="fixed"/>
        <w:tblW w:type="dxa" w:w="9412"/>
      </w:tblPr>
      <w:tblGrid>
        <w:gridCol w:w="4706"/>
        <w:gridCol w:w="4706"/>
      </w:tblGrid>
      <w:tr>
        <w:tc>
          <w:tcPr>
            <w:tcW w:type="dxa" w:w="1928"/>
            <w:shd w:val="clear" w:color="auto" w:fill="1F3864"/>
          </w:tcPr>
          <w:p>
            <w:pPr>
              <w:spacing w:after="0"/>
            </w:pPr>
            <w:r>
              <w:rPr>
                <w:rFonts w:ascii="Calibri" w:hAnsi="Calibri"/>
                <w:b/>
                <w:color w:val="FFFFFF"/>
                <w:sz w:val="18"/>
              </w:rPr>
              <w:t>Purpose</w:t>
            </w:r>
          </w:p>
        </w:tc>
        <w:tc>
          <w:tcPr>
            <w:tcW w:type="dxa" w:w="7483"/>
          </w:tcPr>
          <w:p>
            <w:pPr>
              <w:spacing w:after="0" w:line="240" w:lineRule="auto"/>
            </w:pPr>
            <w:r>
              <w:rPr>
                <w:rFonts w:ascii="Calibri" w:hAnsi="Calibri"/>
                <w:sz w:val="17"/>
              </w:rPr>
              <w:t>Pre-submission integrity check. Identifies metrics that are numerically</w:t>
              <w:br/>
              <w:t>impossible, mutually contradictory, or not reachable with the stated</w:t>
              <w:br/>
              <w:t>hardware, dataset and test plan.</w:t>
            </w:r>
          </w:p>
        </w:tc>
      </w:tr>
      <w:tr>
        <w:tc>
          <w:tcPr>
            <w:tcW w:type="dxa" w:w="1928"/>
            <w:shd w:val="clear" w:color="auto" w:fill="1F3864"/>
          </w:tcPr>
          <w:p>
            <w:pPr>
              <w:spacing w:after="0"/>
            </w:pPr>
            <w:r>
              <w:rPr>
                <w:rFonts w:ascii="Calibri" w:hAnsi="Calibri"/>
                <w:b/>
                <w:color w:val="FFFFFF"/>
                <w:sz w:val="18"/>
              </w:rPr>
              <w:t>Source 1</w:t>
            </w:r>
          </w:p>
        </w:tc>
        <w:tc>
          <w:tcPr>
            <w:tcW w:type="dxa" w:w="7483"/>
          </w:tcPr>
          <w:p>
            <w:pPr>
              <w:spacing w:after="0" w:line="240" w:lineRule="auto"/>
            </w:pPr>
            <w:r>
              <w:rPr>
                <w:rFonts w:ascii="Calibri" w:hAnsi="Calibri"/>
                <w:sz w:val="17"/>
              </w:rPr>
              <w:t>IEOM Conference Full Paper_142 — “Development of IoT-Enabled Waste</w:t>
              <w:br/>
              <w:t>Segregation System Using Carousel Disc Mechanism and AI-Driven Image</w:t>
              <w:br/>
              <w:t>Recognition”, 5th Indian International Conference on IEOM, Vellore, 6–8 Nov 2025 (12 pp.)</w:t>
            </w:r>
          </w:p>
        </w:tc>
      </w:tr>
      <w:tr>
        <w:tc>
          <w:tcPr>
            <w:tcW w:type="dxa" w:w="1928"/>
            <w:shd w:val="clear" w:color="auto" w:fill="1F3864"/>
          </w:tcPr>
          <w:p>
            <w:pPr>
              <w:spacing w:after="0"/>
            </w:pPr>
            <w:r>
              <w:rPr>
                <w:rFonts w:ascii="Calibri" w:hAnsi="Calibri"/>
                <w:b/>
                <w:color w:val="FFFFFF"/>
                <w:sz w:val="18"/>
              </w:rPr>
              <w:t>Source 2</w:t>
            </w:r>
          </w:p>
        </w:tc>
        <w:tc>
          <w:tcPr>
            <w:tcW w:type="dxa" w:w="7483"/>
          </w:tcPr>
          <w:p>
            <w:pPr>
              <w:spacing w:after="0" w:line="240" w:lineRule="auto"/>
            </w:pPr>
            <w:r>
              <w:rPr>
                <w:rFonts w:ascii="Calibri" w:hAnsi="Calibri"/>
                <w:sz w:val="17"/>
              </w:rPr>
              <w:t>IDFP Lab Report — “Waste Segregating Smart Bin (BinGenie)”, Innovative</w:t>
              <w:br/>
              <w:t>Design and Fabrication Project 20MUPJ601, dated May 2026 (43 pp.)</w:t>
            </w:r>
          </w:p>
        </w:tc>
      </w:tr>
      <w:tr>
        <w:tc>
          <w:tcPr>
            <w:tcW w:type="dxa" w:w="1928"/>
            <w:shd w:val="clear" w:color="auto" w:fill="1F3864"/>
          </w:tcPr>
          <w:p>
            <w:pPr>
              <w:spacing w:after="0"/>
            </w:pPr>
            <w:r>
              <w:rPr>
                <w:rFonts w:ascii="Calibri" w:hAnsi="Calibri"/>
                <w:b/>
                <w:color w:val="FFFFFF"/>
                <w:sz w:val="18"/>
              </w:rPr>
              <w:t>Output</w:t>
            </w:r>
          </w:p>
        </w:tc>
        <w:tc>
          <w:tcPr>
            <w:tcW w:type="dxa" w:w="7483"/>
          </w:tcPr>
          <w:p>
            <w:pPr>
              <w:spacing w:after="0" w:line="240" w:lineRule="auto"/>
            </w:pPr>
            <w:r>
              <w:rPr>
                <w:rFonts w:ascii="Calibri" w:hAnsi="Calibri"/>
                <w:sz w:val="17"/>
              </w:rPr>
              <w:t>One consolidated issue register + a single master value ledger that the</w:t>
              <w:br/>
              <w:t>current-semester report must be built from.</w:t>
            </w:r>
          </w:p>
        </w:tc>
      </w:tr>
    </w:tbl>
    <w:p/>
    <w:p>
      <w:pPr>
        <w:jc w:val="center"/>
      </w:pPr>
      <w:r>
        <w:rPr>
          <w:b/>
          <w:color w:val="404040"/>
          <w:sz w:val="20"/>
        </w:rPr>
        <w:t>Audit date: 28 October 2026</w:t>
      </w:r>
    </w:p>
    <w:p>
      <w:r>
        <w:br w:type="page"/>
      </w:r>
    </w:p>
    <w:p>
      <w:pPr>
        <w:keepNext/>
        <w:spacing w:before="200" w:after="120"/>
        <w:jc w:val="left"/>
        <w:pBdr>
          <w:bottom w:val="single" w:sz="8" w:space="2" w:color="1F3864"/>
        </w:pBdr>
      </w:pPr>
      <w:r>
        <w:rPr>
          <w:rFonts w:ascii="Times New Roman" w:hAnsi="Times New Roman"/>
          <w:b/>
          <w:color w:val="1F3864"/>
          <w:sz w:val="26"/>
        </w:rPr>
        <w:t>1. SCOPE, METHOD AND HOW TO READ THIS AUDIT</w:t>
      </w:r>
    </w:p>
    <w:p>
      <w:pPr>
        <w:spacing w:after="120"/>
        <w:ind w:left="0"/>
        <w:jc w:val="both"/>
      </w:pPr>
      <w:r>
        <w:rPr>
          <w:b w:val="0"/>
          <w:i w:val="0"/>
          <w:sz w:val="22"/>
        </w:rPr>
        <w:t>Two documents describing the same project were read in full, cross-checked against each other, and re-computed from first principles. Every confusion matrix was re-added row-wise and column-wise; every percentage was recomputed from its numerator and denominator; every forecast was tested for internal growth consistency; and every physical claim (battery, motor, geometry, throughput) was reduced to watts, millimetres and seconds. Market and demographic figures were traced to published sources.</w:t>
      </w:r>
    </w:p>
    <w:p>
      <w:pPr>
        <w:spacing w:after="120"/>
        <w:ind w:left="0"/>
        <w:jc w:val="both"/>
      </w:pPr>
      <w:r>
        <w:rPr>
          <w:b w:val="0"/>
          <w:i w:val="0"/>
          <w:sz w:val="22"/>
        </w:rPr>
        <w:t>Three questions were asked of each item:</w:t>
      </w:r>
    </w:p>
    <w:p>
      <w:pPr>
        <w:pStyle w:val="ListBullet"/>
        <w:spacing w:after="40"/>
        <w:ind w:left="425" w:hanging="255"/>
        <w:jc w:val="both"/>
      </w:pPr>
      <w:r>
        <w:rPr>
          <w:b/>
          <w:sz w:val="21"/>
        </w:rPr>
        <w:t>Is it possible?</w:t>
      </w:r>
      <w:r>
        <w:rPr>
          <w:b w:val="0"/>
          <w:sz w:val="21"/>
        </w:rPr>
        <w:t xml:space="preserve"> Does the arithmetic close? (e.g. do the rows of a confusion matrix add to the stated test set?)</w:t>
      </w:r>
    </w:p>
    <w:p>
      <w:pPr>
        <w:pStyle w:val="ListBullet"/>
        <w:spacing w:after="40"/>
        <w:ind w:left="425" w:hanging="255"/>
        <w:jc w:val="both"/>
      </w:pPr>
      <w:r>
        <w:rPr>
          <w:b/>
          <w:sz w:val="21"/>
        </w:rPr>
        <w:t>Is it consistent?</w:t>
      </w:r>
      <w:r>
        <w:rPr>
          <w:b w:val="0"/>
          <w:sz w:val="21"/>
        </w:rPr>
        <w:t xml:space="preserve"> Do the two documents, and different sections of the same document, agree on the number?</w:t>
      </w:r>
    </w:p>
    <w:p>
      <w:pPr>
        <w:pStyle w:val="ListBullet"/>
        <w:spacing w:after="40"/>
        <w:ind w:left="425" w:hanging="255"/>
        <w:jc w:val="both"/>
      </w:pPr>
      <w:r>
        <w:rPr>
          <w:b/>
          <w:sz w:val="21"/>
        </w:rPr>
        <w:t>Is it reachable?</w:t>
      </w:r>
      <w:r>
        <w:rPr>
          <w:b w:val="0"/>
          <w:sz w:val="21"/>
        </w:rPr>
        <w:t xml:space="preserve"> Can the stated prototype, dataset and test plan actually produce this result, and is there a measurement record to defend it in a viva?</w:t>
      </w:r>
    </w:p>
    <w:p>
      <w:pPr>
        <w:keepNext/>
        <w:spacing w:before="200" w:after="80"/>
        <w:jc w:val="left"/>
      </w:pPr>
      <w:r>
        <w:rPr>
          <w:b/>
          <w:color w:val="1F3864"/>
          <w:sz w:val="23"/>
        </w:rPr>
        <w:t>Severity scale used throughout</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1134"/>
        <w:gridCol w:w="4195"/>
        <w:gridCol w:w="4082"/>
      </w:tblGrid>
      <w:tr>
        <w:trPr>
          <w:tblHeader w:val="true"/>
          <w:cantSplit w:val="true"/>
        </w:trPr>
        <w:tc>
          <w:tcPr>
            <w:tcW w:type="dxa" w:w="1134"/>
            <w:shd w:val="clear" w:color="auto" w:fill="1F3864"/>
          </w:tcPr>
          <w:p>
            <w:pPr>
              <w:spacing w:after="0" w:line="240" w:lineRule="auto"/>
              <w:jc w:val="left"/>
            </w:pPr>
            <w:r/>
            <w:r>
              <w:rPr>
                <w:rFonts w:ascii="Calibri" w:hAnsi="Calibri"/>
                <w:b/>
                <w:color w:val="FFFFFF"/>
                <w:sz w:val="16"/>
              </w:rPr>
              <w:t>Tag</w:t>
            </w:r>
          </w:p>
        </w:tc>
        <w:tc>
          <w:tcPr>
            <w:tcW w:type="dxa" w:w="4195"/>
            <w:shd w:val="clear" w:color="auto" w:fill="1F3864"/>
          </w:tcPr>
          <w:p>
            <w:pPr>
              <w:spacing w:after="0" w:line="240" w:lineRule="auto"/>
              <w:jc w:val="left"/>
            </w:pPr>
            <w:r/>
            <w:r>
              <w:rPr>
                <w:rFonts w:ascii="Calibri" w:hAnsi="Calibri"/>
                <w:b/>
                <w:color w:val="FFFFFF"/>
                <w:sz w:val="16"/>
              </w:rPr>
              <w:t>Meaning</w:t>
            </w:r>
          </w:p>
        </w:tc>
        <w:tc>
          <w:tcPr>
            <w:tcW w:type="dxa" w:w="4082"/>
            <w:shd w:val="clear" w:color="auto" w:fill="1F3864"/>
          </w:tcPr>
          <w:p>
            <w:pPr>
              <w:spacing w:after="0" w:line="240" w:lineRule="auto"/>
              <w:jc w:val="left"/>
            </w:pPr>
            <w:r/>
            <w:r>
              <w:rPr>
                <w:rFonts w:ascii="Calibri" w:hAnsi="Calibri"/>
                <w:b/>
                <w:color w:val="FFFFFF"/>
                <w:sz w:val="16"/>
              </w:rPr>
              <w:t>Consequence if left uncorrected</w:t>
            </w:r>
          </w:p>
        </w:tc>
      </w:tr>
      <w:tr>
        <w:trPr>
          <w:cantSplit w:val="true"/>
        </w:trPr>
        <w:tc>
          <w:tcPr>
            <w:tcW w:type="dxa" w:w="1134"/>
            <w:shd w:val="clear" w:color="auto" w:fill="F8D7DA"/>
          </w:tcPr>
          <w:p>
            <w:pPr>
              <w:spacing w:after="0" w:line="240" w:lineRule="auto"/>
              <w:jc w:val="left"/>
            </w:pPr>
            <w:r/>
            <w:r>
              <w:rPr>
                <w:rFonts w:ascii="Calibri" w:hAnsi="Calibri"/>
                <w:b w:val="0"/>
                <w:sz w:val="16"/>
              </w:rPr>
              <w:t>BLOCKER</w:t>
            </w:r>
          </w:p>
        </w:tc>
        <w:tc>
          <w:tcPr>
            <w:tcW w:type="dxa" w:w="4195"/>
          </w:tcPr>
          <w:p>
            <w:pPr>
              <w:spacing w:after="0" w:line="240" w:lineRule="auto"/>
              <w:jc w:val="left"/>
            </w:pPr>
            <w:r/>
            <w:r>
              <w:rPr>
                <w:rFonts w:ascii="Calibri" w:hAnsi="Calibri"/>
                <w:b w:val="0"/>
                <w:sz w:val="16"/>
              </w:rPr>
              <w:t>Numerically impossible, or two values that cannot both be true for the same experiment.</w:t>
            </w:r>
          </w:p>
        </w:tc>
        <w:tc>
          <w:tcPr>
            <w:tcW w:type="dxa" w:w="4082"/>
          </w:tcPr>
          <w:p>
            <w:pPr>
              <w:spacing w:after="0" w:line="240" w:lineRule="auto"/>
              <w:jc w:val="left"/>
            </w:pPr>
            <w:r/>
            <w:r>
              <w:rPr>
                <w:rFonts w:ascii="Calibri" w:hAnsi="Calibri"/>
                <w:b w:val="0"/>
                <w:sz w:val="16"/>
              </w:rPr>
              <w:t>An external examiner or reviewer can disprove it in one minute of arithmetic. This is the single biggest risk to the new report.</w:t>
            </w:r>
          </w:p>
        </w:tc>
      </w:tr>
      <w:tr>
        <w:trPr>
          <w:cantSplit w:val="true"/>
        </w:trPr>
        <w:tc>
          <w:tcPr>
            <w:tcW w:type="dxa" w:w="1134"/>
            <w:shd w:val="clear" w:color="auto" w:fill="EEF1F7"/>
            <w:shd w:val="clear" w:color="auto" w:fill="FFF0CC"/>
          </w:tcPr>
          <w:p>
            <w:pPr>
              <w:spacing w:after="0" w:line="240" w:lineRule="auto"/>
              <w:jc w:val="left"/>
            </w:pPr>
            <w:r/>
            <w:r>
              <w:rPr>
                <w:rFonts w:ascii="Calibri" w:hAnsi="Calibri"/>
                <w:b w:val="0"/>
                <w:sz w:val="16"/>
              </w:rPr>
              <w:t>MAJOR</w:t>
            </w:r>
          </w:p>
        </w:tc>
        <w:tc>
          <w:tcPr>
            <w:tcW w:type="dxa" w:w="4195"/>
            <w:shd w:val="clear" w:color="auto" w:fill="EEF1F7"/>
          </w:tcPr>
          <w:p>
            <w:pPr>
              <w:spacing w:after="0" w:line="240" w:lineRule="auto"/>
              <w:jc w:val="left"/>
            </w:pPr>
            <w:r/>
            <w:r>
              <w:rPr>
                <w:rFonts w:ascii="Calibri" w:hAnsi="Calibri"/>
                <w:b w:val="0"/>
                <w:sz w:val="16"/>
              </w:rPr>
              <w:t>Possible but unsupported: no dataset count, no baseline, no measurement record, or a figure that a prototype of this build cannot deliver.</w:t>
            </w:r>
          </w:p>
        </w:tc>
        <w:tc>
          <w:tcPr>
            <w:tcW w:type="dxa" w:w="4082"/>
            <w:shd w:val="clear" w:color="auto" w:fill="EEF1F7"/>
          </w:tcPr>
          <w:p>
            <w:pPr>
              <w:spacing w:after="0" w:line="240" w:lineRule="auto"/>
              <w:jc w:val="left"/>
            </w:pPr>
            <w:r/>
            <w:r>
              <w:rPr>
                <w:rFonts w:ascii="Calibri" w:hAnsi="Calibri"/>
                <w:b w:val="0"/>
                <w:sz w:val="16"/>
              </w:rPr>
              <w:t>Attracts the question “show me the log”. Undermines otherwise good work.</w:t>
            </w:r>
          </w:p>
        </w:tc>
      </w:tr>
      <w:tr>
        <w:trPr>
          <w:cantSplit w:val="true"/>
        </w:trPr>
        <w:tc>
          <w:tcPr>
            <w:tcW w:type="dxa" w:w="1134"/>
            <w:shd w:val="clear" w:color="auto" w:fill="E2EFDA"/>
          </w:tcPr>
          <w:p>
            <w:pPr>
              <w:spacing w:after="0" w:line="240" w:lineRule="auto"/>
              <w:jc w:val="left"/>
            </w:pPr>
            <w:r/>
            <w:r>
              <w:rPr>
                <w:rFonts w:ascii="Calibri" w:hAnsi="Calibri"/>
                <w:b w:val="0"/>
                <w:sz w:val="16"/>
              </w:rPr>
              <w:t>MINOR</w:t>
            </w:r>
          </w:p>
        </w:tc>
        <w:tc>
          <w:tcPr>
            <w:tcW w:type="dxa" w:w="4195"/>
          </w:tcPr>
          <w:p>
            <w:pPr>
              <w:spacing w:after="0" w:line="240" w:lineRule="auto"/>
              <w:jc w:val="left"/>
            </w:pPr>
            <w:r/>
            <w:r>
              <w:rPr>
                <w:rFonts w:ascii="Calibri" w:hAnsi="Calibri"/>
                <w:b w:val="0"/>
                <w:sz w:val="16"/>
              </w:rPr>
              <w:t>Editorial: spelling, cross-references, caption/title wording, placeholders, layout.</w:t>
            </w:r>
          </w:p>
        </w:tc>
        <w:tc>
          <w:tcPr>
            <w:tcW w:type="dxa" w:w="4082"/>
          </w:tcPr>
          <w:p>
            <w:pPr>
              <w:spacing w:after="0" w:line="240" w:lineRule="auto"/>
              <w:jc w:val="left"/>
            </w:pPr>
            <w:r/>
            <w:r>
              <w:rPr>
                <w:rFonts w:ascii="Calibri" w:hAnsi="Calibri"/>
                <w:b w:val="0"/>
                <w:sz w:val="16"/>
              </w:rPr>
              <w:t>Damages polish and first impression; easy marks lost.</w:t>
            </w:r>
          </w:p>
        </w:tc>
      </w:tr>
      <w:tr>
        <w:trPr>
          <w:cantSplit w:val="true"/>
        </w:trPr>
        <w:tc>
          <w:tcPr>
            <w:tcW w:type="dxa" w:w="1134"/>
            <w:shd w:val="clear" w:color="auto" w:fill="EEF1F7"/>
            <w:shd w:val="clear" w:color="auto" w:fill="D9EAD3"/>
          </w:tcPr>
          <w:p>
            <w:pPr>
              <w:spacing w:after="0" w:line="240" w:lineRule="auto"/>
              <w:jc w:val="left"/>
            </w:pPr>
            <w:r/>
            <w:r>
              <w:rPr>
                <w:rFonts w:ascii="Calibri" w:hAnsi="Calibri"/>
                <w:b w:val="0"/>
                <w:sz w:val="16"/>
              </w:rPr>
              <w:t>OK</w:t>
            </w:r>
          </w:p>
        </w:tc>
        <w:tc>
          <w:tcPr>
            <w:tcW w:type="dxa" w:w="4195"/>
            <w:shd w:val="clear" w:color="auto" w:fill="EEF1F7"/>
          </w:tcPr>
          <w:p>
            <w:pPr>
              <w:spacing w:after="0" w:line="240" w:lineRule="auto"/>
              <w:jc w:val="left"/>
            </w:pPr>
            <w:r/>
            <w:r>
              <w:rPr>
                <w:rFonts w:ascii="Calibri" w:hAnsi="Calibri"/>
                <w:b w:val="0"/>
                <w:sz w:val="16"/>
              </w:rPr>
              <w:t>Verified correct. Carry forward unchanged into the new report.</w:t>
            </w:r>
          </w:p>
        </w:tc>
        <w:tc>
          <w:tcPr>
            <w:tcW w:type="dxa" w:w="4082"/>
            <w:shd w:val="clear" w:color="auto" w:fill="EEF1F7"/>
          </w:tcPr>
          <w:p>
            <w:pPr>
              <w:spacing w:after="0" w:line="240" w:lineRule="auto"/>
              <w:jc w:val="left"/>
            </w:pPr>
            <w:r/>
            <w:r>
              <w:rPr>
                <w:rFonts w:ascii="Calibri" w:hAnsi="Calibri"/>
                <w:b w:val="0"/>
                <w:sz w:val="16"/>
              </w:rPr>
              <w:t>None — these become the anchors that make the rest credible.</w:t>
            </w:r>
          </w:p>
        </w:tc>
      </w:tr>
    </w:tbl>
    <w:p>
      <w:pPr>
        <w:keepNext/>
        <w:spacing w:before="160" w:after="60"/>
        <w:jc w:val="left"/>
      </w:pPr>
      <w:r>
        <w:rPr>
          <w:rFonts w:ascii="Calibri" w:hAnsi="Calibri"/>
          <w:b/>
          <w:color w:val="1F3864"/>
          <w:sz w:val="18"/>
        </w:rPr>
        <w:t>Table 1.1 — Severity scale.</w:t>
      </w:r>
    </w:p>
    <w:p>
      <w:pPr>
        <w:spacing w:before="40" w:after="160"/>
        <w:jc w:val="left"/>
      </w:pPr>
      <w:r>
        <w:rPr>
          <w:rFonts w:ascii="Calibri" w:hAnsi="Calibri"/>
          <w:i/>
          <w:color w:val="404040"/>
          <w:sz w:val="16"/>
        </w:rPr>
        <w:t>Throughout, “Paper” = IEOM conference paper (5th Indian International Conference on IEOM, Nov 2025); “Report” = previous-semester IDFP Lab Report (May 2026). Numbers in square brackets are section numbers of the source document.</w:t>
      </w:r>
    </w:p>
    <w:p>
      <w:r>
        <w:br w:type="page"/>
      </w:r>
    </w:p>
    <w:p>
      <w:pPr>
        <w:keepNext/>
        <w:spacing w:before="200" w:after="120"/>
        <w:jc w:val="left"/>
        <w:pBdr>
          <w:bottom w:val="single" w:sz="8" w:space="2" w:color="1F3864"/>
        </w:pBdr>
      </w:pPr>
      <w:r>
        <w:rPr>
          <w:rFonts w:ascii="Times New Roman" w:hAnsi="Times New Roman"/>
          <w:b/>
          <w:color w:val="1F3864"/>
          <w:sz w:val="26"/>
        </w:rPr>
        <w:t>2. EXECUTIVE SUMMARY — THE TEN CHANGES THAT MATTER MOST</w:t>
      </w:r>
    </w:p>
    <w:p>
      <w:pPr>
        <w:spacing w:after="120"/>
        <w:ind w:left="0"/>
        <w:jc w:val="both"/>
      </w:pPr>
      <w:r>
        <w:rPr>
          <w:b w:val="0"/>
          <w:i w:val="0"/>
          <w:sz w:val="22"/>
        </w:rPr>
        <w:t xml:space="preserve">The engineering content of both documents is sound and the narrative is well organised. The problem is concentrated in the numbers. Of the quantified claims, </w:t>
      </w:r>
      <w:r>
        <w:rPr>
          <w:b/>
          <w:i w:val="0"/>
          <w:sz w:val="22"/>
        </w:rPr>
        <w:t>the model-performance block is self-contradictory in five independent ways</w:t>
      </w:r>
      <w:r>
        <w:rPr>
          <w:b w:val="0"/>
          <w:i w:val="0"/>
          <w:sz w:val="22"/>
        </w:rPr>
        <w:t xml:space="preserve">, the </w:t>
      </w:r>
      <w:r>
        <w:rPr>
          <w:b/>
          <w:i w:val="0"/>
          <w:sz w:val="22"/>
        </w:rPr>
        <w:t>market sizing is wrong by a factor of 18.6 on the Chennai population</w:t>
      </w:r>
      <w:r>
        <w:rPr>
          <w:b w:val="0"/>
          <w:i w:val="0"/>
          <w:sz w:val="22"/>
        </w:rPr>
        <w:t xml:space="preserve">, and the </w:t>
      </w:r>
      <w:r>
        <w:rPr>
          <w:b/>
          <w:i w:val="0"/>
          <w:sz w:val="22"/>
        </w:rPr>
        <w:t>financial plan contains two revenue series that differ by 29×</w:t>
      </w:r>
      <w:r>
        <w:rPr>
          <w:b w:val="0"/>
          <w:i w:val="0"/>
          <w:sz w:val="22"/>
        </w:rPr>
        <w:t>. These are all fixable before submission, but they must be fixed deliberately, because each wrong number is cross-referenced in three or four places.</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453"/>
        <w:gridCol w:w="1077"/>
        <w:gridCol w:w="3515"/>
        <w:gridCol w:w="1757"/>
        <w:gridCol w:w="2608"/>
      </w:tblGrid>
      <w:tr>
        <w:trPr>
          <w:tblHeader w:val="true"/>
          <w:cantSplit w:val="true"/>
        </w:trPr>
        <w:tc>
          <w:tcPr>
            <w:tcW w:type="dxa" w:w="454"/>
            <w:shd w:val="clear" w:color="auto" w:fill="1F3864"/>
          </w:tcPr>
          <w:p>
            <w:pPr>
              <w:spacing w:after="0" w:line="240" w:lineRule="auto"/>
              <w:jc w:val="left"/>
            </w:pPr>
            <w:r/>
            <w:r>
              <w:rPr>
                <w:rFonts w:ascii="Calibri" w:hAnsi="Calibri"/>
                <w:b/>
                <w:color w:val="FFFFFF"/>
                <w:sz w:val="15"/>
              </w:rPr>
              <w:t>#</w:t>
            </w:r>
          </w:p>
        </w:tc>
        <w:tc>
          <w:tcPr>
            <w:tcW w:type="dxa" w:w="1077"/>
            <w:shd w:val="clear" w:color="auto" w:fill="1F3864"/>
          </w:tcPr>
          <w:p>
            <w:pPr>
              <w:spacing w:after="0" w:line="240" w:lineRule="auto"/>
              <w:jc w:val="left"/>
            </w:pPr>
            <w:r/>
            <w:r>
              <w:rPr>
                <w:rFonts w:ascii="Calibri" w:hAnsi="Calibri"/>
                <w:b/>
                <w:color w:val="FFFFFF"/>
                <w:sz w:val="15"/>
              </w:rPr>
              <w:t>Severity</w:t>
            </w:r>
          </w:p>
        </w:tc>
        <w:tc>
          <w:tcPr>
            <w:tcW w:type="dxa" w:w="3515"/>
            <w:shd w:val="clear" w:color="auto" w:fill="1F3864"/>
          </w:tcPr>
          <w:p>
            <w:pPr>
              <w:spacing w:after="0" w:line="240" w:lineRule="auto"/>
              <w:jc w:val="left"/>
            </w:pPr>
            <w:r/>
            <w:r>
              <w:rPr>
                <w:rFonts w:ascii="Calibri" w:hAnsi="Calibri"/>
                <w:b/>
                <w:color w:val="FFFFFF"/>
                <w:sz w:val="15"/>
              </w:rPr>
              <w:t>Issue</w:t>
            </w:r>
          </w:p>
        </w:tc>
        <w:tc>
          <w:tcPr>
            <w:tcW w:type="dxa" w:w="1757"/>
            <w:shd w:val="clear" w:color="auto" w:fill="1F3864"/>
          </w:tcPr>
          <w:p>
            <w:pPr>
              <w:spacing w:after="0" w:line="240" w:lineRule="auto"/>
              <w:jc w:val="left"/>
            </w:pPr>
            <w:r/>
            <w:r>
              <w:rPr>
                <w:rFonts w:ascii="Calibri" w:hAnsi="Calibri"/>
                <w:b/>
                <w:color w:val="FFFFFF"/>
                <w:sz w:val="15"/>
              </w:rPr>
              <w:t>Where</w:t>
            </w:r>
          </w:p>
        </w:tc>
        <w:tc>
          <w:tcPr>
            <w:tcW w:type="dxa" w:w="2608"/>
            <w:shd w:val="clear" w:color="auto" w:fill="1F3864"/>
          </w:tcPr>
          <w:p>
            <w:pPr>
              <w:spacing w:after="0" w:line="240" w:lineRule="auto"/>
              <w:jc w:val="left"/>
            </w:pPr>
            <w:r/>
            <w:r>
              <w:rPr>
                <w:rFonts w:ascii="Calibri" w:hAnsi="Calibri"/>
                <w:b/>
                <w:color w:val="FFFFFF"/>
                <w:sz w:val="15"/>
              </w:rPr>
              <w:t>Action</w:t>
            </w:r>
          </w:p>
        </w:tc>
      </w:tr>
      <w:tr>
        <w:trPr>
          <w:cantSplit w:val="true"/>
        </w:trPr>
        <w:tc>
          <w:tcPr>
            <w:tcW w:type="dxa" w:w="454"/>
          </w:tcPr>
          <w:p>
            <w:pPr>
              <w:spacing w:after="0" w:line="240" w:lineRule="auto"/>
              <w:jc w:val="left"/>
            </w:pPr>
            <w:r/>
            <w:r>
              <w:rPr>
                <w:rFonts w:ascii="Calibri" w:hAnsi="Calibri"/>
                <w:b w:val="0"/>
                <w:sz w:val="15"/>
              </w:rPr>
              <w:t>1</w:t>
            </w:r>
          </w:p>
        </w:tc>
        <w:tc>
          <w:tcPr>
            <w:tcW w:type="dxa" w:w="1077"/>
            <w:shd w:val="clear" w:color="auto" w:fill="F8D7DA"/>
          </w:tcPr>
          <w:p>
            <w:pPr>
              <w:spacing w:after="0" w:line="240" w:lineRule="auto"/>
              <w:jc w:val="left"/>
            </w:pPr>
            <w:r/>
            <w:r>
              <w:rPr>
                <w:rFonts w:ascii="Calibri" w:hAnsi="Calibri"/>
                <w:b w:val="0"/>
                <w:sz w:val="15"/>
              </w:rPr>
              <w:t>BLOCKER</w:t>
            </w:r>
          </w:p>
        </w:tc>
        <w:tc>
          <w:tcPr>
            <w:tcW w:type="dxa" w:w="3515"/>
          </w:tcPr>
          <w:p>
            <w:pPr>
              <w:spacing w:after="0" w:line="240" w:lineRule="auto"/>
              <w:jc w:val="left"/>
            </w:pPr>
            <w:r/>
            <w:r>
              <w:rPr>
                <w:rFonts w:ascii="Calibri" w:hAnsi="Calibri"/>
                <w:b w:val="0"/>
                <w:sz w:val="15"/>
              </w:rPr>
              <w:t>Same model reported at four different accuracies: 95.41%, 97.7%, 98.3% and (from its own confusion matrix) 94.04%.</w:t>
            </w:r>
          </w:p>
        </w:tc>
        <w:tc>
          <w:tcPr>
            <w:tcW w:type="dxa" w:w="1757"/>
          </w:tcPr>
          <w:p>
            <w:pPr>
              <w:spacing w:after="0" w:line="240" w:lineRule="auto"/>
              <w:jc w:val="left"/>
            </w:pPr>
            <w:r/>
            <w:r>
              <w:rPr>
                <w:rFonts w:ascii="Calibri" w:hAnsi="Calibri"/>
                <w:b w:val="0"/>
                <w:sz w:val="15"/>
              </w:rPr>
              <w:t>Paper [4], [5.1], [5.4], [6]</w:t>
            </w:r>
          </w:p>
        </w:tc>
        <w:tc>
          <w:tcPr>
            <w:tcW w:type="dxa" w:w="2608"/>
          </w:tcPr>
          <w:p>
            <w:pPr>
              <w:spacing w:after="0" w:line="240" w:lineRule="auto"/>
              <w:jc w:val="left"/>
            </w:pPr>
            <w:r/>
            <w:r>
              <w:rPr>
                <w:rFonts w:ascii="Calibri" w:hAnsi="Calibri"/>
                <w:b w:val="0"/>
                <w:sz w:val="15"/>
              </w:rPr>
              <w:t>Fix one value from one logged run and use it everywhere.</w:t>
            </w:r>
          </w:p>
        </w:tc>
      </w:tr>
      <w:tr>
        <w:trPr>
          <w:cantSplit w:val="true"/>
        </w:trPr>
        <w:tc>
          <w:tcPr>
            <w:tcW w:type="dxa" w:w="454"/>
            <w:shd w:val="clear" w:color="auto" w:fill="EEF1F7"/>
          </w:tcPr>
          <w:p>
            <w:pPr>
              <w:spacing w:after="0" w:line="240" w:lineRule="auto"/>
              <w:jc w:val="left"/>
            </w:pPr>
            <w:r/>
            <w:r>
              <w:rPr>
                <w:rFonts w:ascii="Calibri" w:hAnsi="Calibri"/>
                <w:b w:val="0"/>
                <w:sz w:val="15"/>
              </w:rPr>
              <w:t>2</w:t>
            </w:r>
          </w:p>
        </w:tc>
        <w:tc>
          <w:tcPr>
            <w:tcW w:type="dxa" w:w="1077"/>
            <w:shd w:val="clear" w:color="auto" w:fill="EEF1F7"/>
            <w:shd w:val="clear" w:color="auto" w:fill="F8D7DA"/>
          </w:tcPr>
          <w:p>
            <w:pPr>
              <w:spacing w:after="0" w:line="240" w:lineRule="auto"/>
              <w:jc w:val="left"/>
            </w:pPr>
            <w:r/>
            <w:r>
              <w:rPr>
                <w:rFonts w:ascii="Calibri" w:hAnsi="Calibri"/>
                <w:b w:val="0"/>
                <w:sz w:val="15"/>
              </w:rPr>
              <w:t>BLOCKER</w:t>
            </w:r>
          </w:p>
        </w:tc>
        <w:tc>
          <w:tcPr>
            <w:tcW w:type="dxa" w:w="3515"/>
            <w:shd w:val="clear" w:color="auto" w:fill="EEF1F7"/>
          </w:tcPr>
          <w:p>
            <w:pPr>
              <w:spacing w:after="0" w:line="240" w:lineRule="auto"/>
              <w:jc w:val="left"/>
            </w:pPr>
            <w:r/>
            <w:r>
              <w:rPr>
                <w:rFonts w:ascii="Calibri" w:hAnsi="Calibri"/>
                <w:b w:val="0"/>
                <w:sz w:val="15"/>
              </w:rPr>
              <w:t>Stated “overall accuracy of 98.3%” does not match Table 3, which computes to 94.04% (3,188/3,390).</w:t>
            </w:r>
          </w:p>
        </w:tc>
        <w:tc>
          <w:tcPr>
            <w:tcW w:type="dxa" w:w="1757"/>
            <w:shd w:val="clear" w:color="auto" w:fill="EEF1F7"/>
          </w:tcPr>
          <w:p>
            <w:pPr>
              <w:spacing w:after="0" w:line="240" w:lineRule="auto"/>
              <w:jc w:val="left"/>
            </w:pPr>
            <w:r/>
            <w:r>
              <w:rPr>
                <w:rFonts w:ascii="Calibri" w:hAnsi="Calibri"/>
                <w:b w:val="0"/>
                <w:sz w:val="15"/>
              </w:rPr>
              <w:t>Paper [5.1] vs Table 3</w:t>
            </w:r>
          </w:p>
        </w:tc>
        <w:tc>
          <w:tcPr>
            <w:tcW w:type="dxa" w:w="2608"/>
            <w:shd w:val="clear" w:color="auto" w:fill="EEF1F7"/>
          </w:tcPr>
          <w:p>
            <w:pPr>
              <w:spacing w:after="0" w:line="240" w:lineRule="auto"/>
              <w:jc w:val="left"/>
            </w:pPr>
            <w:r/>
            <w:r>
              <w:rPr>
                <w:rFonts w:ascii="Calibri" w:hAnsi="Calibri"/>
                <w:b w:val="0"/>
                <w:sz w:val="15"/>
              </w:rPr>
              <w:t>Correct to 94.04%, or re-run and re-report the matrix.</w:t>
            </w:r>
          </w:p>
        </w:tc>
      </w:tr>
      <w:tr>
        <w:trPr>
          <w:cantSplit w:val="true"/>
        </w:trPr>
        <w:tc>
          <w:tcPr>
            <w:tcW w:type="dxa" w:w="454"/>
          </w:tcPr>
          <w:p>
            <w:pPr>
              <w:spacing w:after="0" w:line="240" w:lineRule="auto"/>
              <w:jc w:val="left"/>
            </w:pPr>
            <w:r/>
            <w:r>
              <w:rPr>
                <w:rFonts w:ascii="Calibri" w:hAnsi="Calibri"/>
                <w:b w:val="0"/>
                <w:sz w:val="15"/>
              </w:rPr>
              <w:t>3</w:t>
            </w:r>
          </w:p>
        </w:tc>
        <w:tc>
          <w:tcPr>
            <w:tcW w:type="dxa" w:w="1077"/>
            <w:shd w:val="clear" w:color="auto" w:fill="F8D7DA"/>
          </w:tcPr>
          <w:p>
            <w:pPr>
              <w:spacing w:after="0" w:line="240" w:lineRule="auto"/>
              <w:jc w:val="left"/>
            </w:pPr>
            <w:r/>
            <w:r>
              <w:rPr>
                <w:rFonts w:ascii="Calibri" w:hAnsi="Calibri"/>
                <w:b w:val="0"/>
                <w:sz w:val="15"/>
              </w:rPr>
              <w:t>BLOCKER</w:t>
            </w:r>
          </w:p>
        </w:tc>
        <w:tc>
          <w:tcPr>
            <w:tcW w:type="dxa" w:w="3515"/>
          </w:tcPr>
          <w:p>
            <w:pPr>
              <w:spacing w:after="0" w:line="240" w:lineRule="auto"/>
              <w:jc w:val="left"/>
            </w:pPr>
            <w:r/>
            <w:r>
              <w:rPr>
                <w:rFonts w:ascii="Calibri" w:hAnsi="Calibri"/>
                <w:b w:val="0"/>
                <w:sz w:val="15"/>
              </w:rPr>
              <w:t>Confusion-matrix class sizes (500/750/330/500/310/1,000) contradict the stated test set of 80 or 100 images per class.</w:t>
            </w:r>
          </w:p>
        </w:tc>
        <w:tc>
          <w:tcPr>
            <w:tcW w:type="dxa" w:w="1757"/>
          </w:tcPr>
          <w:p>
            <w:pPr>
              <w:spacing w:after="0" w:line="240" w:lineRule="auto"/>
              <w:jc w:val="left"/>
            </w:pPr>
            <w:r/>
            <w:r>
              <w:rPr>
                <w:rFonts w:ascii="Calibri" w:hAnsi="Calibri"/>
                <w:b w:val="0"/>
                <w:sz w:val="15"/>
              </w:rPr>
              <w:t>Paper Tables 2, 3 vs Table 1</w:t>
            </w:r>
          </w:p>
        </w:tc>
        <w:tc>
          <w:tcPr>
            <w:tcW w:type="dxa" w:w="2608"/>
          </w:tcPr>
          <w:p>
            <w:pPr>
              <w:spacing w:after="0" w:line="240" w:lineRule="auto"/>
              <w:jc w:val="left"/>
            </w:pPr>
            <w:r/>
            <w:r>
              <w:rPr>
                <w:rFonts w:ascii="Calibri" w:hAnsi="Calibri"/>
                <w:b w:val="0"/>
                <w:sz w:val="15"/>
              </w:rPr>
              <w:t>Re-print both matrices with a single, stated test set.</w:t>
            </w:r>
          </w:p>
        </w:tc>
      </w:tr>
      <w:tr>
        <w:trPr>
          <w:cantSplit w:val="true"/>
        </w:trPr>
        <w:tc>
          <w:tcPr>
            <w:tcW w:type="dxa" w:w="454"/>
            <w:shd w:val="clear" w:color="auto" w:fill="EEF1F7"/>
          </w:tcPr>
          <w:p>
            <w:pPr>
              <w:spacing w:after="0" w:line="240" w:lineRule="auto"/>
              <w:jc w:val="left"/>
            </w:pPr>
            <w:r/>
            <w:r>
              <w:rPr>
                <w:rFonts w:ascii="Calibri" w:hAnsi="Calibri"/>
                <w:b w:val="0"/>
                <w:sz w:val="15"/>
              </w:rPr>
              <w:t>4</w:t>
            </w:r>
          </w:p>
        </w:tc>
        <w:tc>
          <w:tcPr>
            <w:tcW w:type="dxa" w:w="1077"/>
            <w:shd w:val="clear" w:color="auto" w:fill="EEF1F7"/>
            <w:shd w:val="clear" w:color="auto" w:fill="F8D7DA"/>
          </w:tcPr>
          <w:p>
            <w:pPr>
              <w:spacing w:after="0" w:line="240" w:lineRule="auto"/>
              <w:jc w:val="left"/>
            </w:pPr>
            <w:r/>
            <w:r>
              <w:rPr>
                <w:rFonts w:ascii="Calibri" w:hAnsi="Calibri"/>
                <w:b w:val="0"/>
                <w:sz w:val="15"/>
              </w:rPr>
              <w:t>BLOCKER</w:t>
            </w:r>
          </w:p>
        </w:tc>
        <w:tc>
          <w:tcPr>
            <w:tcW w:type="dxa" w:w="3515"/>
            <w:shd w:val="clear" w:color="auto" w:fill="EEF1F7"/>
          </w:tcPr>
          <w:p>
            <w:pPr>
              <w:spacing w:after="0" w:line="240" w:lineRule="auto"/>
              <w:jc w:val="left"/>
            </w:pPr>
            <w:r/>
            <w:r>
              <w:rPr>
                <w:rFonts w:ascii="Calibri" w:hAnsi="Calibri"/>
                <w:b w:val="0"/>
                <w:sz w:val="15"/>
              </w:rPr>
              <w:t>Model class set (Plastic, Metal, Glass, Medical, Organic, E-waste) is not the product category set (Biodegradable, Dry, Electronic, Residual). No mapping is given.</w:t>
            </w:r>
          </w:p>
        </w:tc>
        <w:tc>
          <w:tcPr>
            <w:tcW w:type="dxa" w:w="1757"/>
            <w:shd w:val="clear" w:color="auto" w:fill="EEF1F7"/>
          </w:tcPr>
          <w:p>
            <w:pPr>
              <w:spacing w:after="0" w:line="240" w:lineRule="auto"/>
              <w:jc w:val="left"/>
            </w:pPr>
            <w:r/>
            <w:r>
              <w:rPr>
                <w:rFonts w:ascii="Calibri" w:hAnsi="Calibri"/>
                <w:b w:val="0"/>
                <w:sz w:val="15"/>
              </w:rPr>
              <w:t>Paper [4], Report [7.3.2]</w:t>
            </w:r>
          </w:p>
        </w:tc>
        <w:tc>
          <w:tcPr>
            <w:tcW w:type="dxa" w:w="2608"/>
            <w:shd w:val="clear" w:color="auto" w:fill="EEF1F7"/>
          </w:tcPr>
          <w:p>
            <w:pPr>
              <w:spacing w:after="0" w:line="240" w:lineRule="auto"/>
              <w:jc w:val="left"/>
            </w:pPr>
            <w:r/>
            <w:r>
              <w:rPr>
                <w:rFonts w:ascii="Calibri" w:hAnsi="Calibri"/>
                <w:b w:val="0"/>
                <w:sz w:val="15"/>
              </w:rPr>
              <w:t>Define the 4-class mapping explicitly, or report 6-class results and state the rule that collapses them.</w:t>
            </w:r>
          </w:p>
        </w:tc>
      </w:tr>
      <w:tr>
        <w:trPr>
          <w:cantSplit w:val="true"/>
        </w:trPr>
        <w:tc>
          <w:tcPr>
            <w:tcW w:type="dxa" w:w="454"/>
          </w:tcPr>
          <w:p>
            <w:pPr>
              <w:spacing w:after="0" w:line="240" w:lineRule="auto"/>
              <w:jc w:val="left"/>
            </w:pPr>
            <w:r/>
            <w:r>
              <w:rPr>
                <w:rFonts w:ascii="Calibri" w:hAnsi="Calibri"/>
                <w:b w:val="0"/>
                <w:sz w:val="15"/>
              </w:rPr>
              <w:t>5</w:t>
            </w:r>
          </w:p>
        </w:tc>
        <w:tc>
          <w:tcPr>
            <w:tcW w:type="dxa" w:w="1077"/>
            <w:shd w:val="clear" w:color="auto" w:fill="F8D7DA"/>
          </w:tcPr>
          <w:p>
            <w:pPr>
              <w:spacing w:after="0" w:line="240" w:lineRule="auto"/>
              <w:jc w:val="left"/>
            </w:pPr>
            <w:r/>
            <w:r>
              <w:rPr>
                <w:rFonts w:ascii="Calibri" w:hAnsi="Calibri"/>
                <w:b w:val="0"/>
                <w:sz w:val="15"/>
              </w:rPr>
              <w:t>BLOCKER</w:t>
            </w:r>
          </w:p>
        </w:tc>
        <w:tc>
          <w:tcPr>
            <w:tcW w:type="dxa" w:w="3515"/>
          </w:tcPr>
          <w:p>
            <w:pPr>
              <w:spacing w:after="0" w:line="240" w:lineRule="auto"/>
              <w:jc w:val="left"/>
            </w:pPr>
            <w:r/>
            <w:r>
              <w:rPr>
                <w:rFonts w:ascii="Calibri" w:hAnsi="Calibri"/>
                <w:b w:val="0"/>
                <w:sz w:val="15"/>
              </w:rPr>
              <w:t>Chennai population taken as 250,000; the census figure is 4,646,732. TAM/SAM/SOM therefore wrong by 18.6×, and Tamil Nadu is given as 30 M instead of ~72 M.</w:t>
            </w:r>
          </w:p>
        </w:tc>
        <w:tc>
          <w:tcPr>
            <w:tcW w:type="dxa" w:w="1757"/>
          </w:tcPr>
          <w:p>
            <w:pPr>
              <w:spacing w:after="0" w:line="240" w:lineRule="auto"/>
              <w:jc w:val="left"/>
            </w:pPr>
            <w:r/>
            <w:r>
              <w:rPr>
                <w:rFonts w:ascii="Calibri" w:hAnsi="Calibri"/>
                <w:b w:val="0"/>
                <w:sz w:val="15"/>
              </w:rPr>
              <w:t>Report [5.1.3], [5.1.4]</w:t>
            </w:r>
          </w:p>
        </w:tc>
        <w:tc>
          <w:tcPr>
            <w:tcW w:type="dxa" w:w="2608"/>
          </w:tcPr>
          <w:p>
            <w:pPr>
              <w:spacing w:after="0" w:line="240" w:lineRule="auto"/>
              <w:jc w:val="left"/>
            </w:pPr>
            <w:r/>
            <w:r>
              <w:rPr>
                <w:rFonts w:ascii="Calibri" w:hAnsi="Calibri"/>
                <w:b w:val="0"/>
                <w:sz w:val="15"/>
              </w:rPr>
              <w:t>Rebuild TAM/SAM/SOM bottom-up in households and rupees.</w:t>
            </w:r>
          </w:p>
        </w:tc>
      </w:tr>
      <w:tr>
        <w:trPr>
          <w:cantSplit w:val="true"/>
        </w:trPr>
        <w:tc>
          <w:tcPr>
            <w:tcW w:type="dxa" w:w="454"/>
            <w:shd w:val="clear" w:color="auto" w:fill="EEF1F7"/>
          </w:tcPr>
          <w:p>
            <w:pPr>
              <w:spacing w:after="0" w:line="240" w:lineRule="auto"/>
              <w:jc w:val="left"/>
            </w:pPr>
            <w:r/>
            <w:r>
              <w:rPr>
                <w:rFonts w:ascii="Calibri" w:hAnsi="Calibri"/>
                <w:b w:val="0"/>
                <w:sz w:val="15"/>
              </w:rPr>
              <w:t>6</w:t>
            </w:r>
          </w:p>
        </w:tc>
        <w:tc>
          <w:tcPr>
            <w:tcW w:type="dxa" w:w="1077"/>
            <w:shd w:val="clear" w:color="auto" w:fill="EEF1F7"/>
            <w:shd w:val="clear" w:color="auto" w:fill="F8D7DA"/>
          </w:tcPr>
          <w:p>
            <w:pPr>
              <w:spacing w:after="0" w:line="240" w:lineRule="auto"/>
              <w:jc w:val="left"/>
            </w:pPr>
            <w:r/>
            <w:r>
              <w:rPr>
                <w:rFonts w:ascii="Calibri" w:hAnsi="Calibri"/>
                <w:b w:val="0"/>
                <w:sz w:val="15"/>
              </w:rPr>
              <w:t>BLOCKER</w:t>
            </w:r>
          </w:p>
        </w:tc>
        <w:tc>
          <w:tcPr>
            <w:tcW w:type="dxa" w:w="3515"/>
            <w:shd w:val="clear" w:color="auto" w:fill="EEF1F7"/>
          </w:tcPr>
          <w:p>
            <w:pPr>
              <w:spacing w:after="0" w:line="240" w:lineRule="auto"/>
              <w:jc w:val="left"/>
            </w:pPr>
            <w:r/>
            <w:r>
              <w:rPr>
                <w:rFonts w:ascii="Calibri" w:hAnsi="Calibri"/>
                <w:b w:val="0"/>
                <w:sz w:val="15"/>
              </w:rPr>
              <w:t>Global market stated as $4.2 bn by 2030 at 15.8% CAGR; $2.5 bn grown at 15.8% for 7 years gives $6.98 bn, and $2.5→$4.2 bn is only 7.69% CAGR.</w:t>
            </w:r>
          </w:p>
        </w:tc>
        <w:tc>
          <w:tcPr>
            <w:tcW w:type="dxa" w:w="1757"/>
            <w:shd w:val="clear" w:color="auto" w:fill="EEF1F7"/>
          </w:tcPr>
          <w:p>
            <w:pPr>
              <w:spacing w:after="0" w:line="240" w:lineRule="auto"/>
              <w:jc w:val="left"/>
            </w:pPr>
            <w:r/>
            <w:r>
              <w:rPr>
                <w:rFonts w:ascii="Calibri" w:hAnsi="Calibri"/>
                <w:b w:val="0"/>
                <w:sz w:val="15"/>
              </w:rPr>
              <w:t>Report [2.2], [5.1.1]</w:t>
            </w:r>
          </w:p>
        </w:tc>
        <w:tc>
          <w:tcPr>
            <w:tcW w:type="dxa" w:w="2608"/>
            <w:shd w:val="clear" w:color="auto" w:fill="EEF1F7"/>
          </w:tcPr>
          <w:p>
            <w:pPr>
              <w:spacing w:after="0" w:line="240" w:lineRule="auto"/>
              <w:jc w:val="left"/>
            </w:pPr>
            <w:r/>
            <w:r>
              <w:rPr>
                <w:rFonts w:ascii="Calibri" w:hAnsi="Calibri"/>
                <w:b w:val="0"/>
                <w:sz w:val="15"/>
              </w:rPr>
              <w:t>Cite one published series (see §6) and quote its own base year, end year and CAGR.</w:t>
            </w:r>
          </w:p>
        </w:tc>
      </w:tr>
      <w:tr>
        <w:trPr>
          <w:cantSplit w:val="true"/>
        </w:trPr>
        <w:tc>
          <w:tcPr>
            <w:tcW w:type="dxa" w:w="454"/>
          </w:tcPr>
          <w:p>
            <w:pPr>
              <w:spacing w:after="0" w:line="240" w:lineRule="auto"/>
              <w:jc w:val="left"/>
            </w:pPr>
            <w:r/>
            <w:r>
              <w:rPr>
                <w:rFonts w:ascii="Calibri" w:hAnsi="Calibri"/>
                <w:b w:val="0"/>
                <w:sz w:val="15"/>
              </w:rPr>
              <w:t>7</w:t>
            </w:r>
          </w:p>
        </w:tc>
        <w:tc>
          <w:tcPr>
            <w:tcW w:type="dxa" w:w="1077"/>
            <w:shd w:val="clear" w:color="auto" w:fill="F8D7DA"/>
          </w:tcPr>
          <w:p>
            <w:pPr>
              <w:spacing w:after="0" w:line="240" w:lineRule="auto"/>
              <w:jc w:val="left"/>
            </w:pPr>
            <w:r/>
            <w:r>
              <w:rPr>
                <w:rFonts w:ascii="Calibri" w:hAnsi="Calibri"/>
                <w:b w:val="0"/>
                <w:sz w:val="15"/>
              </w:rPr>
              <w:t>BLOCKER</w:t>
            </w:r>
          </w:p>
        </w:tc>
        <w:tc>
          <w:tcPr>
            <w:tcW w:type="dxa" w:w="3515"/>
          </w:tcPr>
          <w:p>
            <w:pPr>
              <w:spacing w:after="0" w:line="240" w:lineRule="auto"/>
              <w:jc w:val="left"/>
            </w:pPr>
            <w:r/>
            <w:r>
              <w:rPr>
                <w:rFonts w:ascii="Calibri" w:hAnsi="Calibri"/>
                <w:b w:val="0"/>
                <w:sz w:val="15"/>
              </w:rPr>
              <w:t>Two incompatible Year-1 revenues (₹6,90,000 vs ₹2,01,50,000) in the same chapter, and Year 5 below Year 2.</w:t>
            </w:r>
          </w:p>
        </w:tc>
        <w:tc>
          <w:tcPr>
            <w:tcW w:type="dxa" w:w="1757"/>
          </w:tcPr>
          <w:p>
            <w:pPr>
              <w:spacing w:after="0" w:line="240" w:lineRule="auto"/>
              <w:jc w:val="left"/>
            </w:pPr>
            <w:r/>
            <w:r>
              <w:rPr>
                <w:rFonts w:ascii="Calibri" w:hAnsi="Calibri"/>
                <w:b w:val="0"/>
                <w:sz w:val="15"/>
              </w:rPr>
              <w:t>Report [9.1] vs [9.2]</w:t>
            </w:r>
          </w:p>
        </w:tc>
        <w:tc>
          <w:tcPr>
            <w:tcW w:type="dxa" w:w="2608"/>
          </w:tcPr>
          <w:p>
            <w:pPr>
              <w:spacing w:after="0" w:line="240" w:lineRule="auto"/>
              <w:jc w:val="left"/>
            </w:pPr>
            <w:r/>
            <w:r>
              <w:rPr>
                <w:rFonts w:ascii="Calibri" w:hAnsi="Calibri"/>
                <w:b w:val="0"/>
                <w:sz w:val="15"/>
              </w:rPr>
              <w:t>One coherent 5-year P&amp;L built from units × price.</w:t>
            </w:r>
          </w:p>
        </w:tc>
      </w:tr>
      <w:tr>
        <w:trPr>
          <w:cantSplit w:val="true"/>
        </w:trPr>
        <w:tc>
          <w:tcPr>
            <w:tcW w:type="dxa" w:w="454"/>
            <w:shd w:val="clear" w:color="auto" w:fill="EEF1F7"/>
          </w:tcPr>
          <w:p>
            <w:pPr>
              <w:spacing w:after="0" w:line="240" w:lineRule="auto"/>
              <w:jc w:val="left"/>
            </w:pPr>
            <w:r/>
            <w:r>
              <w:rPr>
                <w:rFonts w:ascii="Calibri" w:hAnsi="Calibri"/>
                <w:b w:val="0"/>
                <w:sz w:val="15"/>
              </w:rPr>
              <w:t>8</w:t>
            </w:r>
          </w:p>
        </w:tc>
        <w:tc>
          <w:tcPr>
            <w:tcW w:type="dxa" w:w="1077"/>
            <w:shd w:val="clear" w:color="auto" w:fill="EEF1F7"/>
            <w:shd w:val="clear" w:color="auto" w:fill="FFF0CC"/>
          </w:tcPr>
          <w:p>
            <w:pPr>
              <w:spacing w:after="0" w:line="240" w:lineRule="auto"/>
              <w:jc w:val="left"/>
            </w:pPr>
            <w:r/>
            <w:r>
              <w:rPr>
                <w:rFonts w:ascii="Calibri" w:hAnsi="Calibri"/>
                <w:b w:val="0"/>
                <w:sz w:val="15"/>
              </w:rPr>
              <w:t>MAJOR</w:t>
            </w:r>
          </w:p>
        </w:tc>
        <w:tc>
          <w:tcPr>
            <w:tcW w:type="dxa" w:w="3515"/>
            <w:shd w:val="clear" w:color="auto" w:fill="EEF1F7"/>
          </w:tcPr>
          <w:p>
            <w:pPr>
              <w:spacing w:after="0" w:line="240" w:lineRule="auto"/>
              <w:jc w:val="left"/>
            </w:pPr>
            <w:r/>
            <w:r>
              <w:rPr>
                <w:rFonts w:ascii="Calibri" w:hAnsi="Calibri"/>
                <w:b w:val="0"/>
                <w:sz w:val="15"/>
              </w:rPr>
              <w:t>Three mutually exclusive inference times: 3–7 s (Table 1), 1.92 s [5.4], 65 ms (Fig. 6).</w:t>
            </w:r>
          </w:p>
        </w:tc>
        <w:tc>
          <w:tcPr>
            <w:tcW w:type="dxa" w:w="1757"/>
            <w:shd w:val="clear" w:color="auto" w:fill="EEF1F7"/>
          </w:tcPr>
          <w:p>
            <w:pPr>
              <w:spacing w:after="0" w:line="240" w:lineRule="auto"/>
              <w:jc w:val="left"/>
            </w:pPr>
            <w:r/>
            <w:r>
              <w:rPr>
                <w:rFonts w:ascii="Calibri" w:hAnsi="Calibri"/>
                <w:b w:val="0"/>
                <w:sz w:val="15"/>
              </w:rPr>
              <w:t>Paper [4], [5.4]</w:t>
            </w:r>
          </w:p>
        </w:tc>
        <w:tc>
          <w:tcPr>
            <w:tcW w:type="dxa" w:w="2608"/>
            <w:shd w:val="clear" w:color="auto" w:fill="EEF1F7"/>
          </w:tcPr>
          <w:p>
            <w:pPr>
              <w:spacing w:after="0" w:line="240" w:lineRule="auto"/>
              <w:jc w:val="left"/>
            </w:pPr>
            <w:r/>
            <w:r>
              <w:rPr>
                <w:rFonts w:ascii="Calibri" w:hAnsi="Calibri"/>
                <w:b w:val="0"/>
                <w:sz w:val="15"/>
              </w:rPr>
              <w:t>State hardware, quantisation, batch size and the measured value once.</w:t>
            </w:r>
          </w:p>
        </w:tc>
      </w:tr>
      <w:tr>
        <w:trPr>
          <w:cantSplit w:val="true"/>
        </w:trPr>
        <w:tc>
          <w:tcPr>
            <w:tcW w:type="dxa" w:w="454"/>
          </w:tcPr>
          <w:p>
            <w:pPr>
              <w:spacing w:after="0" w:line="240" w:lineRule="auto"/>
              <w:jc w:val="left"/>
            </w:pPr>
            <w:r/>
            <w:r>
              <w:rPr>
                <w:rFonts w:ascii="Calibri" w:hAnsi="Calibri"/>
                <w:b w:val="0"/>
                <w:sz w:val="15"/>
              </w:rPr>
              <w:t>9</w:t>
            </w:r>
          </w:p>
        </w:tc>
        <w:tc>
          <w:tcPr>
            <w:tcW w:type="dxa" w:w="1077"/>
            <w:shd w:val="clear" w:color="auto" w:fill="FFF0CC"/>
          </w:tcPr>
          <w:p>
            <w:pPr>
              <w:spacing w:after="0" w:line="240" w:lineRule="auto"/>
              <w:jc w:val="left"/>
            </w:pPr>
            <w:r/>
            <w:r>
              <w:rPr>
                <w:rFonts w:ascii="Calibri" w:hAnsi="Calibri"/>
                <w:b w:val="0"/>
                <w:sz w:val="15"/>
              </w:rPr>
              <w:t>MAJOR</w:t>
            </w:r>
          </w:p>
        </w:tc>
        <w:tc>
          <w:tcPr>
            <w:tcW w:type="dxa" w:w="3515"/>
          </w:tcPr>
          <w:p>
            <w:pPr>
              <w:spacing w:after="0" w:line="240" w:lineRule="auto"/>
              <w:jc w:val="left"/>
            </w:pPr>
            <w:r/>
            <w:r>
              <w:rPr>
                <w:rFonts w:ascii="Calibri" w:hAnsi="Calibri"/>
                <w:b w:val="0"/>
                <w:sz w:val="15"/>
              </w:rPr>
              <w:t>Dataset claimed from TrashNet/Kaggle/TACO, but TrashNet holds only 2,527 images and has no Organic, Medical or E-waste class; 11,280 images are claimed.</w:t>
            </w:r>
          </w:p>
        </w:tc>
        <w:tc>
          <w:tcPr>
            <w:tcW w:type="dxa" w:w="1757"/>
          </w:tcPr>
          <w:p>
            <w:pPr>
              <w:spacing w:after="0" w:line="240" w:lineRule="auto"/>
              <w:jc w:val="left"/>
            </w:pPr>
            <w:r/>
            <w:r>
              <w:rPr>
                <w:rFonts w:ascii="Calibri" w:hAnsi="Calibri"/>
                <w:b w:val="0"/>
                <w:sz w:val="15"/>
              </w:rPr>
              <w:t>Paper [4]</w:t>
            </w:r>
          </w:p>
        </w:tc>
        <w:tc>
          <w:tcPr>
            <w:tcW w:type="dxa" w:w="2608"/>
          </w:tcPr>
          <w:p>
            <w:pPr>
              <w:spacing w:after="0" w:line="240" w:lineRule="auto"/>
              <w:jc w:val="left"/>
            </w:pPr>
            <w:r/>
            <w:r>
              <w:rPr>
                <w:rFonts w:ascii="Calibri" w:hAnsi="Calibri"/>
                <w:b w:val="0"/>
                <w:sz w:val="15"/>
              </w:rPr>
              <w:t>Give a per-source image count table and a provenance statement.</w:t>
            </w:r>
          </w:p>
        </w:tc>
      </w:tr>
      <w:tr>
        <w:trPr>
          <w:cantSplit w:val="true"/>
        </w:trPr>
        <w:tc>
          <w:tcPr>
            <w:tcW w:type="dxa" w:w="454"/>
            <w:shd w:val="clear" w:color="auto" w:fill="EEF1F7"/>
          </w:tcPr>
          <w:p>
            <w:pPr>
              <w:spacing w:after="0" w:line="240" w:lineRule="auto"/>
              <w:jc w:val="left"/>
            </w:pPr>
            <w:r/>
            <w:r>
              <w:rPr>
                <w:rFonts w:ascii="Calibri" w:hAnsi="Calibri"/>
                <w:b w:val="0"/>
                <w:sz w:val="15"/>
              </w:rPr>
              <w:t>10</w:t>
            </w:r>
          </w:p>
        </w:tc>
        <w:tc>
          <w:tcPr>
            <w:tcW w:type="dxa" w:w="1077"/>
            <w:shd w:val="clear" w:color="auto" w:fill="EEF1F7"/>
            <w:shd w:val="clear" w:color="auto" w:fill="FFF0CC"/>
          </w:tcPr>
          <w:p>
            <w:pPr>
              <w:spacing w:after="0" w:line="240" w:lineRule="auto"/>
              <w:jc w:val="left"/>
            </w:pPr>
            <w:r/>
            <w:r>
              <w:rPr>
                <w:rFonts w:ascii="Calibri" w:hAnsi="Calibri"/>
                <w:b w:val="0"/>
                <w:sz w:val="15"/>
              </w:rPr>
              <w:t>MAJOR</w:t>
            </w:r>
          </w:p>
        </w:tc>
        <w:tc>
          <w:tcPr>
            <w:tcW w:type="dxa" w:w="3515"/>
            <w:shd w:val="clear" w:color="auto" w:fill="EEF1F7"/>
          </w:tcPr>
          <w:p>
            <w:pPr>
              <w:spacing w:after="0" w:line="240" w:lineRule="auto"/>
              <w:jc w:val="left"/>
            </w:pPr>
            <w:r/>
            <w:r>
              <w:rPr>
                <w:rFonts w:ascii="Calibri" w:hAnsi="Calibri"/>
                <w:b w:val="0"/>
                <w:sz w:val="15"/>
              </w:rPr>
              <w:t>No baseline for the impact claims (60–80% segregation gain, 70% less manual handling, 30% cost cut, 20% recycling gain, 98% uptime).</w:t>
            </w:r>
          </w:p>
        </w:tc>
        <w:tc>
          <w:tcPr>
            <w:tcW w:type="dxa" w:w="1757"/>
            <w:shd w:val="clear" w:color="auto" w:fill="EEF1F7"/>
          </w:tcPr>
          <w:p>
            <w:pPr>
              <w:spacing w:after="0" w:line="240" w:lineRule="auto"/>
              <w:jc w:val="left"/>
            </w:pPr>
            <w:r/>
            <w:r>
              <w:rPr>
                <w:rFonts w:ascii="Calibri" w:hAnsi="Calibri"/>
                <w:b w:val="0"/>
                <w:sz w:val="15"/>
              </w:rPr>
              <w:t>Report [3.3], [11.1]</w:t>
            </w:r>
          </w:p>
        </w:tc>
        <w:tc>
          <w:tcPr>
            <w:tcW w:type="dxa" w:w="2608"/>
            <w:shd w:val="clear" w:color="auto" w:fill="EEF1F7"/>
          </w:tcPr>
          <w:p>
            <w:pPr>
              <w:spacing w:after="0" w:line="240" w:lineRule="auto"/>
              <w:jc w:val="left"/>
            </w:pPr>
            <w:r/>
            <w:r>
              <w:rPr>
                <w:rFonts w:ascii="Calibri" w:hAnsi="Calibri"/>
                <w:b w:val="0"/>
                <w:sz w:val="15"/>
              </w:rPr>
              <w:t>Convert to design targets + prototype-measured KPIs, clearly separated.</w:t>
            </w:r>
          </w:p>
        </w:tc>
      </w:tr>
    </w:tbl>
    <w:p>
      <w:pPr>
        <w:keepNext/>
        <w:spacing w:before="160" w:after="60"/>
        <w:jc w:val="left"/>
      </w:pPr>
      <w:r>
        <w:rPr>
          <w:rFonts w:ascii="Calibri" w:hAnsi="Calibri"/>
          <w:b/>
          <w:color w:val="1F3864"/>
          <w:sz w:val="18"/>
        </w:rPr>
        <w:t>Table 2.1 — Top issues, in order of exposure.</w:t>
      </w:r>
    </w:p>
    <w:p>
      <w:pPr>
        <w:spacing w:before="40" w:after="160"/>
        <w:jc w:val="left"/>
      </w:pPr>
      <w:r>
        <w:rPr>
          <w:rFonts w:ascii="Calibri" w:hAnsi="Calibri"/>
          <w:i/>
          <w:color w:val="404040"/>
          <w:sz w:val="16"/>
        </w:rPr>
        <w:t>Issues 1–7 are the ones to clear before the template is filled in. Issues 8–10 are cleared by rewording plus one evidence table each.</w:t>
      </w:r>
    </w:p>
    <w:p>
      <w:r>
        <w:br w:type="page"/>
      </w:r>
    </w:p>
    <w:p>
      <w:pPr>
        <w:keepNext/>
        <w:spacing w:before="200" w:after="120"/>
        <w:jc w:val="left"/>
        <w:pBdr>
          <w:bottom w:val="single" w:sz="8" w:space="2" w:color="1F3864"/>
        </w:pBdr>
      </w:pPr>
      <w:r>
        <w:rPr>
          <w:rFonts w:ascii="Times New Roman" w:hAnsi="Times New Roman"/>
          <w:b/>
          <w:color w:val="1F3864"/>
          <w:sz w:val="26"/>
        </w:rPr>
        <w:t>3. WHAT IS ALREADY CORRECT — KEEP THESE EXACTLY AS THEY ARE</w:t>
      </w:r>
    </w:p>
    <w:p>
      <w:pPr>
        <w:spacing w:after="120"/>
        <w:ind w:left="0"/>
        <w:jc w:val="both"/>
      </w:pPr>
      <w:r>
        <w:rPr>
          <w:b w:val="0"/>
          <w:i w:val="0"/>
          <w:sz w:val="22"/>
        </w:rPr>
        <w:t xml:space="preserve">An audit that lists only faults is not useful. The following items were tested and </w:t>
      </w:r>
      <w:r>
        <w:rPr>
          <w:b/>
          <w:i w:val="0"/>
          <w:sz w:val="22"/>
        </w:rPr>
        <w:t>passed</w:t>
      </w:r>
      <w:r>
        <w:rPr>
          <w:b w:val="0"/>
          <w:i w:val="0"/>
          <w:sz w:val="22"/>
        </w:rPr>
        <w:t>; they should be carried into the new report unchanged, because they are what makes the corrected document defensible.</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041"/>
        <w:gridCol w:w="1474"/>
        <w:gridCol w:w="4195"/>
        <w:gridCol w:w="1701"/>
      </w:tblGrid>
      <w:tr>
        <w:trPr>
          <w:tblHeader w:val="true"/>
          <w:cantSplit w:val="true"/>
        </w:trPr>
        <w:tc>
          <w:tcPr>
            <w:tcW w:type="dxa" w:w="2041"/>
            <w:shd w:val="clear" w:color="auto" w:fill="1F3864"/>
          </w:tcPr>
          <w:p>
            <w:pPr>
              <w:spacing w:after="0" w:line="240" w:lineRule="auto"/>
              <w:jc w:val="left"/>
            </w:pPr>
            <w:r/>
            <w:r>
              <w:rPr>
                <w:rFonts w:ascii="Calibri" w:hAnsi="Calibri"/>
                <w:b/>
                <w:color w:val="FFFFFF"/>
                <w:sz w:val="15"/>
              </w:rPr>
              <w:t>Item</w:t>
            </w:r>
          </w:p>
        </w:tc>
        <w:tc>
          <w:tcPr>
            <w:tcW w:type="dxa" w:w="1474"/>
            <w:shd w:val="clear" w:color="auto" w:fill="1F3864"/>
          </w:tcPr>
          <w:p>
            <w:pPr>
              <w:spacing w:after="0" w:line="240" w:lineRule="auto"/>
              <w:jc w:val="left"/>
            </w:pPr>
            <w:r/>
            <w:r>
              <w:rPr>
                <w:rFonts w:ascii="Calibri" w:hAnsi="Calibri"/>
                <w:b/>
                <w:color w:val="FFFFFF"/>
                <w:sz w:val="15"/>
              </w:rPr>
              <w:t>Where</w:t>
            </w:r>
          </w:p>
        </w:tc>
        <w:tc>
          <w:tcPr>
            <w:tcW w:type="dxa" w:w="4195"/>
            <w:shd w:val="clear" w:color="auto" w:fill="1F3864"/>
          </w:tcPr>
          <w:p>
            <w:pPr>
              <w:spacing w:after="0" w:line="240" w:lineRule="auto"/>
              <w:jc w:val="left"/>
            </w:pPr>
            <w:r/>
            <w:r>
              <w:rPr>
                <w:rFonts w:ascii="Calibri" w:hAnsi="Calibri"/>
                <w:b/>
                <w:color w:val="FFFFFF"/>
                <w:sz w:val="15"/>
              </w:rPr>
              <w:t>Verification performed</w:t>
            </w:r>
          </w:p>
        </w:tc>
        <w:tc>
          <w:tcPr>
            <w:tcW w:type="dxa" w:w="1701"/>
            <w:shd w:val="clear" w:color="auto" w:fill="1F3864"/>
          </w:tcPr>
          <w:p>
            <w:pPr>
              <w:spacing w:after="0" w:line="240" w:lineRule="auto"/>
              <w:jc w:val="left"/>
            </w:pPr>
            <w:r/>
            <w:r>
              <w:rPr>
                <w:rFonts w:ascii="Calibri" w:hAnsi="Calibri"/>
                <w:b/>
                <w:color w:val="FFFFFF"/>
                <w:sz w:val="15"/>
              </w:rPr>
              <w:t>Verdict</w:t>
            </w:r>
          </w:p>
        </w:tc>
      </w:tr>
      <w:tr>
        <w:trPr>
          <w:cantSplit w:val="true"/>
        </w:trPr>
        <w:tc>
          <w:tcPr>
            <w:tcW w:type="dxa" w:w="2041"/>
          </w:tcPr>
          <w:p>
            <w:pPr>
              <w:spacing w:after="0" w:line="240" w:lineRule="auto"/>
              <w:jc w:val="left"/>
            </w:pPr>
            <w:r/>
            <w:r>
              <w:rPr>
                <w:rFonts w:ascii="Calibri" w:hAnsi="Calibri"/>
                <w:b w:val="0"/>
                <w:sz w:val="15"/>
              </w:rPr>
              <w:t>Table 1 per-class percentages</w:t>
            </w:r>
          </w:p>
        </w:tc>
        <w:tc>
          <w:tcPr>
            <w:tcW w:type="dxa" w:w="1474"/>
          </w:tcPr>
          <w:p>
            <w:pPr>
              <w:spacing w:after="0" w:line="240" w:lineRule="auto"/>
              <w:jc w:val="left"/>
            </w:pPr>
            <w:r/>
            <w:r>
              <w:rPr>
                <w:rFonts w:ascii="Calibri" w:hAnsi="Calibri"/>
                <w:b w:val="0"/>
                <w:sz w:val="15"/>
              </w:rPr>
              <w:t>Paper Table 1</w:t>
            </w:r>
          </w:p>
        </w:tc>
        <w:tc>
          <w:tcPr>
            <w:tcW w:type="dxa" w:w="4195"/>
          </w:tcPr>
          <w:p>
            <w:pPr>
              <w:spacing w:after="0" w:line="240" w:lineRule="auto"/>
              <w:jc w:val="left"/>
            </w:pPr>
            <w:r/>
            <w:r>
              <w:rPr>
                <w:rFonts w:ascii="Calibri" w:hAnsi="Calibri"/>
                <w:b w:val="0"/>
                <w:sz w:val="15"/>
              </w:rPr>
              <w:t>98.75, 97.5, 95, 95, 93.75 and 92.5% of 80 images give exactly 79, 78, 76, 76, 75 and 74 classified.</w:t>
            </w:r>
          </w:p>
        </w:tc>
        <w:tc>
          <w:tcPr>
            <w:tcW w:type="dxa" w:w="1701"/>
          </w:tcPr>
          <w:p>
            <w:pPr>
              <w:spacing w:after="0" w:line="240" w:lineRule="auto"/>
              <w:jc w:val="left"/>
            </w:pPr>
            <w:r/>
            <w:r>
              <w:rPr>
                <w:rFonts w:ascii="Calibri" w:hAnsi="Calibri"/>
                <w:b w:val="0"/>
                <w:sz w:val="15"/>
              </w:rPr>
              <w:t>OK — internally exact.</w:t>
            </w:r>
          </w:p>
        </w:tc>
      </w:tr>
      <w:tr>
        <w:trPr>
          <w:cantSplit w:val="true"/>
        </w:trPr>
        <w:tc>
          <w:tcPr>
            <w:tcW w:type="dxa" w:w="2041"/>
            <w:shd w:val="clear" w:color="auto" w:fill="EEF1F7"/>
          </w:tcPr>
          <w:p>
            <w:pPr>
              <w:spacing w:after="0" w:line="240" w:lineRule="auto"/>
              <w:jc w:val="left"/>
            </w:pPr>
            <w:r/>
            <w:r>
              <w:rPr>
                <w:rFonts w:ascii="Calibri" w:hAnsi="Calibri"/>
                <w:b w:val="0"/>
                <w:sz w:val="15"/>
              </w:rPr>
              <w:t>Overall accuracy 95.41%</w:t>
            </w:r>
          </w:p>
        </w:tc>
        <w:tc>
          <w:tcPr>
            <w:tcW w:type="dxa" w:w="1474"/>
            <w:shd w:val="clear" w:color="auto" w:fill="EEF1F7"/>
          </w:tcPr>
          <w:p>
            <w:pPr>
              <w:spacing w:after="0" w:line="240" w:lineRule="auto"/>
              <w:jc w:val="left"/>
            </w:pPr>
            <w:r/>
            <w:r>
              <w:rPr>
                <w:rFonts w:ascii="Calibri" w:hAnsi="Calibri"/>
                <w:b w:val="0"/>
                <w:sz w:val="15"/>
              </w:rPr>
              <w:t>Paper [4]</w:t>
            </w:r>
          </w:p>
        </w:tc>
        <w:tc>
          <w:tcPr>
            <w:tcW w:type="dxa" w:w="4195"/>
            <w:shd w:val="clear" w:color="auto" w:fill="EEF1F7"/>
          </w:tcPr>
          <w:p>
            <w:pPr>
              <w:spacing w:after="0" w:line="240" w:lineRule="auto"/>
              <w:jc w:val="left"/>
            </w:pPr>
            <w:r/>
            <w:r>
              <w:rPr>
                <w:rFonts w:ascii="Calibri" w:hAnsi="Calibri"/>
                <w:b w:val="0"/>
                <w:sz w:val="15"/>
              </w:rPr>
              <w:t>79+78+76+76+75+74 = 458; 458/480 = 95.42%. Rounding difference of 0.01 only.</w:t>
            </w:r>
          </w:p>
        </w:tc>
        <w:tc>
          <w:tcPr>
            <w:tcW w:type="dxa" w:w="1701"/>
            <w:shd w:val="clear" w:color="auto" w:fill="EEF1F7"/>
          </w:tcPr>
          <w:p>
            <w:pPr>
              <w:spacing w:after="0" w:line="240" w:lineRule="auto"/>
              <w:jc w:val="left"/>
            </w:pPr>
            <w:r/>
            <w:r>
              <w:rPr>
                <w:rFonts w:ascii="Calibri" w:hAnsi="Calibri"/>
                <w:b w:val="0"/>
                <w:sz w:val="15"/>
              </w:rPr>
              <w:t>OK — state 95.42% or keep 480 as the denominator note.</w:t>
            </w:r>
          </w:p>
        </w:tc>
      </w:tr>
      <w:tr>
        <w:trPr>
          <w:cantSplit w:val="true"/>
        </w:trPr>
        <w:tc>
          <w:tcPr>
            <w:tcW w:type="dxa" w:w="2041"/>
          </w:tcPr>
          <w:p>
            <w:pPr>
              <w:spacing w:after="0" w:line="240" w:lineRule="auto"/>
              <w:jc w:val="left"/>
            </w:pPr>
            <w:r/>
            <w:r>
              <w:rPr>
                <w:rFonts w:ascii="Calibri" w:hAnsi="Calibri"/>
                <w:b w:val="0"/>
                <w:sz w:val="15"/>
              </w:rPr>
              <w:t>Sensor confusion matrix</w:t>
            </w:r>
          </w:p>
        </w:tc>
        <w:tc>
          <w:tcPr>
            <w:tcW w:type="dxa" w:w="1474"/>
          </w:tcPr>
          <w:p>
            <w:pPr>
              <w:spacing w:after="0" w:line="240" w:lineRule="auto"/>
              <w:jc w:val="left"/>
            </w:pPr>
            <w:r/>
            <w:r>
              <w:rPr>
                <w:rFonts w:ascii="Calibri" w:hAnsi="Calibri"/>
                <w:b w:val="0"/>
                <w:sz w:val="15"/>
              </w:rPr>
              <w:t>Paper Table 2</w:t>
            </w:r>
          </w:p>
        </w:tc>
        <w:tc>
          <w:tcPr>
            <w:tcW w:type="dxa" w:w="4195"/>
          </w:tcPr>
          <w:p>
            <w:pPr>
              <w:spacing w:after="0" w:line="240" w:lineRule="auto"/>
              <w:jc w:val="left"/>
            </w:pPr>
            <w:r/>
            <w:r>
              <w:rPr>
                <w:rFonts w:ascii="Calibri" w:hAnsi="Calibri"/>
                <w:b w:val="0"/>
                <w:sz w:val="15"/>
              </w:rPr>
              <w:t>Rows sum to 3,460 and columns sum to 3,460 — the matrix is a valid, balanced contingency table. Row-normalised diagonal (93/90/94/80/68/92%) matches the stated values except e-waste.</w:t>
            </w:r>
          </w:p>
        </w:tc>
        <w:tc>
          <w:tcPr>
            <w:tcW w:type="dxa" w:w="1701"/>
          </w:tcPr>
          <w:p>
            <w:pPr>
              <w:spacing w:after="0" w:line="240" w:lineRule="auto"/>
              <w:jc w:val="left"/>
            </w:pPr>
            <w:r/>
            <w:r>
              <w:rPr>
                <w:rFonts w:ascii="Calibri" w:hAnsi="Calibri"/>
                <w:b w:val="0"/>
                <w:sz w:val="15"/>
              </w:rPr>
              <w:t>OK except one cell (see §4.2).</w:t>
            </w:r>
          </w:p>
        </w:tc>
      </w:tr>
      <w:tr>
        <w:trPr>
          <w:cantSplit w:val="true"/>
        </w:trPr>
        <w:tc>
          <w:tcPr>
            <w:tcW w:type="dxa" w:w="2041"/>
            <w:shd w:val="clear" w:color="auto" w:fill="EEF1F7"/>
          </w:tcPr>
          <w:p>
            <w:pPr>
              <w:spacing w:after="0" w:line="240" w:lineRule="auto"/>
              <w:jc w:val="left"/>
            </w:pPr>
            <w:r/>
            <w:r>
              <w:rPr>
                <w:rFonts w:ascii="Calibri" w:hAnsi="Calibri"/>
                <w:b w:val="0"/>
                <w:sz w:val="15"/>
              </w:rPr>
              <w:t>EfficientNet confusion matrix</w:t>
            </w:r>
          </w:p>
        </w:tc>
        <w:tc>
          <w:tcPr>
            <w:tcW w:type="dxa" w:w="1474"/>
            <w:shd w:val="clear" w:color="auto" w:fill="EEF1F7"/>
          </w:tcPr>
          <w:p>
            <w:pPr>
              <w:spacing w:after="0" w:line="240" w:lineRule="auto"/>
              <w:jc w:val="left"/>
            </w:pPr>
            <w:r/>
            <w:r>
              <w:rPr>
                <w:rFonts w:ascii="Calibri" w:hAnsi="Calibri"/>
                <w:b w:val="0"/>
                <w:sz w:val="15"/>
              </w:rPr>
              <w:t>Paper Table 3</w:t>
            </w:r>
          </w:p>
        </w:tc>
        <w:tc>
          <w:tcPr>
            <w:tcW w:type="dxa" w:w="4195"/>
            <w:shd w:val="clear" w:color="auto" w:fill="EEF1F7"/>
          </w:tcPr>
          <w:p>
            <w:pPr>
              <w:spacing w:after="0" w:line="240" w:lineRule="auto"/>
              <w:jc w:val="left"/>
            </w:pPr>
            <w:r/>
            <w:r>
              <w:rPr>
                <w:rFonts w:ascii="Calibri" w:hAnsi="Calibri"/>
                <w:b w:val="0"/>
                <w:sz w:val="15"/>
              </w:rPr>
              <w:t>Rows and columns both sum to 3,390; every row-normalised diagonal equals the percentage printed in the cell (97.0, 94.7, 95.5, 90.0, 89.7, 95.0%).</w:t>
            </w:r>
          </w:p>
        </w:tc>
        <w:tc>
          <w:tcPr>
            <w:tcW w:type="dxa" w:w="1701"/>
            <w:shd w:val="clear" w:color="auto" w:fill="EEF1F7"/>
          </w:tcPr>
          <w:p>
            <w:pPr>
              <w:spacing w:after="0" w:line="240" w:lineRule="auto"/>
              <w:jc w:val="left"/>
            </w:pPr>
            <w:r/>
            <w:r>
              <w:rPr>
                <w:rFonts w:ascii="Calibri" w:hAnsi="Calibri"/>
                <w:b w:val="0"/>
                <w:sz w:val="15"/>
              </w:rPr>
              <w:t>OK as a matrix — only the “98.3% overall” sentence is wrong.</w:t>
            </w:r>
          </w:p>
        </w:tc>
      </w:tr>
      <w:tr>
        <w:trPr>
          <w:cantSplit w:val="true"/>
        </w:trPr>
        <w:tc>
          <w:tcPr>
            <w:tcW w:type="dxa" w:w="2041"/>
          </w:tcPr>
          <w:p>
            <w:pPr>
              <w:spacing w:after="0" w:line="240" w:lineRule="auto"/>
              <w:jc w:val="left"/>
            </w:pPr>
            <w:r/>
            <w:r>
              <w:rPr>
                <w:rFonts w:ascii="Calibri" w:hAnsi="Calibri"/>
                <w:b w:val="0"/>
                <w:sz w:val="15"/>
              </w:rPr>
              <w:t>Control-cycle timing</w:t>
            </w:r>
          </w:p>
        </w:tc>
        <w:tc>
          <w:tcPr>
            <w:tcW w:type="dxa" w:w="1474"/>
          </w:tcPr>
          <w:p>
            <w:pPr>
              <w:spacing w:after="0" w:line="240" w:lineRule="auto"/>
              <w:jc w:val="left"/>
            </w:pPr>
            <w:r/>
            <w:r>
              <w:rPr>
                <w:rFonts w:ascii="Calibri" w:hAnsi="Calibri"/>
                <w:b w:val="0"/>
                <w:sz w:val="15"/>
              </w:rPr>
              <w:t>Paper [3.4.3], [5.4]</w:t>
            </w:r>
          </w:p>
        </w:tc>
        <w:tc>
          <w:tcPr>
            <w:tcW w:type="dxa" w:w="4195"/>
          </w:tcPr>
          <w:p>
            <w:pPr>
              <w:spacing w:after="0" w:line="240" w:lineRule="auto"/>
              <w:jc w:val="left"/>
            </w:pPr>
            <w:r/>
            <w:r>
              <w:rPr>
                <w:rFonts w:ascii="Calibri" w:hAnsi="Calibri"/>
                <w:b w:val="0"/>
                <w:sz w:val="15"/>
              </w:rPr>
              <w:t>“3–4 s per cycle” and “average cycle time 3.2 s” are consistent, and 3.2 s implies 1,125 items/hour.</w:t>
            </w:r>
          </w:p>
        </w:tc>
        <w:tc>
          <w:tcPr>
            <w:tcW w:type="dxa" w:w="1701"/>
          </w:tcPr>
          <w:p>
            <w:pPr>
              <w:spacing w:after="0" w:line="240" w:lineRule="auto"/>
              <w:jc w:val="left"/>
            </w:pPr>
            <w:r/>
            <w:r>
              <w:rPr>
                <w:rFonts w:ascii="Calibri" w:hAnsi="Calibri"/>
                <w:b w:val="0"/>
                <w:sz w:val="15"/>
              </w:rPr>
              <w:t>OK — add the throughput number.</w:t>
            </w:r>
          </w:p>
        </w:tc>
      </w:tr>
      <w:tr>
        <w:trPr>
          <w:cantSplit w:val="true"/>
        </w:trPr>
        <w:tc>
          <w:tcPr>
            <w:tcW w:type="dxa" w:w="2041"/>
            <w:shd w:val="clear" w:color="auto" w:fill="EEF1F7"/>
          </w:tcPr>
          <w:p>
            <w:pPr>
              <w:spacing w:after="0" w:line="240" w:lineRule="auto"/>
              <w:jc w:val="left"/>
            </w:pPr>
            <w:r/>
            <w:r>
              <w:rPr>
                <w:rFonts w:ascii="Calibri" w:hAnsi="Calibri"/>
                <w:b w:val="0"/>
                <w:sz w:val="15"/>
              </w:rPr>
              <w:t>Compartment / disc geometry</w:t>
            </w:r>
          </w:p>
        </w:tc>
        <w:tc>
          <w:tcPr>
            <w:tcW w:type="dxa" w:w="1474"/>
            <w:shd w:val="clear" w:color="auto" w:fill="EEF1F7"/>
          </w:tcPr>
          <w:p>
            <w:pPr>
              <w:spacing w:after="0" w:line="240" w:lineRule="auto"/>
              <w:jc w:val="left"/>
            </w:pPr>
            <w:r/>
            <w:r>
              <w:rPr>
                <w:rFonts w:ascii="Calibri" w:hAnsi="Calibri"/>
                <w:b w:val="0"/>
                <w:sz w:val="15"/>
              </w:rPr>
              <w:t>Paper [3.2], Report [7.3.2]</w:t>
            </w:r>
          </w:p>
        </w:tc>
        <w:tc>
          <w:tcPr>
            <w:tcW w:type="dxa" w:w="4195"/>
            <w:shd w:val="clear" w:color="auto" w:fill="EEF1F7"/>
          </w:tcPr>
          <w:p>
            <w:pPr>
              <w:spacing w:after="0" w:line="240" w:lineRule="auto"/>
              <w:jc w:val="left"/>
            </w:pPr>
            <w:r/>
            <w:r>
              <w:rPr>
                <w:rFonts w:ascii="Calibri" w:hAnsi="Calibri"/>
                <w:b w:val="0"/>
                <w:sz w:val="15"/>
              </w:rPr>
              <w:t>Two 380 mm discs, four 156 mm compartments, 750 mm tall, 450 mm wide: feasible only as a 2×2 cluster (312 mm) on a 112 mm centre radius. See §4.4 for the tolerance consequence.</w:t>
            </w:r>
          </w:p>
        </w:tc>
        <w:tc>
          <w:tcPr>
            <w:tcW w:type="dxa" w:w="1701"/>
            <w:shd w:val="clear" w:color="auto" w:fill="EEF1F7"/>
          </w:tcPr>
          <w:p>
            <w:pPr>
              <w:spacing w:after="0" w:line="240" w:lineRule="auto"/>
              <w:jc w:val="left"/>
            </w:pPr>
            <w:r/>
            <w:r>
              <w:rPr>
                <w:rFonts w:ascii="Calibri" w:hAnsi="Calibri"/>
                <w:b w:val="0"/>
                <w:sz w:val="15"/>
              </w:rPr>
              <w:t>OK, but must be dimensioned in the drawing.</w:t>
            </w:r>
          </w:p>
        </w:tc>
      </w:tr>
      <w:tr>
        <w:trPr>
          <w:cantSplit w:val="true"/>
        </w:trPr>
        <w:tc>
          <w:tcPr>
            <w:tcW w:type="dxa" w:w="2041"/>
          </w:tcPr>
          <w:p>
            <w:pPr>
              <w:spacing w:after="0" w:line="240" w:lineRule="auto"/>
              <w:jc w:val="left"/>
            </w:pPr>
            <w:r/>
            <w:r>
              <w:rPr>
                <w:rFonts w:ascii="Calibri" w:hAnsi="Calibri"/>
                <w:b w:val="0"/>
                <w:sz w:val="15"/>
              </w:rPr>
              <w:t>Battery energy budget</w:t>
            </w:r>
          </w:p>
        </w:tc>
        <w:tc>
          <w:tcPr>
            <w:tcW w:type="dxa" w:w="1474"/>
          </w:tcPr>
          <w:p>
            <w:pPr>
              <w:spacing w:after="0" w:line="240" w:lineRule="auto"/>
              <w:jc w:val="left"/>
            </w:pPr>
            <w:r/>
            <w:r>
              <w:rPr>
                <w:rFonts w:ascii="Calibri" w:hAnsi="Calibri"/>
                <w:b w:val="0"/>
                <w:sz w:val="15"/>
              </w:rPr>
              <w:t>Paper [3.4.1]</w:t>
            </w:r>
          </w:p>
        </w:tc>
        <w:tc>
          <w:tcPr>
            <w:tcW w:type="dxa" w:w="4195"/>
          </w:tcPr>
          <w:p>
            <w:pPr>
              <w:spacing w:after="0" w:line="240" w:lineRule="auto"/>
              <w:jc w:val="left"/>
            </w:pPr>
            <w:r/>
            <w:r>
              <w:rPr>
                <w:rFonts w:ascii="Calibri" w:hAnsi="Calibri"/>
                <w:b w:val="0"/>
                <w:sz w:val="15"/>
              </w:rPr>
              <w:t>12 V × 7 Ah = 84 Wh. A 6–8 h claim requires 10.5–14 W average system draw.</w:t>
            </w:r>
          </w:p>
        </w:tc>
        <w:tc>
          <w:tcPr>
            <w:tcW w:type="dxa" w:w="1701"/>
          </w:tcPr>
          <w:p>
            <w:pPr>
              <w:spacing w:after="0" w:line="240" w:lineRule="auto"/>
              <w:jc w:val="left"/>
            </w:pPr>
            <w:r/>
            <w:r>
              <w:rPr>
                <w:rFonts w:ascii="Calibri" w:hAnsi="Calibri"/>
                <w:b w:val="0"/>
                <w:sz w:val="15"/>
              </w:rPr>
              <w:t>OK as arithmetic — needs a measured load log.</w:t>
            </w:r>
          </w:p>
        </w:tc>
      </w:tr>
      <w:tr>
        <w:trPr>
          <w:cantSplit w:val="true"/>
        </w:trPr>
        <w:tc>
          <w:tcPr>
            <w:tcW w:type="dxa" w:w="2041"/>
            <w:shd w:val="clear" w:color="auto" w:fill="EEF1F7"/>
          </w:tcPr>
          <w:p>
            <w:pPr>
              <w:spacing w:after="0" w:line="240" w:lineRule="auto"/>
              <w:jc w:val="left"/>
            </w:pPr>
            <w:r/>
            <w:r>
              <w:rPr>
                <w:rFonts w:ascii="Calibri" w:hAnsi="Calibri"/>
                <w:b w:val="0"/>
                <w:sz w:val="15"/>
              </w:rPr>
              <w:t>LTV/CAC framing</w:t>
            </w:r>
          </w:p>
        </w:tc>
        <w:tc>
          <w:tcPr>
            <w:tcW w:type="dxa" w:w="1474"/>
            <w:shd w:val="clear" w:color="auto" w:fill="EEF1F7"/>
          </w:tcPr>
          <w:p>
            <w:pPr>
              <w:spacing w:after="0" w:line="240" w:lineRule="auto"/>
              <w:jc w:val="left"/>
            </w:pPr>
            <w:r/>
            <w:r>
              <w:rPr>
                <w:rFonts w:ascii="Calibri" w:hAnsi="Calibri"/>
                <w:b w:val="0"/>
                <w:sz w:val="15"/>
              </w:rPr>
              <w:t>Report [9.4]</w:t>
            </w:r>
          </w:p>
        </w:tc>
        <w:tc>
          <w:tcPr>
            <w:tcW w:type="dxa" w:w="4195"/>
            <w:shd w:val="clear" w:color="auto" w:fill="EEF1F7"/>
          </w:tcPr>
          <w:p>
            <w:pPr>
              <w:spacing w:after="0" w:line="240" w:lineRule="auto"/>
              <w:jc w:val="left"/>
            </w:pPr>
            <w:r/>
            <w:r>
              <w:rPr>
                <w:rFonts w:ascii="Calibri" w:hAnsi="Calibri"/>
                <w:b w:val="0"/>
                <w:sz w:val="15"/>
              </w:rPr>
              <w:t>The three metrics are correctly defined and the ratio is computable: 6,200/3,871 = 1.60.</w:t>
            </w:r>
          </w:p>
        </w:tc>
        <w:tc>
          <w:tcPr>
            <w:tcW w:type="dxa" w:w="1701"/>
            <w:shd w:val="clear" w:color="auto" w:fill="EEF1F7"/>
          </w:tcPr>
          <w:p>
            <w:pPr>
              <w:spacing w:after="0" w:line="240" w:lineRule="auto"/>
              <w:jc w:val="left"/>
            </w:pPr>
            <w:r/>
            <w:r>
              <w:rPr>
                <w:rFonts w:ascii="Calibri" w:hAnsi="Calibri"/>
                <w:b w:val="0"/>
                <w:sz w:val="15"/>
              </w:rPr>
              <w:t>Formula OK — the ratio itself is a risk (see §7).</w:t>
            </w:r>
          </w:p>
        </w:tc>
      </w:tr>
    </w:tbl>
    <w:p>
      <w:pPr>
        <w:keepNext/>
        <w:spacing w:before="160" w:after="60"/>
        <w:jc w:val="left"/>
      </w:pPr>
      <w:r>
        <w:rPr>
          <w:rFonts w:ascii="Calibri" w:hAnsi="Calibri"/>
          <w:b/>
          <w:color w:val="1F3864"/>
          <w:sz w:val="18"/>
        </w:rPr>
        <w:t>Table 3.1 — Verified items. These numbers can be defended line by line.</w:t>
      </w:r>
    </w:p>
    <w:p>
      <w:pPr>
        <w:spacing w:before="40" w:after="160"/>
        <w:jc w:val="left"/>
      </w:pPr>
      <w:r>
        <w:rPr>
          <w:rFonts w:ascii="Calibri" w:hAnsi="Calibri"/>
          <w:i/>
          <w:color w:val="404040"/>
          <w:sz w:val="16"/>
        </w:rPr>
        <w:t>Rule for the new report: any number that cannot be defended the way these were defended should not appear as a measured result — it belongs in a clearly-labelled section titled “Design targets” or “Expected performance”.</w:t>
      </w:r>
    </w:p>
    <w:p>
      <w:r>
        <w:br w:type="page"/>
      </w:r>
    </w:p>
    <w:p>
      <w:pPr>
        <w:keepNext/>
        <w:spacing w:before="200" w:after="120"/>
        <w:jc w:val="left"/>
        <w:pBdr>
          <w:bottom w:val="single" w:sz="8" w:space="2" w:color="1F3864"/>
        </w:pBdr>
      </w:pPr>
      <w:r>
        <w:rPr>
          <w:rFonts w:ascii="Times New Roman" w:hAnsi="Times New Roman"/>
          <w:b/>
          <w:color w:val="1F3864"/>
          <w:sz w:val="26"/>
        </w:rPr>
        <w:t>4. METRICS THAT ARE NUMERICALLY IMPOSSIBLE OR MUTUALLY CONTRADICTORY</w:t>
      </w:r>
    </w:p>
    <w:p>
      <w:pPr>
        <w:spacing w:after="120"/>
        <w:ind w:left="0"/>
        <w:jc w:val="both"/>
      </w:pPr>
      <w:r>
        <w:rPr>
          <w:b w:val="0"/>
          <w:i w:val="0"/>
          <w:sz w:val="22"/>
        </w:rPr>
        <w:t>These are the “cannot be reached” figures in the strict sense: the numbers, as printed, cannot describe any real experiment. Each was checked by re-adding the table it comes from.</w:t>
      </w:r>
    </w:p>
    <w:p>
      <w:pPr>
        <w:keepNext/>
        <w:spacing w:before="200" w:after="80"/>
        <w:jc w:val="left"/>
      </w:pPr>
      <w:r>
        <w:rPr>
          <w:b/>
          <w:color w:val="1F3864"/>
          <w:sz w:val="23"/>
        </w:rPr>
        <w:t>4.1 The model-accuracy block contradicts itself five times</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567"/>
        <w:gridCol w:w="1871"/>
        <w:gridCol w:w="1474"/>
        <w:gridCol w:w="1474"/>
        <w:gridCol w:w="4025"/>
      </w:tblGrid>
      <w:tr>
        <w:trPr>
          <w:tblHeader w:val="true"/>
          <w:cantSplit w:val="true"/>
        </w:trPr>
        <w:tc>
          <w:tcPr>
            <w:tcW w:type="dxa" w:w="567"/>
            <w:shd w:val="clear" w:color="auto" w:fill="1F3864"/>
          </w:tcPr>
          <w:p>
            <w:pPr>
              <w:spacing w:after="0" w:line="240" w:lineRule="auto"/>
              <w:jc w:val="left"/>
            </w:pPr>
            <w:r/>
            <w:r>
              <w:rPr>
                <w:rFonts w:ascii="Calibri" w:hAnsi="Calibri"/>
                <w:b/>
                <w:color w:val="FFFFFF"/>
                <w:sz w:val="15"/>
              </w:rPr>
              <w:t>ID</w:t>
            </w:r>
          </w:p>
        </w:tc>
        <w:tc>
          <w:tcPr>
            <w:tcW w:type="dxa" w:w="1871"/>
            <w:shd w:val="clear" w:color="auto" w:fill="1F3864"/>
          </w:tcPr>
          <w:p>
            <w:pPr>
              <w:spacing w:after="0" w:line="240" w:lineRule="auto"/>
              <w:jc w:val="left"/>
            </w:pPr>
            <w:r/>
            <w:r>
              <w:rPr>
                <w:rFonts w:ascii="Calibri" w:hAnsi="Calibri"/>
                <w:b/>
                <w:color w:val="FFFFFF"/>
                <w:sz w:val="15"/>
              </w:rPr>
              <w:t>Metric</w:t>
            </w:r>
          </w:p>
        </w:tc>
        <w:tc>
          <w:tcPr>
            <w:tcW w:type="dxa" w:w="1474"/>
            <w:shd w:val="clear" w:color="auto" w:fill="1F3864"/>
          </w:tcPr>
          <w:p>
            <w:pPr>
              <w:spacing w:after="0" w:line="240" w:lineRule="auto"/>
              <w:jc w:val="left"/>
            </w:pPr>
            <w:r/>
            <w:r>
              <w:rPr>
                <w:rFonts w:ascii="Calibri" w:hAnsi="Calibri"/>
                <w:b/>
                <w:color w:val="FFFFFF"/>
                <w:sz w:val="15"/>
              </w:rPr>
              <w:t>Value A</w:t>
            </w:r>
          </w:p>
        </w:tc>
        <w:tc>
          <w:tcPr>
            <w:tcW w:type="dxa" w:w="1474"/>
            <w:shd w:val="clear" w:color="auto" w:fill="1F3864"/>
          </w:tcPr>
          <w:p>
            <w:pPr>
              <w:spacing w:after="0" w:line="240" w:lineRule="auto"/>
              <w:jc w:val="left"/>
            </w:pPr>
            <w:r/>
            <w:r>
              <w:rPr>
                <w:rFonts w:ascii="Calibri" w:hAnsi="Calibri"/>
                <w:b/>
                <w:color w:val="FFFFFF"/>
                <w:sz w:val="15"/>
              </w:rPr>
              <w:t>Value B</w:t>
            </w:r>
          </w:p>
        </w:tc>
        <w:tc>
          <w:tcPr>
            <w:tcW w:type="dxa" w:w="4025"/>
            <w:shd w:val="clear" w:color="auto" w:fill="1F3864"/>
          </w:tcPr>
          <w:p>
            <w:pPr>
              <w:spacing w:after="0" w:line="240" w:lineRule="auto"/>
              <w:jc w:val="left"/>
            </w:pPr>
            <w:r/>
            <w:r>
              <w:rPr>
                <w:rFonts w:ascii="Calibri" w:hAnsi="Calibri"/>
                <w:b/>
                <w:color w:val="FFFFFF"/>
                <w:sz w:val="15"/>
              </w:rPr>
              <w:t>Arithmetic that decides it</w:t>
            </w:r>
          </w:p>
        </w:tc>
      </w:tr>
      <w:tr>
        <w:trPr>
          <w:cantSplit w:val="true"/>
        </w:trPr>
        <w:tc>
          <w:tcPr>
            <w:tcW w:type="dxa" w:w="567"/>
          </w:tcPr>
          <w:p>
            <w:pPr>
              <w:spacing w:after="0" w:line="240" w:lineRule="auto"/>
              <w:jc w:val="left"/>
            </w:pPr>
            <w:r/>
            <w:r>
              <w:rPr>
                <w:rFonts w:ascii="Calibri" w:hAnsi="Calibri"/>
                <w:b w:val="0"/>
                <w:sz w:val="15"/>
              </w:rPr>
              <w:t>A-1</w:t>
            </w:r>
          </w:p>
        </w:tc>
        <w:tc>
          <w:tcPr>
            <w:tcW w:type="dxa" w:w="1871"/>
          </w:tcPr>
          <w:p>
            <w:pPr>
              <w:spacing w:after="0" w:line="240" w:lineRule="auto"/>
              <w:jc w:val="left"/>
            </w:pPr>
            <w:r/>
            <w:r>
              <w:rPr>
                <w:rFonts w:ascii="Calibri" w:hAnsi="Calibri"/>
                <w:b w:val="0"/>
                <w:sz w:val="15"/>
              </w:rPr>
              <w:t>Overall CNN accuracy</w:t>
            </w:r>
          </w:p>
        </w:tc>
        <w:tc>
          <w:tcPr>
            <w:tcW w:type="dxa" w:w="1474"/>
          </w:tcPr>
          <w:p>
            <w:pPr>
              <w:spacing w:after="0" w:line="240" w:lineRule="auto"/>
              <w:jc w:val="left"/>
            </w:pPr>
            <w:r/>
            <w:r>
              <w:rPr>
                <w:rFonts w:ascii="Calibri" w:hAnsi="Calibri"/>
                <w:b w:val="0"/>
                <w:sz w:val="15"/>
              </w:rPr>
              <w:t>98.3% [5.1]</w:t>
            </w:r>
          </w:p>
        </w:tc>
        <w:tc>
          <w:tcPr>
            <w:tcW w:type="dxa" w:w="1474"/>
          </w:tcPr>
          <w:p>
            <w:pPr>
              <w:spacing w:after="0" w:line="240" w:lineRule="auto"/>
              <w:jc w:val="left"/>
            </w:pPr>
            <w:r/>
            <w:r>
              <w:rPr>
                <w:rFonts w:ascii="Calibri" w:hAnsi="Calibri"/>
                <w:b w:val="0"/>
                <w:sz w:val="15"/>
              </w:rPr>
              <w:t>94.04% (Table 3)</w:t>
            </w:r>
          </w:p>
        </w:tc>
        <w:tc>
          <w:tcPr>
            <w:tcW w:type="dxa" w:w="4025"/>
          </w:tcPr>
          <w:p>
            <w:pPr>
              <w:spacing w:after="0" w:line="240" w:lineRule="auto"/>
              <w:jc w:val="left"/>
            </w:pPr>
            <w:r/>
            <w:r>
              <w:rPr>
                <w:rFonts w:ascii="Calibri" w:hAnsi="Calibri"/>
                <w:b w:val="0"/>
                <w:sz w:val="15"/>
              </w:rPr>
              <w:t>Diagonal of Table 3 = 485+710+315+450+278+950 = 3,188. Total = 3,390. 3,188/3,390 = 94.04%. 98.3% is not obtainable from the matrix.</w:t>
            </w:r>
          </w:p>
        </w:tc>
      </w:tr>
      <w:tr>
        <w:trPr>
          <w:cantSplit w:val="true"/>
        </w:trPr>
        <w:tc>
          <w:tcPr>
            <w:tcW w:type="dxa" w:w="567"/>
            <w:shd w:val="clear" w:color="auto" w:fill="EEF1F7"/>
          </w:tcPr>
          <w:p>
            <w:pPr>
              <w:spacing w:after="0" w:line="240" w:lineRule="auto"/>
              <w:jc w:val="left"/>
            </w:pPr>
            <w:r/>
            <w:r>
              <w:rPr>
                <w:rFonts w:ascii="Calibri" w:hAnsi="Calibri"/>
                <w:b w:val="0"/>
                <w:sz w:val="15"/>
              </w:rPr>
              <w:t>A-2</w:t>
            </w:r>
          </w:p>
        </w:tc>
        <w:tc>
          <w:tcPr>
            <w:tcW w:type="dxa" w:w="1871"/>
            <w:shd w:val="clear" w:color="auto" w:fill="EEF1F7"/>
          </w:tcPr>
          <w:p>
            <w:pPr>
              <w:spacing w:after="0" w:line="240" w:lineRule="auto"/>
              <w:jc w:val="left"/>
            </w:pPr>
            <w:r/>
            <w:r>
              <w:rPr>
                <w:rFonts w:ascii="Calibri" w:hAnsi="Calibri"/>
                <w:b w:val="0"/>
                <w:sz w:val="15"/>
              </w:rPr>
              <w:t>Overall CNN accuracy</w:t>
            </w:r>
          </w:p>
        </w:tc>
        <w:tc>
          <w:tcPr>
            <w:tcW w:type="dxa" w:w="1474"/>
            <w:shd w:val="clear" w:color="auto" w:fill="EEF1F7"/>
          </w:tcPr>
          <w:p>
            <w:pPr>
              <w:spacing w:after="0" w:line="240" w:lineRule="auto"/>
              <w:jc w:val="left"/>
            </w:pPr>
            <w:r/>
            <w:r>
              <w:rPr>
                <w:rFonts w:ascii="Calibri" w:hAnsi="Calibri"/>
                <w:b w:val="0"/>
                <w:sz w:val="15"/>
              </w:rPr>
              <w:t>95.41% [4]</w:t>
            </w:r>
          </w:p>
        </w:tc>
        <w:tc>
          <w:tcPr>
            <w:tcW w:type="dxa" w:w="1474"/>
            <w:shd w:val="clear" w:color="auto" w:fill="EEF1F7"/>
          </w:tcPr>
          <w:p>
            <w:pPr>
              <w:spacing w:after="0" w:line="240" w:lineRule="auto"/>
              <w:jc w:val="left"/>
            </w:pPr>
            <w:r/>
            <w:r>
              <w:rPr>
                <w:rFonts w:ascii="Calibri" w:hAnsi="Calibri"/>
                <w:b w:val="0"/>
                <w:sz w:val="15"/>
              </w:rPr>
              <w:t>94.04% (Table 3)</w:t>
            </w:r>
          </w:p>
        </w:tc>
        <w:tc>
          <w:tcPr>
            <w:tcW w:type="dxa" w:w="4025"/>
            <w:shd w:val="clear" w:color="auto" w:fill="EEF1F7"/>
          </w:tcPr>
          <w:p>
            <w:pPr>
              <w:spacing w:after="0" w:line="240" w:lineRule="auto"/>
              <w:jc w:val="left"/>
            </w:pPr>
            <w:r/>
            <w:r>
              <w:rPr>
                <w:rFonts w:ascii="Calibri" w:hAnsi="Calibri"/>
                <w:b w:val="0"/>
                <w:sz w:val="15"/>
              </w:rPr>
              <w:t>95.42% is the 480-image test of Table 1. Table 3 is a 3,390-image test. Two different experiments are being reported as one.</w:t>
            </w:r>
          </w:p>
        </w:tc>
      </w:tr>
      <w:tr>
        <w:trPr>
          <w:cantSplit w:val="true"/>
        </w:trPr>
        <w:tc>
          <w:tcPr>
            <w:tcW w:type="dxa" w:w="567"/>
          </w:tcPr>
          <w:p>
            <w:pPr>
              <w:spacing w:after="0" w:line="240" w:lineRule="auto"/>
              <w:jc w:val="left"/>
            </w:pPr>
            <w:r/>
            <w:r>
              <w:rPr>
                <w:rFonts w:ascii="Calibri" w:hAnsi="Calibri"/>
                <w:b w:val="0"/>
                <w:sz w:val="15"/>
              </w:rPr>
              <w:t>A-3</w:t>
            </w:r>
          </w:p>
        </w:tc>
        <w:tc>
          <w:tcPr>
            <w:tcW w:type="dxa" w:w="1871"/>
          </w:tcPr>
          <w:p>
            <w:pPr>
              <w:spacing w:after="0" w:line="240" w:lineRule="auto"/>
              <w:jc w:val="left"/>
            </w:pPr>
            <w:r/>
            <w:r>
              <w:rPr>
                <w:rFonts w:ascii="Calibri" w:hAnsi="Calibri"/>
                <w:b w:val="0"/>
                <w:sz w:val="15"/>
              </w:rPr>
              <w:t>Overall CNN accuracy</w:t>
            </w:r>
          </w:p>
        </w:tc>
        <w:tc>
          <w:tcPr>
            <w:tcW w:type="dxa" w:w="1474"/>
          </w:tcPr>
          <w:p>
            <w:pPr>
              <w:spacing w:after="0" w:line="240" w:lineRule="auto"/>
              <w:jc w:val="left"/>
            </w:pPr>
            <w:r/>
            <w:r>
              <w:rPr>
                <w:rFonts w:ascii="Calibri" w:hAnsi="Calibri"/>
                <w:b w:val="0"/>
                <w:sz w:val="15"/>
              </w:rPr>
              <w:t>97.7% [5.4], [6]</w:t>
            </w:r>
          </w:p>
        </w:tc>
        <w:tc>
          <w:tcPr>
            <w:tcW w:type="dxa" w:w="1474"/>
          </w:tcPr>
          <w:p>
            <w:pPr>
              <w:spacing w:after="0" w:line="240" w:lineRule="auto"/>
              <w:jc w:val="left"/>
            </w:pPr>
            <w:r/>
            <w:r>
              <w:rPr>
                <w:rFonts w:ascii="Calibri" w:hAnsi="Calibri"/>
                <w:b w:val="0"/>
                <w:sz w:val="15"/>
              </w:rPr>
              <w:t>94.04% (Table 3)</w:t>
            </w:r>
          </w:p>
        </w:tc>
        <w:tc>
          <w:tcPr>
            <w:tcW w:type="dxa" w:w="4025"/>
          </w:tcPr>
          <w:p>
            <w:pPr>
              <w:spacing w:after="0" w:line="240" w:lineRule="auto"/>
              <w:jc w:val="left"/>
            </w:pPr>
            <w:r/>
            <w:r>
              <w:rPr>
                <w:rFonts w:ascii="Calibri" w:hAnsi="Calibri"/>
                <w:b w:val="0"/>
                <w:sz w:val="15"/>
              </w:rPr>
              <w:t>“Overall accuracy of up to 97.7%” in the abstract, conclusion and validation — a fourth value for the same model.</w:t>
            </w:r>
          </w:p>
        </w:tc>
      </w:tr>
      <w:tr>
        <w:trPr>
          <w:cantSplit w:val="true"/>
        </w:trPr>
        <w:tc>
          <w:tcPr>
            <w:tcW w:type="dxa" w:w="567"/>
            <w:shd w:val="clear" w:color="auto" w:fill="EEF1F7"/>
          </w:tcPr>
          <w:p>
            <w:pPr>
              <w:spacing w:after="0" w:line="240" w:lineRule="auto"/>
              <w:jc w:val="left"/>
            </w:pPr>
            <w:r/>
            <w:r>
              <w:rPr>
                <w:rFonts w:ascii="Calibri" w:hAnsi="Calibri"/>
                <w:b w:val="0"/>
                <w:sz w:val="15"/>
              </w:rPr>
              <w:t>A-4</w:t>
            </w:r>
          </w:p>
        </w:tc>
        <w:tc>
          <w:tcPr>
            <w:tcW w:type="dxa" w:w="1871"/>
            <w:shd w:val="clear" w:color="auto" w:fill="EEF1F7"/>
          </w:tcPr>
          <w:p>
            <w:pPr>
              <w:spacing w:after="0" w:line="240" w:lineRule="auto"/>
              <w:jc w:val="left"/>
            </w:pPr>
            <w:r/>
            <w:r>
              <w:rPr>
                <w:rFonts w:ascii="Calibri" w:hAnsi="Calibri"/>
                <w:b w:val="0"/>
                <w:sz w:val="15"/>
              </w:rPr>
              <w:t>CNN accuracy, Fig. 6</w:t>
            </w:r>
          </w:p>
        </w:tc>
        <w:tc>
          <w:tcPr>
            <w:tcW w:type="dxa" w:w="1474"/>
            <w:shd w:val="clear" w:color="auto" w:fill="EEF1F7"/>
          </w:tcPr>
          <w:p>
            <w:pPr>
              <w:spacing w:after="0" w:line="240" w:lineRule="auto"/>
              <w:jc w:val="left"/>
            </w:pPr>
            <w:r/>
            <w:r>
              <w:rPr>
                <w:rFonts w:ascii="Calibri" w:hAnsi="Calibri"/>
                <w:b w:val="0"/>
                <w:sz w:val="15"/>
              </w:rPr>
              <w:t>93.8% (EfficientNet-B3)</w:t>
            </w:r>
          </w:p>
        </w:tc>
        <w:tc>
          <w:tcPr>
            <w:tcW w:type="dxa" w:w="1474"/>
            <w:shd w:val="clear" w:color="auto" w:fill="EEF1F7"/>
          </w:tcPr>
          <w:p>
            <w:pPr>
              <w:spacing w:after="0" w:line="240" w:lineRule="auto"/>
              <w:jc w:val="left"/>
            </w:pPr>
            <w:r/>
            <w:r>
              <w:rPr>
                <w:rFonts w:ascii="Calibri" w:hAnsi="Calibri"/>
                <w:b w:val="0"/>
                <w:sz w:val="15"/>
              </w:rPr>
              <w:t>95.41 / 97.7 / 98.3%</w:t>
            </w:r>
          </w:p>
        </w:tc>
        <w:tc>
          <w:tcPr>
            <w:tcW w:type="dxa" w:w="4025"/>
            <w:shd w:val="clear" w:color="auto" w:fill="EEF1F7"/>
          </w:tcPr>
          <w:p>
            <w:pPr>
              <w:spacing w:after="0" w:line="240" w:lineRule="auto"/>
              <w:jc w:val="left"/>
            </w:pPr>
            <w:r/>
            <w:r>
              <w:rPr>
                <w:rFonts w:ascii="Calibri" w:hAnsi="Calibri"/>
                <w:b w:val="0"/>
                <w:sz w:val="15"/>
              </w:rPr>
              <w:t>Fig. 6 plots EfficientNet-B3 at 93.8%, which agrees with none of the three text values and not with Table 3's 94.04%.</w:t>
            </w:r>
          </w:p>
        </w:tc>
      </w:tr>
      <w:tr>
        <w:trPr>
          <w:cantSplit w:val="true"/>
        </w:trPr>
        <w:tc>
          <w:tcPr>
            <w:tcW w:type="dxa" w:w="567"/>
          </w:tcPr>
          <w:p>
            <w:pPr>
              <w:spacing w:after="0" w:line="240" w:lineRule="auto"/>
              <w:jc w:val="left"/>
            </w:pPr>
            <w:r/>
            <w:r>
              <w:rPr>
                <w:rFonts w:ascii="Calibri" w:hAnsi="Calibri"/>
                <w:b w:val="0"/>
                <w:sz w:val="15"/>
              </w:rPr>
              <w:t>A-5</w:t>
            </w:r>
          </w:p>
        </w:tc>
        <w:tc>
          <w:tcPr>
            <w:tcW w:type="dxa" w:w="1871"/>
          </w:tcPr>
          <w:p>
            <w:pPr>
              <w:spacing w:after="0" w:line="240" w:lineRule="auto"/>
              <w:jc w:val="left"/>
            </w:pPr>
            <w:r/>
            <w:r>
              <w:rPr>
                <w:rFonts w:ascii="Calibri" w:hAnsi="Calibri"/>
                <w:b w:val="0"/>
                <w:sz w:val="15"/>
              </w:rPr>
              <w:t>Per-class metrics (Table 7.2)</w:t>
            </w:r>
          </w:p>
        </w:tc>
        <w:tc>
          <w:tcPr>
            <w:tcW w:type="dxa" w:w="1474"/>
          </w:tcPr>
          <w:p>
            <w:pPr>
              <w:spacing w:after="0" w:line="240" w:lineRule="auto"/>
              <w:jc w:val="left"/>
            </w:pPr>
            <w:r/>
            <w:r>
              <w:rPr>
                <w:rFonts w:ascii="Calibri" w:hAnsi="Calibri"/>
                <w:b w:val="0"/>
                <w:sz w:val="15"/>
              </w:rPr>
              <w:t>Precision 87.6–92.1%</w:t>
            </w:r>
          </w:p>
        </w:tc>
        <w:tc>
          <w:tcPr>
            <w:tcW w:type="dxa" w:w="1474"/>
          </w:tcPr>
          <w:p>
            <w:pPr>
              <w:spacing w:after="0" w:line="240" w:lineRule="auto"/>
              <w:jc w:val="left"/>
            </w:pPr>
            <w:r/>
            <w:r>
              <w:rPr>
                <w:rFonts w:ascii="Calibri" w:hAnsi="Calibri"/>
                <w:b w:val="0"/>
                <w:sz w:val="15"/>
              </w:rPr>
              <w:t>Table 3 matrix 90.7–99.5%</w:t>
            </w:r>
          </w:p>
        </w:tc>
        <w:tc>
          <w:tcPr>
            <w:tcW w:type="dxa" w:w="4025"/>
          </w:tcPr>
          <w:p>
            <w:pPr>
              <w:spacing w:after="0" w:line="240" w:lineRule="auto"/>
              <w:jc w:val="left"/>
            </w:pPr>
            <w:r/>
            <w:r>
              <w:rPr>
                <w:rFonts w:ascii="Calibri" w:hAnsi="Calibri"/>
                <w:b w:val="0"/>
                <w:sz w:val="15"/>
              </w:rPr>
              <w:t>Recomputed precision from Table 3: Paper 90.65, Plastic 92.57, Metal 91.30, Glass 92.78, E-waste 91.75, Organic 99.48. Report Table 7.2 states 88.7, 91.2, 92.1, 87.9, —, 87.6. Only Metal is close.</w:t>
            </w:r>
          </w:p>
        </w:tc>
      </w:tr>
    </w:tbl>
    <w:p>
      <w:pPr>
        <w:keepNext/>
        <w:spacing w:before="160" w:after="60"/>
        <w:jc w:val="left"/>
      </w:pPr>
      <w:r>
        <w:rPr>
          <w:rFonts w:ascii="Calibri" w:hAnsi="Calibri"/>
          <w:b/>
          <w:color w:val="1F3864"/>
          <w:sz w:val="18"/>
        </w:rPr>
        <w:t>Table 4.1 — Five incompatible statements about one model.</w:t>
      </w:r>
    </w:p>
    <w:p>
      <w:pPr>
        <w:spacing w:before="40" w:after="160"/>
        <w:jc w:val="left"/>
      </w:pPr>
      <w:r>
        <w:rPr>
          <w:rFonts w:ascii="Calibri" w:hAnsi="Calibri"/>
          <w:i/>
          <w:color w:val="404040"/>
          <w:sz w:val="16"/>
        </w:rPr>
        <w:t>A-5 also reveals that Report Table 7.2 omits E-waste entirely, although e-waste is one of the four compartments the machine sorts into.</w:t>
      </w:r>
    </w:p>
    <w:p>
      <w:pPr>
        <w:keepNext/>
        <w:spacing w:before="200" w:after="80"/>
        <w:jc w:val="left"/>
      </w:pPr>
      <w:r>
        <w:rPr>
          <w:b/>
          <w:color w:val="1F3864"/>
          <w:sz w:val="23"/>
        </w:rPr>
        <w:t>4.2 Confusion-matrix class sizes contradict the dataset tables</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567"/>
        <w:gridCol w:w="2494"/>
        <w:gridCol w:w="1360"/>
        <w:gridCol w:w="4989"/>
      </w:tblGrid>
      <w:tr>
        <w:trPr>
          <w:tblHeader w:val="true"/>
          <w:cantSplit w:val="true"/>
        </w:trPr>
        <w:tc>
          <w:tcPr>
            <w:tcW w:type="dxa" w:w="567"/>
            <w:shd w:val="clear" w:color="auto" w:fill="1F3864"/>
          </w:tcPr>
          <w:p>
            <w:pPr>
              <w:spacing w:after="0" w:line="240" w:lineRule="auto"/>
              <w:jc w:val="left"/>
            </w:pPr>
            <w:r/>
            <w:r>
              <w:rPr>
                <w:rFonts w:ascii="Calibri" w:hAnsi="Calibri"/>
                <w:b/>
                <w:color w:val="FFFFFF"/>
                <w:sz w:val="15"/>
              </w:rPr>
              <w:t>ID</w:t>
            </w:r>
          </w:p>
        </w:tc>
        <w:tc>
          <w:tcPr>
            <w:tcW w:type="dxa" w:w="2494"/>
            <w:shd w:val="clear" w:color="auto" w:fill="1F3864"/>
          </w:tcPr>
          <w:p>
            <w:pPr>
              <w:spacing w:after="0" w:line="240" w:lineRule="auto"/>
              <w:jc w:val="left"/>
            </w:pPr>
            <w:r/>
            <w:r>
              <w:rPr>
                <w:rFonts w:ascii="Calibri" w:hAnsi="Calibri"/>
                <w:b/>
                <w:color w:val="FFFFFF"/>
                <w:sz w:val="15"/>
              </w:rPr>
              <w:t>Statement</w:t>
            </w:r>
          </w:p>
        </w:tc>
        <w:tc>
          <w:tcPr>
            <w:tcW w:type="dxa" w:w="1361"/>
            <w:shd w:val="clear" w:color="auto" w:fill="1F3864"/>
          </w:tcPr>
          <w:p>
            <w:pPr>
              <w:spacing w:after="0" w:line="240" w:lineRule="auto"/>
              <w:jc w:val="left"/>
            </w:pPr>
            <w:r/>
            <w:r>
              <w:rPr>
                <w:rFonts w:ascii="Calibri" w:hAnsi="Calibri"/>
                <w:b/>
                <w:color w:val="FFFFFF"/>
                <w:sz w:val="15"/>
              </w:rPr>
              <w:t>Document</w:t>
            </w:r>
          </w:p>
        </w:tc>
        <w:tc>
          <w:tcPr>
            <w:tcW w:type="dxa" w:w="4989"/>
            <w:shd w:val="clear" w:color="auto" w:fill="1F3864"/>
          </w:tcPr>
          <w:p>
            <w:pPr>
              <w:spacing w:after="0" w:line="240" w:lineRule="auto"/>
              <w:jc w:val="left"/>
            </w:pPr>
            <w:r/>
            <w:r>
              <w:rPr>
                <w:rFonts w:ascii="Calibri" w:hAnsi="Calibri"/>
                <w:b/>
                <w:color w:val="FFFFFF"/>
                <w:sz w:val="15"/>
              </w:rPr>
              <w:t>Why it fails</w:t>
            </w:r>
          </w:p>
        </w:tc>
      </w:tr>
      <w:tr>
        <w:trPr>
          <w:cantSplit w:val="true"/>
        </w:trPr>
        <w:tc>
          <w:tcPr>
            <w:tcW w:type="dxa" w:w="567"/>
          </w:tcPr>
          <w:p>
            <w:pPr>
              <w:spacing w:after="0" w:line="240" w:lineRule="auto"/>
              <w:jc w:val="left"/>
            </w:pPr>
            <w:r/>
            <w:r>
              <w:rPr>
                <w:rFonts w:ascii="Calibri" w:hAnsi="Calibri"/>
                <w:b w:val="0"/>
                <w:sz w:val="15"/>
              </w:rPr>
              <w:t>B-1</w:t>
            </w:r>
          </w:p>
        </w:tc>
        <w:tc>
          <w:tcPr>
            <w:tcW w:type="dxa" w:w="2494"/>
          </w:tcPr>
          <w:p>
            <w:pPr>
              <w:spacing w:after="0" w:line="240" w:lineRule="auto"/>
              <w:jc w:val="left"/>
            </w:pPr>
            <w:r/>
            <w:r>
              <w:rPr>
                <w:rFonts w:ascii="Calibri" w:hAnsi="Calibri"/>
                <w:b w:val="0"/>
                <w:sz w:val="15"/>
              </w:rPr>
              <w:t>“80 test images per class” (6 classes = 480 tests)</w:t>
            </w:r>
          </w:p>
        </w:tc>
        <w:tc>
          <w:tcPr>
            <w:tcW w:type="dxa" w:w="1361"/>
          </w:tcPr>
          <w:p>
            <w:pPr>
              <w:spacing w:after="0" w:line="240" w:lineRule="auto"/>
              <w:jc w:val="left"/>
            </w:pPr>
            <w:r/>
            <w:r>
              <w:rPr>
                <w:rFonts w:ascii="Calibri" w:hAnsi="Calibri"/>
                <w:b w:val="0"/>
                <w:sz w:val="15"/>
              </w:rPr>
              <w:t>Paper Table 1</w:t>
            </w:r>
          </w:p>
        </w:tc>
        <w:tc>
          <w:tcPr>
            <w:tcW w:type="dxa" w:w="4989"/>
          </w:tcPr>
          <w:p>
            <w:pPr>
              <w:spacing w:after="0" w:line="240" w:lineRule="auto"/>
              <w:jc w:val="left"/>
            </w:pPr>
            <w:r/>
            <w:r>
              <w:rPr>
                <w:rFonts w:ascii="Calibri" w:hAnsi="Calibri"/>
                <w:b w:val="0"/>
                <w:sz w:val="15"/>
              </w:rPr>
              <w:t>Table 2's class supports are 500/750/400/500/310/1,000 and Table 3's are 500/750/330/500/310/1,000. Neither is 480, or 600, or equal per class.</w:t>
            </w:r>
          </w:p>
        </w:tc>
      </w:tr>
      <w:tr>
        <w:trPr>
          <w:cantSplit w:val="true"/>
        </w:trPr>
        <w:tc>
          <w:tcPr>
            <w:tcW w:type="dxa" w:w="567"/>
            <w:shd w:val="clear" w:color="auto" w:fill="EEF1F7"/>
          </w:tcPr>
          <w:p>
            <w:pPr>
              <w:spacing w:after="0" w:line="240" w:lineRule="auto"/>
              <w:jc w:val="left"/>
            </w:pPr>
            <w:r/>
            <w:r>
              <w:rPr>
                <w:rFonts w:ascii="Calibri" w:hAnsi="Calibri"/>
                <w:b w:val="0"/>
                <w:sz w:val="15"/>
              </w:rPr>
              <w:t>B-2</w:t>
            </w:r>
          </w:p>
        </w:tc>
        <w:tc>
          <w:tcPr>
            <w:tcW w:type="dxa" w:w="2494"/>
            <w:shd w:val="clear" w:color="auto" w:fill="EEF1F7"/>
          </w:tcPr>
          <w:p>
            <w:pPr>
              <w:spacing w:after="0" w:line="240" w:lineRule="auto"/>
              <w:jc w:val="left"/>
            </w:pPr>
            <w:r/>
            <w:r>
              <w:rPr>
                <w:rFonts w:ascii="Calibri" w:hAnsi="Calibri"/>
                <w:b w:val="0"/>
                <w:sz w:val="15"/>
              </w:rPr>
              <w:t>“Data divided 80:20 for training and testing” [4]</w:t>
            </w:r>
          </w:p>
        </w:tc>
        <w:tc>
          <w:tcPr>
            <w:tcW w:type="dxa" w:w="1361"/>
            <w:shd w:val="clear" w:color="auto" w:fill="EEF1F7"/>
          </w:tcPr>
          <w:p>
            <w:pPr>
              <w:spacing w:after="0" w:line="240" w:lineRule="auto"/>
              <w:jc w:val="left"/>
            </w:pPr>
            <w:r/>
            <w:r>
              <w:rPr>
                <w:rFonts w:ascii="Calibri" w:hAnsi="Calibri"/>
                <w:b w:val="0"/>
                <w:sz w:val="15"/>
              </w:rPr>
              <w:t>Paper [4]</w:t>
            </w:r>
          </w:p>
        </w:tc>
        <w:tc>
          <w:tcPr>
            <w:tcW w:type="dxa" w:w="4989"/>
            <w:shd w:val="clear" w:color="auto" w:fill="EEF1F7"/>
          </w:tcPr>
          <w:p>
            <w:pPr>
              <w:spacing w:after="0" w:line="240" w:lineRule="auto"/>
              <w:jc w:val="left"/>
            </w:pPr>
            <w:r/>
            <w:r>
              <w:rPr>
                <w:rFonts w:ascii="Calibri" w:hAnsi="Calibri"/>
                <w:b w:val="0"/>
                <w:sz w:val="15"/>
              </w:rPr>
              <w:t>Table 1 gives 1,500 train / 300 validation / 80 test per class = 79.8 / 16.0 / 4.3%. That is a three-way split, not 80:20.</w:t>
            </w:r>
          </w:p>
        </w:tc>
      </w:tr>
      <w:tr>
        <w:trPr>
          <w:cantSplit w:val="true"/>
        </w:trPr>
        <w:tc>
          <w:tcPr>
            <w:tcW w:type="dxa" w:w="567"/>
          </w:tcPr>
          <w:p>
            <w:pPr>
              <w:spacing w:after="0" w:line="240" w:lineRule="auto"/>
              <w:jc w:val="left"/>
            </w:pPr>
            <w:r/>
            <w:r>
              <w:rPr>
                <w:rFonts w:ascii="Calibri" w:hAnsi="Calibri"/>
                <w:b w:val="0"/>
                <w:sz w:val="15"/>
              </w:rPr>
              <w:t>B-3</w:t>
            </w:r>
          </w:p>
        </w:tc>
        <w:tc>
          <w:tcPr>
            <w:tcW w:type="dxa" w:w="2494"/>
          </w:tcPr>
          <w:p>
            <w:pPr>
              <w:spacing w:after="0" w:line="240" w:lineRule="auto"/>
              <w:jc w:val="left"/>
            </w:pPr>
            <w:r/>
            <w:r>
              <w:rPr>
                <w:rFonts w:ascii="Calibri" w:hAnsi="Calibri"/>
                <w:b w:val="0"/>
                <w:sz w:val="15"/>
              </w:rPr>
              <w:t>“Validation used 2,000 labelled waste samples across four categories” [5.4]</w:t>
            </w:r>
          </w:p>
        </w:tc>
        <w:tc>
          <w:tcPr>
            <w:tcW w:type="dxa" w:w="1361"/>
          </w:tcPr>
          <w:p>
            <w:pPr>
              <w:spacing w:after="0" w:line="240" w:lineRule="auto"/>
              <w:jc w:val="left"/>
            </w:pPr>
            <w:r/>
            <w:r>
              <w:rPr>
                <w:rFonts w:ascii="Calibri" w:hAnsi="Calibri"/>
                <w:b w:val="0"/>
                <w:sz w:val="15"/>
              </w:rPr>
              <w:t>Paper [5.4]</w:t>
            </w:r>
          </w:p>
        </w:tc>
        <w:tc>
          <w:tcPr>
            <w:tcW w:type="dxa" w:w="4989"/>
          </w:tcPr>
          <w:p>
            <w:pPr>
              <w:spacing w:after="0" w:line="240" w:lineRule="auto"/>
              <w:jc w:val="left"/>
            </w:pPr>
            <w:r/>
            <w:r>
              <w:rPr>
                <w:rFonts w:ascii="Calibri" w:hAnsi="Calibri"/>
                <w:b w:val="0"/>
                <w:sz w:val="15"/>
              </w:rPr>
              <w:t>Table 1 describes 11,280 images over six categories; Table 3 describes 3,390. Three dataset designs in one paper.</w:t>
            </w:r>
          </w:p>
        </w:tc>
      </w:tr>
      <w:tr>
        <w:trPr>
          <w:cantSplit w:val="true"/>
        </w:trPr>
        <w:tc>
          <w:tcPr>
            <w:tcW w:type="dxa" w:w="567"/>
            <w:shd w:val="clear" w:color="auto" w:fill="EEF1F7"/>
          </w:tcPr>
          <w:p>
            <w:pPr>
              <w:spacing w:after="0" w:line="240" w:lineRule="auto"/>
              <w:jc w:val="left"/>
            </w:pPr>
            <w:r/>
            <w:r>
              <w:rPr>
                <w:rFonts w:ascii="Calibri" w:hAnsi="Calibri"/>
                <w:b w:val="0"/>
                <w:sz w:val="15"/>
              </w:rPr>
              <w:t>B-4</w:t>
            </w:r>
          </w:p>
        </w:tc>
        <w:tc>
          <w:tcPr>
            <w:tcW w:type="dxa" w:w="2494"/>
            <w:shd w:val="clear" w:color="auto" w:fill="EEF1F7"/>
          </w:tcPr>
          <w:p>
            <w:pPr>
              <w:spacing w:after="0" w:line="240" w:lineRule="auto"/>
              <w:jc w:val="left"/>
            </w:pPr>
            <w:r/>
            <w:r>
              <w:rPr>
                <w:rFonts w:ascii="Calibri" w:hAnsi="Calibri"/>
                <w:b w:val="0"/>
                <w:sz w:val="15"/>
              </w:rPr>
              <w:t>E-waste recall “70%”</w:t>
            </w:r>
          </w:p>
        </w:tc>
        <w:tc>
          <w:tcPr>
            <w:tcW w:type="dxa" w:w="1361"/>
            <w:shd w:val="clear" w:color="auto" w:fill="EEF1F7"/>
          </w:tcPr>
          <w:p>
            <w:pPr>
              <w:spacing w:after="0" w:line="240" w:lineRule="auto"/>
              <w:jc w:val="left"/>
            </w:pPr>
            <w:r/>
            <w:r>
              <w:rPr>
                <w:rFonts w:ascii="Calibri" w:hAnsi="Calibri"/>
                <w:b w:val="0"/>
                <w:sz w:val="15"/>
              </w:rPr>
              <w:t>Paper Table 2, [5.1]</w:t>
            </w:r>
          </w:p>
        </w:tc>
        <w:tc>
          <w:tcPr>
            <w:tcW w:type="dxa" w:w="4989"/>
            <w:shd w:val="clear" w:color="auto" w:fill="EEF1F7"/>
          </w:tcPr>
          <w:p>
            <w:pPr>
              <w:spacing w:after="0" w:line="240" w:lineRule="auto"/>
              <w:jc w:val="left"/>
            </w:pPr>
            <w:r/>
            <w:r>
              <w:rPr>
                <w:rFonts w:ascii="Calibri" w:hAnsi="Calibri"/>
                <w:b w:val="0"/>
                <w:sz w:val="15"/>
              </w:rPr>
              <w:t>Cell = 210 of a 310 row = 67.74%. Only 70% if the support is 300. Print 67.7% or change the support.</w:t>
            </w:r>
          </w:p>
        </w:tc>
      </w:tr>
      <w:tr>
        <w:trPr>
          <w:cantSplit w:val="true"/>
        </w:trPr>
        <w:tc>
          <w:tcPr>
            <w:tcW w:type="dxa" w:w="567"/>
          </w:tcPr>
          <w:p>
            <w:pPr>
              <w:spacing w:after="0" w:line="240" w:lineRule="auto"/>
              <w:jc w:val="left"/>
            </w:pPr>
            <w:r/>
            <w:r>
              <w:rPr>
                <w:rFonts w:ascii="Calibri" w:hAnsi="Calibri"/>
                <w:b w:val="0"/>
                <w:sz w:val="15"/>
              </w:rPr>
              <w:t>B-5</w:t>
            </w:r>
          </w:p>
        </w:tc>
        <w:tc>
          <w:tcPr>
            <w:tcW w:type="dxa" w:w="2494"/>
          </w:tcPr>
          <w:p>
            <w:pPr>
              <w:spacing w:after="0" w:line="240" w:lineRule="auto"/>
              <w:jc w:val="left"/>
            </w:pPr>
            <w:r/>
            <w:r>
              <w:rPr>
                <w:rFonts w:ascii="Calibri" w:hAnsi="Calibri"/>
                <w:b w:val="0"/>
                <w:sz w:val="15"/>
              </w:rPr>
              <w:t>Sensor-module overall accuracy</w:t>
            </w:r>
          </w:p>
        </w:tc>
        <w:tc>
          <w:tcPr>
            <w:tcW w:type="dxa" w:w="1361"/>
          </w:tcPr>
          <w:p>
            <w:pPr>
              <w:spacing w:after="0" w:line="240" w:lineRule="auto"/>
              <w:jc w:val="left"/>
            </w:pPr>
            <w:r/>
            <w:r>
              <w:rPr>
                <w:rFonts w:ascii="Calibri" w:hAnsi="Calibri"/>
                <w:b w:val="0"/>
                <w:sz w:val="15"/>
              </w:rPr>
              <w:t>Paper [5.1]</w:t>
            </w:r>
          </w:p>
        </w:tc>
        <w:tc>
          <w:tcPr>
            <w:tcW w:type="dxa" w:w="4989"/>
          </w:tcPr>
          <w:p>
            <w:pPr>
              <w:spacing w:after="0" w:line="240" w:lineRule="auto"/>
              <w:jc w:val="left"/>
            </w:pPr>
            <w:r/>
            <w:r>
              <w:rPr>
                <w:rFonts w:ascii="Calibri" w:hAnsi="Calibri"/>
                <w:b w:val="0"/>
                <w:sz w:val="15"/>
              </w:rPr>
              <w:t>Never stated, although computable: 3,046/3,460 = 88.03%. The section gives only per-class values; the fusion gain over 88.03% is therefore never quantified.</w:t>
            </w:r>
          </w:p>
        </w:tc>
      </w:tr>
    </w:tbl>
    <w:p>
      <w:pPr>
        <w:keepNext/>
        <w:spacing w:before="160" w:after="60"/>
        <w:jc w:val="left"/>
      </w:pPr>
      <w:r>
        <w:rPr>
          <w:rFonts w:ascii="Calibri" w:hAnsi="Calibri"/>
          <w:b/>
          <w:color w:val="1F3864"/>
          <w:sz w:val="18"/>
        </w:rPr>
        <w:t>Table 4.2 — Dataset and support inconsistencies.</w:t>
      </w:r>
    </w:p>
    <w:p>
      <w:pPr>
        <w:spacing w:before="40" w:after="160"/>
        <w:jc w:val="left"/>
      </w:pPr>
      <w:r>
        <w:rPr>
          <w:rFonts w:ascii="Calibri" w:hAnsi="Calibri"/>
          <w:i/>
          <w:color w:val="404040"/>
          <w:sz w:val="16"/>
        </w:rPr>
        <w:t>Consequence to state in the new report: with 3,390 test images and unequal supports, the honest headline is “94.04% overall, macro-F1 93.32”, not 98.3%. Macro-F1 is the fairer figure when supports are unequal and it is lower — which is exactly why it should be reported.</w:t>
      </w:r>
    </w:p>
    <w:p>
      <w:pPr>
        <w:keepNext/>
        <w:spacing w:before="200" w:after="80"/>
        <w:jc w:val="left"/>
      </w:pPr>
      <w:r>
        <w:rPr>
          <w:b/>
          <w:color w:val="1F3864"/>
          <w:sz w:val="23"/>
        </w:rPr>
        <w:t>4.3 The taxonomy gap: six trained classes, four physical compartments</w:t>
      </w:r>
    </w:p>
    <w:p>
      <w:pPr>
        <w:spacing w:after="120"/>
        <w:ind w:left="0"/>
        <w:jc w:val="both"/>
      </w:pPr>
      <w:r>
        <w:rPr>
          <w:b w:val="0"/>
          <w:i w:val="0"/>
          <w:sz w:val="22"/>
        </w:rPr>
        <w:t xml:space="preserve">The single most serious technical gap in both documents is that </w:t>
      </w:r>
      <w:r>
        <w:rPr>
          <w:b/>
          <w:i w:val="0"/>
          <w:sz w:val="22"/>
        </w:rPr>
        <w:t>the classifier and the machine do not share a category set</w:t>
      </w:r>
      <w:r>
        <w:rPr>
          <w:b w:val="0"/>
          <w:i w:val="0"/>
          <w:sz w:val="22"/>
        </w:rPr>
        <w:t>. The neural network is trained and tested on Plastic, Metal, Glass, Medical Waste, Organic and E-waste. The carousel disc indexes four compartments: Biodegradable (wet), Dry, Electronic and Residual. No table, figure or sentence maps one set onto the other. Three consequences follow, and all three are answerable in one sentence each — but only if the new report states them:</w:t>
      </w:r>
    </w:p>
    <w:p>
      <w:pPr>
        <w:pStyle w:val="ListBullet"/>
        <w:spacing w:after="40"/>
        <w:ind w:left="425" w:hanging="255"/>
        <w:jc w:val="both"/>
      </w:pPr>
      <w:r>
        <w:rPr>
          <w:b w:val="0"/>
          <w:sz w:val="21"/>
        </w:rPr>
        <w:t>“Medical waste” has no destination compartment. It is either dropped into Residual (a health-and-safety statement) or the class must be removed from training.</w:t>
      </w:r>
    </w:p>
    <w:p>
      <w:pPr>
        <w:pStyle w:val="ListBullet"/>
        <w:spacing w:after="40"/>
        <w:ind w:left="425" w:hanging="255"/>
        <w:jc w:val="both"/>
      </w:pPr>
      <w:r>
        <w:rPr>
          <w:b w:val="0"/>
          <w:sz w:val="21"/>
        </w:rPr>
        <w:t>“Dry” and “Residual” are not output classes of the model at all, so a “four-category classification accuracy” cannot be derived from the six-class results as printed.</w:t>
      </w:r>
    </w:p>
    <w:p>
      <w:pPr>
        <w:pStyle w:val="ListBullet"/>
        <w:spacing w:after="40"/>
        <w:ind w:left="425" w:hanging="255"/>
        <w:jc w:val="both"/>
      </w:pPr>
      <w:r>
        <w:rPr>
          <w:b w:val="0"/>
          <w:sz w:val="21"/>
        </w:rPr>
        <w:t>Plastic, Metal and Glass are materials, not disposal streams. Cardboard, paper, textile and food waste — the bulk of real MSW — are either absent or folded into “Organic” without definition.</w:t>
      </w:r>
    </w:p>
    <w:p>
      <w:pPr>
        <w:spacing w:after="120"/>
        <w:ind w:left="0"/>
        <w:jc w:val="both"/>
      </w:pPr>
      <w:r>
        <w:rPr>
          <w:b/>
          <w:i w:val="0"/>
          <w:sz w:val="22"/>
        </w:rPr>
        <w:t>Recommended fix (one paragraph, no new experiments):</w:t>
      </w:r>
      <w:r>
        <w:rPr>
          <w:b w:val="0"/>
          <w:i w:val="0"/>
          <w:sz w:val="22"/>
        </w:rPr>
        <w:t xml:space="preserve"> define the mapping table — Organic → Biodegradable; Plastic, Glass, Paper → Dry; Metal, E-waste → Electronic; Medical Waste and any low-confidence result → Residual — then report both the six-class model metrics and the derived four-stream decision accuracy, and state which of the two the headline number refers to.</w:t>
      </w:r>
    </w:p>
    <w:p>
      <w:pPr>
        <w:keepNext/>
        <w:spacing w:before="200" w:after="80"/>
        <w:jc w:val="left"/>
      </w:pPr>
      <w:r>
        <w:rPr>
          <w:b/>
          <w:color w:val="1F3864"/>
          <w:sz w:val="23"/>
        </w:rPr>
        <w:t>4.4 Mechanical claim that the stated tolerance cannot deliver</w:t>
      </w:r>
    </w:p>
    <w:p>
      <w:pPr>
        <w:spacing w:after="120"/>
        <w:ind w:left="0"/>
        <w:jc w:val="both"/>
      </w:pPr>
      <w:r>
        <w:rPr>
          <w:b w:val="0"/>
          <w:i w:val="0"/>
          <w:sz w:val="22"/>
        </w:rPr>
        <w:t>Paper [5.3] proposes, as an improvement, “precise angular positioning within ±2° of the target compartment”, while [5.4] already claims “angular deviation below 1.8°” as achieved. The proposed improvement is therefore worse than the achievement — a contradiction on its face. More importantly, 1.8° is not good enough for the stated geometry:</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2494"/>
        <w:gridCol w:w="1927"/>
        <w:gridCol w:w="1134"/>
        <w:gridCol w:w="3855"/>
      </w:tblGrid>
      <w:tr>
        <w:trPr>
          <w:tblHeader w:val="true"/>
          <w:cantSplit w:val="true"/>
        </w:trPr>
        <w:tc>
          <w:tcPr>
            <w:tcW w:type="dxa" w:w="2494"/>
            <w:shd w:val="clear" w:color="auto" w:fill="1F3864"/>
          </w:tcPr>
          <w:p>
            <w:pPr>
              <w:spacing w:after="0" w:line="240" w:lineRule="auto"/>
              <w:jc w:val="left"/>
            </w:pPr>
            <w:r/>
            <w:r>
              <w:rPr>
                <w:rFonts w:ascii="Calibri" w:hAnsi="Calibri"/>
                <w:b/>
                <w:color w:val="FFFFFF"/>
                <w:sz w:val="15"/>
              </w:rPr>
              <w:t>Quantity</w:t>
            </w:r>
          </w:p>
        </w:tc>
        <w:tc>
          <w:tcPr>
            <w:tcW w:type="dxa" w:w="1928"/>
            <w:shd w:val="clear" w:color="auto" w:fill="1F3864"/>
          </w:tcPr>
          <w:p>
            <w:pPr>
              <w:spacing w:after="0" w:line="240" w:lineRule="auto"/>
              <w:jc w:val="left"/>
            </w:pPr>
            <w:r/>
            <w:r>
              <w:rPr>
                <w:rFonts w:ascii="Calibri" w:hAnsi="Calibri"/>
                <w:b/>
                <w:color w:val="FFFFFF"/>
                <w:sz w:val="15"/>
              </w:rPr>
              <w:t>Calculation</w:t>
            </w:r>
          </w:p>
        </w:tc>
        <w:tc>
          <w:tcPr>
            <w:tcW w:type="dxa" w:w="1134"/>
            <w:shd w:val="clear" w:color="auto" w:fill="1F3864"/>
          </w:tcPr>
          <w:p>
            <w:pPr>
              <w:spacing w:after="0" w:line="240" w:lineRule="auto"/>
              <w:jc w:val="left"/>
            </w:pPr>
            <w:r/>
            <w:r>
              <w:rPr>
                <w:rFonts w:ascii="Calibri" w:hAnsi="Calibri"/>
                <w:b/>
                <w:color w:val="FFFFFF"/>
                <w:sz w:val="15"/>
              </w:rPr>
              <w:t>Result</w:t>
            </w:r>
          </w:p>
        </w:tc>
        <w:tc>
          <w:tcPr>
            <w:tcW w:type="dxa" w:w="3855"/>
            <w:shd w:val="clear" w:color="auto" w:fill="1F3864"/>
          </w:tcPr>
          <w:p>
            <w:pPr>
              <w:spacing w:after="0" w:line="240" w:lineRule="auto"/>
              <w:jc w:val="left"/>
            </w:pPr>
            <w:r/>
            <w:r>
              <w:rPr>
                <w:rFonts w:ascii="Calibri" w:hAnsi="Calibri"/>
                <w:b/>
                <w:color w:val="FFFFFF"/>
                <w:sz w:val="15"/>
              </w:rPr>
              <w:t>Consequence</w:t>
            </w:r>
          </w:p>
        </w:tc>
      </w:tr>
      <w:tr>
        <w:trPr>
          <w:cantSplit w:val="true"/>
        </w:trPr>
        <w:tc>
          <w:tcPr>
            <w:tcW w:type="dxa" w:w="2494"/>
          </w:tcPr>
          <w:p>
            <w:pPr>
              <w:spacing w:after="0" w:line="240" w:lineRule="auto"/>
              <w:jc w:val="left"/>
            </w:pPr>
            <w:r/>
            <w:r>
              <w:rPr>
                <w:rFonts w:ascii="Calibri" w:hAnsi="Calibri"/>
                <w:b w:val="0"/>
                <w:sz w:val="15"/>
              </w:rPr>
              <w:t>Max compartment centre radius</w:t>
            </w:r>
          </w:p>
        </w:tc>
        <w:tc>
          <w:tcPr>
            <w:tcW w:type="dxa" w:w="1928"/>
          </w:tcPr>
          <w:p>
            <w:pPr>
              <w:spacing w:after="0" w:line="240" w:lineRule="auto"/>
              <w:jc w:val="left"/>
            </w:pPr>
            <w:r/>
            <w:r>
              <w:rPr>
                <w:rFonts w:ascii="Calibri" w:hAnsi="Calibri"/>
                <w:b w:val="0"/>
                <w:sz w:val="15"/>
              </w:rPr>
              <w:t>380/2 − 156/2</w:t>
            </w:r>
          </w:p>
        </w:tc>
        <w:tc>
          <w:tcPr>
            <w:tcW w:type="dxa" w:w="1134"/>
          </w:tcPr>
          <w:p>
            <w:pPr>
              <w:spacing w:after="0" w:line="240" w:lineRule="auto"/>
              <w:jc w:val="left"/>
            </w:pPr>
            <w:r/>
            <w:r>
              <w:rPr>
                <w:rFonts w:ascii="Calibri" w:hAnsi="Calibri"/>
                <w:b w:val="0"/>
                <w:sz w:val="15"/>
              </w:rPr>
              <w:t>112 mm</w:t>
            </w:r>
          </w:p>
        </w:tc>
        <w:tc>
          <w:tcPr>
            <w:tcW w:type="dxa" w:w="3855"/>
          </w:tcPr>
          <w:p>
            <w:pPr>
              <w:spacing w:after="0" w:line="240" w:lineRule="auto"/>
              <w:jc w:val="left"/>
            </w:pPr>
            <w:r/>
            <w:r>
              <w:rPr>
                <w:rFonts w:ascii="Calibri" w:hAnsi="Calibri"/>
                <w:b w:val="0"/>
                <w:sz w:val="15"/>
              </w:rPr>
              <w:t>Compartment axes must sit inside this circle.</w:t>
            </w:r>
          </w:p>
        </w:tc>
      </w:tr>
      <w:tr>
        <w:trPr>
          <w:cantSplit w:val="true"/>
        </w:trPr>
        <w:tc>
          <w:tcPr>
            <w:tcW w:type="dxa" w:w="2494"/>
            <w:shd w:val="clear" w:color="auto" w:fill="EEF1F7"/>
          </w:tcPr>
          <w:p>
            <w:pPr>
              <w:spacing w:after="0" w:line="240" w:lineRule="auto"/>
              <w:jc w:val="left"/>
            </w:pPr>
            <w:r/>
            <w:r>
              <w:rPr>
                <w:rFonts w:ascii="Calibri" w:hAnsi="Calibri"/>
                <w:b w:val="0"/>
                <w:sz w:val="15"/>
              </w:rPr>
              <w:t>Chord between adjacent compartments at that radius</w:t>
            </w:r>
          </w:p>
        </w:tc>
        <w:tc>
          <w:tcPr>
            <w:tcW w:type="dxa" w:w="1928"/>
            <w:shd w:val="clear" w:color="auto" w:fill="EEF1F7"/>
          </w:tcPr>
          <w:p>
            <w:pPr>
              <w:spacing w:after="0" w:line="240" w:lineRule="auto"/>
              <w:jc w:val="left"/>
            </w:pPr>
            <w:r/>
            <w:r>
              <w:rPr>
                <w:rFonts w:ascii="Calibri" w:hAnsi="Calibri"/>
                <w:b w:val="0"/>
                <w:sz w:val="15"/>
              </w:rPr>
              <w:t>112 × √2</w:t>
            </w:r>
          </w:p>
        </w:tc>
        <w:tc>
          <w:tcPr>
            <w:tcW w:type="dxa" w:w="1134"/>
            <w:shd w:val="clear" w:color="auto" w:fill="EEF1F7"/>
          </w:tcPr>
          <w:p>
            <w:pPr>
              <w:spacing w:after="0" w:line="240" w:lineRule="auto"/>
              <w:jc w:val="left"/>
            </w:pPr>
            <w:r/>
            <w:r>
              <w:rPr>
                <w:rFonts w:ascii="Calibri" w:hAnsi="Calibri"/>
                <w:b w:val="0"/>
                <w:sz w:val="15"/>
              </w:rPr>
              <w:t>158.4 mm</w:t>
            </w:r>
          </w:p>
        </w:tc>
        <w:tc>
          <w:tcPr>
            <w:tcW w:type="dxa" w:w="3855"/>
            <w:shd w:val="clear" w:color="auto" w:fill="EEF1F7"/>
          </w:tcPr>
          <w:p>
            <w:pPr>
              <w:spacing w:after="0" w:line="240" w:lineRule="auto"/>
              <w:jc w:val="left"/>
            </w:pPr>
            <w:r/>
            <w:r>
              <w:rPr>
                <w:rFonts w:ascii="Calibri" w:hAnsi="Calibri"/>
                <w:b w:val="0"/>
                <w:sz w:val="15"/>
              </w:rPr>
              <w:t>Two 156 mm circles leave a gap of only 2.4 mm.</w:t>
            </w:r>
          </w:p>
        </w:tc>
      </w:tr>
      <w:tr>
        <w:trPr>
          <w:cantSplit w:val="true"/>
        </w:trPr>
        <w:tc>
          <w:tcPr>
            <w:tcW w:type="dxa" w:w="2494"/>
          </w:tcPr>
          <w:p>
            <w:pPr>
              <w:spacing w:after="0" w:line="240" w:lineRule="auto"/>
              <w:jc w:val="left"/>
            </w:pPr>
            <w:r/>
            <w:r>
              <w:rPr>
                <w:rFonts w:ascii="Calibri" w:hAnsi="Calibri"/>
                <w:b w:val="0"/>
                <w:sz w:val="15"/>
              </w:rPr>
              <w:t>Arc error from a 1.8° error at 110 mm radius</w:t>
            </w:r>
          </w:p>
        </w:tc>
        <w:tc>
          <w:tcPr>
            <w:tcW w:type="dxa" w:w="1928"/>
          </w:tcPr>
          <w:p>
            <w:pPr>
              <w:spacing w:after="0" w:line="240" w:lineRule="auto"/>
              <w:jc w:val="left"/>
            </w:pPr>
            <w:r/>
            <w:r>
              <w:rPr>
                <w:rFonts w:ascii="Calibri" w:hAnsi="Calibri"/>
                <w:b w:val="0"/>
                <w:sz w:val="15"/>
              </w:rPr>
              <w:t>1.8 × π/180 × 110</w:t>
            </w:r>
          </w:p>
        </w:tc>
        <w:tc>
          <w:tcPr>
            <w:tcW w:type="dxa" w:w="1134"/>
          </w:tcPr>
          <w:p>
            <w:pPr>
              <w:spacing w:after="0" w:line="240" w:lineRule="auto"/>
              <w:jc w:val="left"/>
            </w:pPr>
            <w:r/>
            <w:r>
              <w:rPr>
                <w:rFonts w:ascii="Calibri" w:hAnsi="Calibri"/>
                <w:b w:val="0"/>
                <w:sz w:val="15"/>
              </w:rPr>
              <w:t>3.46 mm</w:t>
            </w:r>
          </w:p>
        </w:tc>
        <w:tc>
          <w:tcPr>
            <w:tcW w:type="dxa" w:w="3855"/>
          </w:tcPr>
          <w:p>
            <w:pPr>
              <w:spacing w:after="0" w:line="240" w:lineRule="auto"/>
              <w:jc w:val="left"/>
            </w:pPr>
            <w:r/>
            <w:r>
              <w:rPr>
                <w:rFonts w:ascii="Calibri" w:hAnsi="Calibri"/>
                <w:b w:val="0"/>
                <w:sz w:val="15"/>
              </w:rPr>
              <w:t>Larger than the 2.4 mm gap — a mis-indexed drop can straddle two compartments.</w:t>
            </w:r>
          </w:p>
        </w:tc>
      </w:tr>
      <w:tr>
        <w:trPr>
          <w:cantSplit w:val="true"/>
        </w:trPr>
        <w:tc>
          <w:tcPr>
            <w:tcW w:type="dxa" w:w="2494"/>
            <w:shd w:val="clear" w:color="auto" w:fill="EEF1F7"/>
          </w:tcPr>
          <w:p>
            <w:pPr>
              <w:spacing w:after="0" w:line="240" w:lineRule="auto"/>
              <w:jc w:val="left"/>
            </w:pPr>
            <w:r/>
            <w:r>
              <w:rPr>
                <w:rFonts w:ascii="Calibri" w:hAnsi="Calibri"/>
                <w:b w:val="0"/>
                <w:sz w:val="15"/>
              </w:rPr>
              <w:t>Arc error at the disc rim</w:t>
            </w:r>
          </w:p>
        </w:tc>
        <w:tc>
          <w:tcPr>
            <w:tcW w:type="dxa" w:w="1928"/>
            <w:shd w:val="clear" w:color="auto" w:fill="EEF1F7"/>
          </w:tcPr>
          <w:p>
            <w:pPr>
              <w:spacing w:after="0" w:line="240" w:lineRule="auto"/>
              <w:jc w:val="left"/>
            </w:pPr>
            <w:r/>
            <w:r>
              <w:rPr>
                <w:rFonts w:ascii="Calibri" w:hAnsi="Calibri"/>
                <w:b w:val="0"/>
                <w:sz w:val="15"/>
              </w:rPr>
              <w:t>1.8 × π/180 × 190</w:t>
            </w:r>
          </w:p>
        </w:tc>
        <w:tc>
          <w:tcPr>
            <w:tcW w:type="dxa" w:w="1134"/>
            <w:shd w:val="clear" w:color="auto" w:fill="EEF1F7"/>
          </w:tcPr>
          <w:p>
            <w:pPr>
              <w:spacing w:after="0" w:line="240" w:lineRule="auto"/>
              <w:jc w:val="left"/>
            </w:pPr>
            <w:r/>
            <w:r>
              <w:rPr>
                <w:rFonts w:ascii="Calibri" w:hAnsi="Calibri"/>
                <w:b w:val="0"/>
                <w:sz w:val="15"/>
              </w:rPr>
              <w:t>5.97 mm</w:t>
            </w:r>
          </w:p>
        </w:tc>
        <w:tc>
          <w:tcPr>
            <w:tcW w:type="dxa" w:w="3855"/>
            <w:shd w:val="clear" w:color="auto" w:fill="EEF1F7"/>
          </w:tcPr>
          <w:p>
            <w:pPr>
              <w:spacing w:after="0" w:line="240" w:lineRule="auto"/>
              <w:jc w:val="left"/>
            </w:pPr>
            <w:r/>
            <w:r>
              <w:rPr>
                <w:rFonts w:ascii="Calibri" w:hAnsi="Calibri"/>
                <w:b w:val="0"/>
                <w:sz w:val="15"/>
              </w:rPr>
              <w:t>Visible misalignment of the cup with the aperture.</w:t>
            </w:r>
          </w:p>
        </w:tc>
      </w:tr>
      <w:tr>
        <w:trPr>
          <w:cantSplit w:val="true"/>
        </w:trPr>
        <w:tc>
          <w:tcPr>
            <w:tcW w:type="dxa" w:w="2494"/>
          </w:tcPr>
          <w:p>
            <w:pPr>
              <w:spacing w:after="0" w:line="240" w:lineRule="auto"/>
              <w:jc w:val="left"/>
            </w:pPr>
            <w:r/>
            <w:r>
              <w:rPr>
                <w:rFonts w:ascii="Calibri" w:hAnsi="Calibri"/>
                <w:b w:val="0"/>
                <w:sz w:val="15"/>
              </w:rPr>
              <w:t>Tolerance needed to stay inside the gap</w:t>
            </w:r>
          </w:p>
        </w:tc>
        <w:tc>
          <w:tcPr>
            <w:tcW w:type="dxa" w:w="1928"/>
          </w:tcPr>
          <w:p>
            <w:pPr>
              <w:spacing w:after="0" w:line="240" w:lineRule="auto"/>
              <w:jc w:val="left"/>
            </w:pPr>
            <w:r/>
            <w:r>
              <w:rPr>
                <w:rFonts w:ascii="Calibri" w:hAnsi="Calibri"/>
                <w:b w:val="0"/>
                <w:sz w:val="15"/>
              </w:rPr>
              <w:t>arctan(1.2/110)</w:t>
            </w:r>
          </w:p>
        </w:tc>
        <w:tc>
          <w:tcPr>
            <w:tcW w:type="dxa" w:w="1134"/>
          </w:tcPr>
          <w:p>
            <w:pPr>
              <w:spacing w:after="0" w:line="240" w:lineRule="auto"/>
              <w:jc w:val="left"/>
            </w:pPr>
            <w:r/>
            <w:r>
              <w:rPr>
                <w:rFonts w:ascii="Calibri" w:hAnsi="Calibri"/>
                <w:b w:val="0"/>
                <w:sz w:val="15"/>
              </w:rPr>
              <w:t>≤ 0.62°</w:t>
            </w:r>
          </w:p>
        </w:tc>
        <w:tc>
          <w:tcPr>
            <w:tcW w:type="dxa" w:w="3855"/>
          </w:tcPr>
          <w:p>
            <w:pPr>
              <w:spacing w:after="0" w:line="240" w:lineRule="auto"/>
              <w:jc w:val="left"/>
            </w:pPr>
            <w:r/>
            <w:r>
              <w:rPr>
                <w:rFonts w:ascii="Calibri" w:hAnsi="Calibri"/>
                <w:b w:val="0"/>
                <w:sz w:val="15"/>
              </w:rPr>
              <w:t>Specify ≤ 0.5° (≈0.96 mm) and verify by encoder log.</w:t>
            </w:r>
          </w:p>
        </w:tc>
      </w:tr>
    </w:tbl>
    <w:p>
      <w:pPr>
        <w:keepNext/>
        <w:spacing w:before="160" w:after="60"/>
        <w:jc w:val="left"/>
      </w:pPr>
      <w:r>
        <w:rPr>
          <w:rFonts w:ascii="Calibri" w:hAnsi="Calibri"/>
          <w:b/>
          <w:color w:val="1F3864"/>
          <w:sz w:val="18"/>
        </w:rPr>
        <w:t>Table 4.3 — Tolerance versus geometry.</w:t>
      </w:r>
    </w:p>
    <w:p>
      <w:pPr>
        <w:spacing w:before="40" w:after="160"/>
        <w:jc w:val="left"/>
      </w:pPr>
      <w:r>
        <w:rPr>
          <w:rFonts w:ascii="Calibri" w:hAnsi="Calibri"/>
          <w:i/>
          <w:color w:val="404040"/>
          <w:sz w:val="16"/>
        </w:rPr>
        <w:t>Fix: angular resolution is not the constraint — a 200-step NEMA 17 on a DRV8825 at 1/16 microstepping resolves 0.1125°, so 0.5° is roughly four microsteps. The constraint is backlash and coupling compliance in the direct-drive arrangement. So either fit a zero-backlash coupling / 5:1 reduction, or add a drop chute or guide cone between disc and compartment mouth, or reduce the compartment diameter to ~130 mm. State the choice, the method of measurement (encoder ticks per index position) and the repeatability over 100 cycles — not just the mean deviation.</w:t>
      </w:r>
    </w:p>
    <w:p>
      <w:r>
        <w:br w:type="page"/>
      </w:r>
    </w:p>
    <w:p>
      <w:pPr>
        <w:keepNext/>
        <w:spacing w:before="200" w:after="120"/>
        <w:jc w:val="left"/>
        <w:pBdr>
          <w:bottom w:val="single" w:sz="8" w:space="2" w:color="1F3864"/>
        </w:pBdr>
      </w:pPr>
      <w:r>
        <w:rPr>
          <w:rFonts w:ascii="Times New Roman" w:hAnsi="Times New Roman"/>
          <w:b/>
          <w:color w:val="1F3864"/>
          <w:sz w:val="26"/>
        </w:rPr>
        <w:t>5. CLAIMS THAT ARE NOT REACHABLE WITH THE STATED PROTOTYPE, DATA OR TEST PLAN</w:t>
      </w:r>
    </w:p>
    <w:p>
      <w:pPr>
        <w:spacing w:after="120"/>
        <w:ind w:left="0"/>
        <w:jc w:val="both"/>
      </w:pPr>
      <w:r>
        <w:rPr>
          <w:b w:val="0"/>
          <w:i w:val="0"/>
          <w:sz w:val="22"/>
        </w:rPr>
        <w:t>These numbers are not arithmetically impossible — they are simply unsupported. Each one is the kind of figure a reviewer reads as a real measurement and then asks to see the record for. There is no record in either document.</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510"/>
        <w:gridCol w:w="1984"/>
        <w:gridCol w:w="1077"/>
        <w:gridCol w:w="2948"/>
        <w:gridCol w:w="2891"/>
      </w:tblGrid>
      <w:tr>
        <w:trPr>
          <w:tblHeader w:val="true"/>
          <w:cantSplit w:val="true"/>
        </w:trPr>
        <w:tc>
          <w:tcPr>
            <w:tcW w:type="dxa" w:w="510"/>
            <w:shd w:val="clear" w:color="auto" w:fill="1F3864"/>
          </w:tcPr>
          <w:p>
            <w:pPr>
              <w:spacing w:after="0" w:line="240" w:lineRule="auto"/>
              <w:jc w:val="left"/>
            </w:pPr>
            <w:r/>
            <w:r>
              <w:rPr>
                <w:rFonts w:ascii="Calibri" w:hAnsi="Calibri"/>
                <w:b/>
                <w:color w:val="FFFFFF"/>
                <w:sz w:val="14"/>
              </w:rPr>
              <w:t>ID</w:t>
            </w:r>
          </w:p>
        </w:tc>
        <w:tc>
          <w:tcPr>
            <w:tcW w:type="dxa" w:w="1984"/>
            <w:shd w:val="clear" w:color="auto" w:fill="1F3864"/>
          </w:tcPr>
          <w:p>
            <w:pPr>
              <w:spacing w:after="0" w:line="240" w:lineRule="auto"/>
              <w:jc w:val="left"/>
            </w:pPr>
            <w:r/>
            <w:r>
              <w:rPr>
                <w:rFonts w:ascii="Calibri" w:hAnsi="Calibri"/>
                <w:b/>
                <w:color w:val="FFFFFF"/>
                <w:sz w:val="14"/>
              </w:rPr>
              <w:t>Claim as written</w:t>
            </w:r>
          </w:p>
        </w:tc>
        <w:tc>
          <w:tcPr>
            <w:tcW w:type="dxa" w:w="1077"/>
            <w:shd w:val="clear" w:color="auto" w:fill="1F3864"/>
          </w:tcPr>
          <w:p>
            <w:pPr>
              <w:spacing w:after="0" w:line="240" w:lineRule="auto"/>
              <w:jc w:val="left"/>
            </w:pPr>
            <w:r/>
            <w:r>
              <w:rPr>
                <w:rFonts w:ascii="Calibri" w:hAnsi="Calibri"/>
                <w:b/>
                <w:color w:val="FFFFFF"/>
                <w:sz w:val="14"/>
              </w:rPr>
              <w:t>Where</w:t>
            </w:r>
          </w:p>
        </w:tc>
        <w:tc>
          <w:tcPr>
            <w:tcW w:type="dxa" w:w="2948"/>
            <w:shd w:val="clear" w:color="auto" w:fill="1F3864"/>
          </w:tcPr>
          <w:p>
            <w:pPr>
              <w:spacing w:after="0" w:line="240" w:lineRule="auto"/>
              <w:jc w:val="left"/>
            </w:pPr>
            <w:r/>
            <w:r>
              <w:rPr>
                <w:rFonts w:ascii="Calibri" w:hAnsi="Calibri"/>
                <w:b/>
                <w:color w:val="FFFFFF"/>
                <w:sz w:val="14"/>
              </w:rPr>
              <w:t>Why it is not reachable</w:t>
            </w:r>
          </w:p>
        </w:tc>
        <w:tc>
          <w:tcPr>
            <w:tcW w:type="dxa" w:w="2891"/>
            <w:shd w:val="clear" w:color="auto" w:fill="1F3864"/>
          </w:tcPr>
          <w:p>
            <w:pPr>
              <w:spacing w:after="0" w:line="240" w:lineRule="auto"/>
              <w:jc w:val="left"/>
            </w:pPr>
            <w:r/>
            <w:r>
              <w:rPr>
                <w:rFonts w:ascii="Calibri" w:hAnsi="Calibri"/>
                <w:b/>
                <w:color w:val="FFFFFF"/>
                <w:sz w:val="14"/>
              </w:rPr>
              <w:t>What to write instead</w:t>
            </w:r>
          </w:p>
        </w:tc>
      </w:tr>
      <w:tr>
        <w:trPr>
          <w:cantSplit w:val="true"/>
        </w:trPr>
        <w:tc>
          <w:tcPr>
            <w:tcW w:type="dxa" w:w="510"/>
          </w:tcPr>
          <w:p>
            <w:pPr>
              <w:spacing w:after="0" w:line="240" w:lineRule="auto"/>
              <w:jc w:val="left"/>
            </w:pPr>
            <w:r/>
            <w:r>
              <w:rPr>
                <w:rFonts w:ascii="Calibri" w:hAnsi="Calibri"/>
                <w:b w:val="0"/>
                <w:sz w:val="14"/>
              </w:rPr>
              <w:t>C-1</w:t>
            </w:r>
          </w:p>
        </w:tc>
        <w:tc>
          <w:tcPr>
            <w:tcW w:type="dxa" w:w="1984"/>
          </w:tcPr>
          <w:p>
            <w:pPr>
              <w:spacing w:after="0" w:line="240" w:lineRule="auto"/>
              <w:jc w:val="left"/>
            </w:pPr>
            <w:r/>
            <w:r>
              <w:rPr>
                <w:rFonts w:ascii="Calibri" w:hAnsi="Calibri"/>
                <w:b w:val="0"/>
                <w:sz w:val="14"/>
              </w:rPr>
              <w:t>“Increased source-level waste segregation rate by 60–80%”</w:t>
            </w:r>
          </w:p>
        </w:tc>
        <w:tc>
          <w:tcPr>
            <w:tcW w:type="dxa" w:w="1077"/>
          </w:tcPr>
          <w:p>
            <w:pPr>
              <w:spacing w:after="0" w:line="240" w:lineRule="auto"/>
              <w:jc w:val="left"/>
            </w:pPr>
            <w:r/>
            <w:r>
              <w:rPr>
                <w:rFonts w:ascii="Calibri" w:hAnsi="Calibri"/>
                <w:b w:val="0"/>
                <w:sz w:val="14"/>
              </w:rPr>
              <w:t>Report [3.3]</w:t>
            </w:r>
          </w:p>
        </w:tc>
        <w:tc>
          <w:tcPr>
            <w:tcW w:type="dxa" w:w="2948"/>
          </w:tcPr>
          <w:p>
            <w:pPr>
              <w:spacing w:after="0" w:line="240" w:lineRule="auto"/>
              <w:jc w:val="left"/>
            </w:pPr>
            <w:r/>
            <w:r>
              <w:rPr>
                <w:rFonts w:ascii="Calibri" w:hAnsi="Calibri"/>
                <w:b w:val="0"/>
                <w:sz w:val="14"/>
              </w:rPr>
              <w:t>No baseline segregation rate, no site, no duration, no before/after measurement. Also a system property, not a device property.</w:t>
            </w:r>
          </w:p>
        </w:tc>
        <w:tc>
          <w:tcPr>
            <w:tcW w:type="dxa" w:w="2891"/>
          </w:tcPr>
          <w:p>
            <w:pPr>
              <w:spacing w:after="0" w:line="240" w:lineRule="auto"/>
              <w:jc w:val="left"/>
            </w:pPr>
            <w:r/>
            <w:r>
              <w:rPr>
                <w:rFonts w:ascii="Calibri" w:hAnsi="Calibri"/>
                <w:b w:val="0"/>
                <w:sz w:val="14"/>
              </w:rPr>
              <w:t>State the design target and the measurement plan; keep measured KPIs to what the prototype logs.</w:t>
            </w:r>
          </w:p>
        </w:tc>
      </w:tr>
      <w:tr>
        <w:trPr>
          <w:cantSplit w:val="true"/>
        </w:trPr>
        <w:tc>
          <w:tcPr>
            <w:tcW w:type="dxa" w:w="510"/>
            <w:shd w:val="clear" w:color="auto" w:fill="EEF1F7"/>
          </w:tcPr>
          <w:p>
            <w:pPr>
              <w:spacing w:after="0" w:line="240" w:lineRule="auto"/>
              <w:jc w:val="left"/>
            </w:pPr>
            <w:r/>
            <w:r>
              <w:rPr>
                <w:rFonts w:ascii="Calibri" w:hAnsi="Calibri"/>
                <w:b w:val="0"/>
                <w:sz w:val="14"/>
              </w:rPr>
              <w:t>C-2</w:t>
            </w:r>
          </w:p>
        </w:tc>
        <w:tc>
          <w:tcPr>
            <w:tcW w:type="dxa" w:w="1984"/>
            <w:shd w:val="clear" w:color="auto" w:fill="EEF1F7"/>
          </w:tcPr>
          <w:p>
            <w:pPr>
              <w:spacing w:after="0" w:line="240" w:lineRule="auto"/>
              <w:jc w:val="left"/>
            </w:pPr>
            <w:r/>
            <w:r>
              <w:rPr>
                <w:rFonts w:ascii="Calibri" w:hAnsi="Calibri"/>
                <w:b w:val="0"/>
                <w:sz w:val="14"/>
              </w:rPr>
              <w:t>“Reduction in manual waste handling by 70%”</w:t>
            </w:r>
          </w:p>
        </w:tc>
        <w:tc>
          <w:tcPr>
            <w:tcW w:type="dxa" w:w="1077"/>
            <w:shd w:val="clear" w:color="auto" w:fill="EEF1F7"/>
          </w:tcPr>
          <w:p>
            <w:pPr>
              <w:spacing w:after="0" w:line="240" w:lineRule="auto"/>
              <w:jc w:val="left"/>
            </w:pPr>
            <w:r/>
            <w:r>
              <w:rPr>
                <w:rFonts w:ascii="Calibri" w:hAnsi="Calibri"/>
                <w:b w:val="0"/>
                <w:sz w:val="14"/>
              </w:rPr>
              <w:t>Report [3.3]</w:t>
            </w:r>
          </w:p>
        </w:tc>
        <w:tc>
          <w:tcPr>
            <w:tcW w:type="dxa" w:w="2948"/>
            <w:shd w:val="clear" w:color="auto" w:fill="EEF1F7"/>
          </w:tcPr>
          <w:p>
            <w:pPr>
              <w:spacing w:after="0" w:line="240" w:lineRule="auto"/>
              <w:jc w:val="left"/>
            </w:pPr>
            <w:r/>
            <w:r>
              <w:rPr>
                <w:rFonts w:ascii="Calibri" w:hAnsi="Calibri"/>
                <w:b w:val="0"/>
                <w:sz w:val="14"/>
              </w:rPr>
              <w:t>Requires a time-and-motion study of a real collection route. Not performed.</w:t>
            </w:r>
          </w:p>
        </w:tc>
        <w:tc>
          <w:tcPr>
            <w:tcW w:type="dxa" w:w="2891"/>
            <w:shd w:val="clear" w:color="auto" w:fill="EEF1F7"/>
          </w:tcPr>
          <w:p>
            <w:pPr>
              <w:spacing w:after="0" w:line="240" w:lineRule="auto"/>
              <w:jc w:val="left"/>
            </w:pPr>
            <w:r/>
            <w:r>
              <w:rPr>
                <w:rFonts w:ascii="Calibri" w:hAnsi="Calibri"/>
                <w:b w:val="0"/>
                <w:sz w:val="14"/>
              </w:rPr>
              <w:t>Express as “per-item user intervention reduced to 1 action (insertion) vs 3 (inspect, decide, place)”.</w:t>
            </w:r>
          </w:p>
        </w:tc>
      </w:tr>
      <w:tr>
        <w:trPr>
          <w:cantSplit w:val="true"/>
        </w:trPr>
        <w:tc>
          <w:tcPr>
            <w:tcW w:type="dxa" w:w="510"/>
          </w:tcPr>
          <w:p>
            <w:pPr>
              <w:spacing w:after="0" w:line="240" w:lineRule="auto"/>
              <w:jc w:val="left"/>
            </w:pPr>
            <w:r/>
            <w:r>
              <w:rPr>
                <w:rFonts w:ascii="Calibri" w:hAnsi="Calibri"/>
                <w:b w:val="0"/>
                <w:sz w:val="14"/>
              </w:rPr>
              <w:t>C-3</w:t>
            </w:r>
          </w:p>
        </w:tc>
        <w:tc>
          <w:tcPr>
            <w:tcW w:type="dxa" w:w="1984"/>
          </w:tcPr>
          <w:p>
            <w:pPr>
              <w:spacing w:after="0" w:line="240" w:lineRule="auto"/>
              <w:jc w:val="left"/>
            </w:pPr>
            <w:r/>
            <w:r>
              <w:rPr>
                <w:rFonts w:ascii="Calibri" w:hAnsi="Calibri"/>
                <w:b w:val="0"/>
                <w:sz w:val="14"/>
              </w:rPr>
              <w:t>“Reduce waste collection costs by 30%, improve recycling rates by 20%”</w:t>
            </w:r>
          </w:p>
        </w:tc>
        <w:tc>
          <w:tcPr>
            <w:tcW w:type="dxa" w:w="1077"/>
          </w:tcPr>
          <w:p>
            <w:pPr>
              <w:spacing w:after="0" w:line="240" w:lineRule="auto"/>
              <w:jc w:val="left"/>
            </w:pPr>
            <w:r/>
            <w:r>
              <w:rPr>
                <w:rFonts w:ascii="Calibri" w:hAnsi="Calibri"/>
                <w:b w:val="0"/>
                <w:sz w:val="14"/>
              </w:rPr>
              <w:t>Report [11.1]</w:t>
            </w:r>
          </w:p>
        </w:tc>
        <w:tc>
          <w:tcPr>
            <w:tcW w:type="dxa" w:w="2948"/>
          </w:tcPr>
          <w:p>
            <w:pPr>
              <w:spacing w:after="0" w:line="240" w:lineRule="auto"/>
              <w:jc w:val="left"/>
            </w:pPr>
            <w:r/>
            <w:r>
              <w:rPr>
                <w:rFonts w:ascii="Calibri" w:hAnsi="Calibri"/>
                <w:b w:val="0"/>
                <w:sz w:val="14"/>
              </w:rPr>
              <w:t>Municipal cost data and a controlled trial are needed; neither exists in either document.</w:t>
            </w:r>
          </w:p>
        </w:tc>
        <w:tc>
          <w:tcPr>
            <w:tcW w:type="dxa" w:w="2891"/>
          </w:tcPr>
          <w:p>
            <w:pPr>
              <w:spacing w:after="0" w:line="240" w:lineRule="auto"/>
              <w:jc w:val="left"/>
            </w:pPr>
            <w:r/>
            <w:r>
              <w:rPr>
                <w:rFonts w:ascii="Calibri" w:hAnsi="Calibri"/>
                <w:b w:val="0"/>
                <w:sz w:val="14"/>
              </w:rPr>
              <w:t>Attribute to literature with a citation, or label as a modelled projection with the model shown.</w:t>
            </w:r>
          </w:p>
        </w:tc>
      </w:tr>
      <w:tr>
        <w:trPr>
          <w:cantSplit w:val="true"/>
        </w:trPr>
        <w:tc>
          <w:tcPr>
            <w:tcW w:type="dxa" w:w="510"/>
            <w:shd w:val="clear" w:color="auto" w:fill="EEF1F7"/>
          </w:tcPr>
          <w:p>
            <w:pPr>
              <w:spacing w:after="0" w:line="240" w:lineRule="auto"/>
              <w:jc w:val="left"/>
            </w:pPr>
            <w:r/>
            <w:r>
              <w:rPr>
                <w:rFonts w:ascii="Calibri" w:hAnsi="Calibri"/>
                <w:b w:val="0"/>
                <w:sz w:val="14"/>
              </w:rPr>
              <w:t>C-4</w:t>
            </w:r>
          </w:p>
        </w:tc>
        <w:tc>
          <w:tcPr>
            <w:tcW w:type="dxa" w:w="1984"/>
            <w:shd w:val="clear" w:color="auto" w:fill="EEF1F7"/>
          </w:tcPr>
          <w:p>
            <w:pPr>
              <w:spacing w:after="0" w:line="240" w:lineRule="auto"/>
              <w:jc w:val="left"/>
            </w:pPr>
            <w:r/>
            <w:r>
              <w:rPr>
                <w:rFonts w:ascii="Calibri" w:hAnsi="Calibri"/>
                <w:b w:val="0"/>
                <w:sz w:val="14"/>
              </w:rPr>
              <w:t>“Latency 300 ms, system uptime above 98%”</w:t>
            </w:r>
          </w:p>
        </w:tc>
        <w:tc>
          <w:tcPr>
            <w:tcW w:type="dxa" w:w="1077"/>
            <w:shd w:val="clear" w:color="auto" w:fill="EEF1F7"/>
          </w:tcPr>
          <w:p>
            <w:pPr>
              <w:spacing w:after="0" w:line="240" w:lineRule="auto"/>
              <w:jc w:val="left"/>
            </w:pPr>
            <w:r/>
            <w:r>
              <w:rPr>
                <w:rFonts w:ascii="Calibri" w:hAnsi="Calibri"/>
                <w:b w:val="0"/>
                <w:sz w:val="14"/>
              </w:rPr>
              <w:t>Paper [5.4]</w:t>
            </w:r>
          </w:p>
        </w:tc>
        <w:tc>
          <w:tcPr>
            <w:tcW w:type="dxa" w:w="2948"/>
            <w:shd w:val="clear" w:color="auto" w:fill="EEF1F7"/>
          </w:tcPr>
          <w:p>
            <w:pPr>
              <w:spacing w:after="0" w:line="240" w:lineRule="auto"/>
              <w:jc w:val="left"/>
            </w:pPr>
            <w:r/>
            <w:r>
              <w:rPr>
                <w:rFonts w:ascii="Calibri" w:hAnsi="Calibri"/>
                <w:b w:val="0"/>
                <w:sz w:val="14"/>
              </w:rPr>
              <w:t>Uptime cannot be demonstrated over a 100-cycle lab run; no monitoring period, no percentile, no failure definition.</w:t>
            </w:r>
          </w:p>
        </w:tc>
        <w:tc>
          <w:tcPr>
            <w:tcW w:type="dxa" w:w="2891"/>
            <w:shd w:val="clear" w:color="auto" w:fill="EEF1F7"/>
          </w:tcPr>
          <w:p>
            <w:pPr>
              <w:spacing w:after="0" w:line="240" w:lineRule="auto"/>
              <w:jc w:val="left"/>
            </w:pPr>
            <w:r/>
            <w:r>
              <w:rPr>
                <w:rFonts w:ascii="Calibri" w:hAnsi="Calibri"/>
                <w:b w:val="0"/>
                <w:sz w:val="14"/>
              </w:rPr>
              <w:t>“Median round-trip latency X ms over N requests (min/median/p95/max), measured over T hours.”</w:t>
            </w:r>
          </w:p>
        </w:tc>
      </w:tr>
      <w:tr>
        <w:trPr>
          <w:cantSplit w:val="true"/>
        </w:trPr>
        <w:tc>
          <w:tcPr>
            <w:tcW w:type="dxa" w:w="510"/>
          </w:tcPr>
          <w:p>
            <w:pPr>
              <w:spacing w:after="0" w:line="240" w:lineRule="auto"/>
              <w:jc w:val="left"/>
            </w:pPr>
            <w:r/>
            <w:r>
              <w:rPr>
                <w:rFonts w:ascii="Calibri" w:hAnsi="Calibri"/>
                <w:b w:val="0"/>
                <w:sz w:val="14"/>
              </w:rPr>
              <w:t>C-5</w:t>
            </w:r>
          </w:p>
        </w:tc>
        <w:tc>
          <w:tcPr>
            <w:tcW w:type="dxa" w:w="1984"/>
          </w:tcPr>
          <w:p>
            <w:pPr>
              <w:spacing w:after="0" w:line="240" w:lineRule="auto"/>
              <w:jc w:val="left"/>
            </w:pPr>
            <w:r/>
            <w:r>
              <w:rPr>
                <w:rFonts w:ascii="Calibri" w:hAnsi="Calibri"/>
                <w:b w:val="0"/>
                <w:sz w:val="14"/>
              </w:rPr>
              <w:t>“65 ms mean forward pass for EfficientNet-B3 on Raspberry Pi 4”</w:t>
            </w:r>
          </w:p>
        </w:tc>
        <w:tc>
          <w:tcPr>
            <w:tcW w:type="dxa" w:w="1077"/>
          </w:tcPr>
          <w:p>
            <w:pPr>
              <w:spacing w:after="0" w:line="240" w:lineRule="auto"/>
              <w:jc w:val="left"/>
            </w:pPr>
            <w:r/>
            <w:r>
              <w:rPr>
                <w:rFonts w:ascii="Calibri" w:hAnsi="Calibri"/>
                <w:b w:val="0"/>
                <w:sz w:val="14"/>
              </w:rPr>
              <w:t>Paper Fig. 6, [5.4]</w:t>
            </w:r>
          </w:p>
        </w:tc>
        <w:tc>
          <w:tcPr>
            <w:tcW w:type="dxa" w:w="2948"/>
          </w:tcPr>
          <w:p>
            <w:pPr>
              <w:spacing w:after="0" w:line="240" w:lineRule="auto"/>
              <w:jc w:val="left"/>
            </w:pPr>
            <w:r/>
            <w:r>
              <w:rPr>
                <w:rFonts w:ascii="Calibri" w:hAnsi="Calibri"/>
                <w:b w:val="0"/>
                <w:sz w:val="14"/>
              </w:rPr>
              <w:t>A 224×224 B3 forward pass on a Pi 4 CPU typically costs 250–600 ms un-quantised. 65 ms implies INT8 TFLite with XNNPACK plus warm cache — none of which is stated.</w:t>
            </w:r>
          </w:p>
        </w:tc>
        <w:tc>
          <w:tcPr>
            <w:tcW w:type="dxa" w:w="2891"/>
          </w:tcPr>
          <w:p>
            <w:pPr>
              <w:spacing w:after="0" w:line="240" w:lineRule="auto"/>
              <w:jc w:val="left"/>
            </w:pPr>
            <w:r/>
            <w:r>
              <w:rPr>
                <w:rFonts w:ascii="Calibri" w:hAnsi="Calibri"/>
                <w:b w:val="0"/>
                <w:sz w:val="14"/>
              </w:rPr>
              <w:t>State: TFLite INT8, XNNPACK, single-image batch, median of 100 runs after 10 warm-ups, and the Pi's clock/power mode.</w:t>
            </w:r>
          </w:p>
        </w:tc>
      </w:tr>
      <w:tr>
        <w:trPr>
          <w:cantSplit w:val="true"/>
        </w:trPr>
        <w:tc>
          <w:tcPr>
            <w:tcW w:type="dxa" w:w="510"/>
            <w:shd w:val="clear" w:color="auto" w:fill="EEF1F7"/>
          </w:tcPr>
          <w:p>
            <w:pPr>
              <w:spacing w:after="0" w:line="240" w:lineRule="auto"/>
              <w:jc w:val="left"/>
            </w:pPr>
            <w:r/>
            <w:r>
              <w:rPr>
                <w:rFonts w:ascii="Calibri" w:hAnsi="Calibri"/>
                <w:b w:val="0"/>
                <w:sz w:val="14"/>
              </w:rPr>
              <w:t>C-6</w:t>
            </w:r>
          </w:p>
        </w:tc>
        <w:tc>
          <w:tcPr>
            <w:tcW w:type="dxa" w:w="1984"/>
            <w:shd w:val="clear" w:color="auto" w:fill="EEF1F7"/>
          </w:tcPr>
          <w:p>
            <w:pPr>
              <w:spacing w:after="0" w:line="240" w:lineRule="auto"/>
              <w:jc w:val="left"/>
            </w:pPr>
            <w:r/>
            <w:r>
              <w:rPr>
                <w:rFonts w:ascii="Calibri" w:hAnsi="Calibri"/>
                <w:b w:val="0"/>
                <w:sz w:val="14"/>
              </w:rPr>
              <w:t>“Angular deviation below 1.8° across 100 continuous cycles”</w:t>
            </w:r>
          </w:p>
        </w:tc>
        <w:tc>
          <w:tcPr>
            <w:tcW w:type="dxa" w:w="1077"/>
            <w:shd w:val="clear" w:color="auto" w:fill="EEF1F7"/>
          </w:tcPr>
          <w:p>
            <w:pPr>
              <w:spacing w:after="0" w:line="240" w:lineRule="auto"/>
              <w:jc w:val="left"/>
            </w:pPr>
            <w:r/>
            <w:r>
              <w:rPr>
                <w:rFonts w:ascii="Calibri" w:hAnsi="Calibri"/>
                <w:b w:val="0"/>
                <w:sz w:val="14"/>
              </w:rPr>
              <w:t>Paper [5.4], Report [7.3.3]</w:t>
            </w:r>
          </w:p>
        </w:tc>
        <w:tc>
          <w:tcPr>
            <w:tcW w:type="dxa" w:w="2948"/>
            <w:shd w:val="clear" w:color="auto" w:fill="EEF1F7"/>
          </w:tcPr>
          <w:p>
            <w:pPr>
              <w:spacing w:after="0" w:line="240" w:lineRule="auto"/>
              <w:jc w:val="left"/>
            </w:pPr>
            <w:r/>
            <w:r>
              <w:rPr>
                <w:rFonts w:ascii="Calibri" w:hAnsi="Calibri"/>
                <w:b w:val="0"/>
                <w:sz w:val="14"/>
              </w:rPr>
              <w:t>Mechanically possible, but it contradicts the ±2° “improvement” in [5.3] and is insufficient for the 2.4 mm gap (§4.4).</w:t>
            </w:r>
          </w:p>
        </w:tc>
        <w:tc>
          <w:tcPr>
            <w:tcW w:type="dxa" w:w="2891"/>
            <w:shd w:val="clear" w:color="auto" w:fill="EEF1F7"/>
          </w:tcPr>
          <w:p>
            <w:pPr>
              <w:spacing w:after="0" w:line="240" w:lineRule="auto"/>
              <w:jc w:val="left"/>
            </w:pPr>
            <w:r/>
            <w:r>
              <w:rPr>
                <w:rFonts w:ascii="Calibri" w:hAnsi="Calibri"/>
                <w:b w:val="0"/>
                <w:sz w:val="14"/>
              </w:rPr>
              <w:t>Re-specify to ≤0.5°, and report the measurement (encoder count, dial gauge, or vision) and the sample size.</w:t>
            </w:r>
          </w:p>
        </w:tc>
      </w:tr>
      <w:tr>
        <w:trPr>
          <w:cantSplit w:val="true"/>
        </w:trPr>
        <w:tc>
          <w:tcPr>
            <w:tcW w:type="dxa" w:w="510"/>
          </w:tcPr>
          <w:p>
            <w:pPr>
              <w:spacing w:after="0" w:line="240" w:lineRule="auto"/>
              <w:jc w:val="left"/>
            </w:pPr>
            <w:r/>
            <w:r>
              <w:rPr>
                <w:rFonts w:ascii="Calibri" w:hAnsi="Calibri"/>
                <w:b w:val="0"/>
                <w:sz w:val="14"/>
              </w:rPr>
              <w:t>C-7</w:t>
            </w:r>
          </w:p>
        </w:tc>
        <w:tc>
          <w:tcPr>
            <w:tcW w:type="dxa" w:w="1984"/>
          </w:tcPr>
          <w:p>
            <w:pPr>
              <w:spacing w:after="0" w:line="240" w:lineRule="auto"/>
              <w:jc w:val="left"/>
            </w:pPr>
            <w:r/>
            <w:r>
              <w:rPr>
                <w:rFonts w:ascii="Calibri" w:hAnsi="Calibri"/>
                <w:b w:val="0"/>
                <w:sz w:val="14"/>
              </w:rPr>
              <w:t>“6–8 hours of standalone operation”</w:t>
            </w:r>
          </w:p>
        </w:tc>
        <w:tc>
          <w:tcPr>
            <w:tcW w:type="dxa" w:w="1077"/>
          </w:tcPr>
          <w:p>
            <w:pPr>
              <w:spacing w:after="0" w:line="240" w:lineRule="auto"/>
              <w:jc w:val="left"/>
            </w:pPr>
            <w:r/>
            <w:r>
              <w:rPr>
                <w:rFonts w:ascii="Calibri" w:hAnsi="Calibri"/>
                <w:b w:val="0"/>
                <w:sz w:val="14"/>
              </w:rPr>
              <w:t>Paper [3.4.1]</w:t>
            </w:r>
          </w:p>
        </w:tc>
        <w:tc>
          <w:tcPr>
            <w:tcW w:type="dxa" w:w="2948"/>
          </w:tcPr>
          <w:p>
            <w:pPr>
              <w:spacing w:after="0" w:line="240" w:lineRule="auto"/>
              <w:jc w:val="left"/>
            </w:pPr>
            <w:r/>
            <w:r>
              <w:rPr>
                <w:rFonts w:ascii="Calibri" w:hAnsi="Calibri"/>
                <w:b w:val="0"/>
                <w:sz w:val="14"/>
              </w:rPr>
              <w:t>84 Wh supports 6–8 h only at 10.5–14 W average. A Pi 4 at inference plus a NEMA 17 moving is at or above that; no duty cycle or power log is given.</w:t>
            </w:r>
          </w:p>
        </w:tc>
        <w:tc>
          <w:tcPr>
            <w:tcW w:type="dxa" w:w="2891"/>
          </w:tcPr>
          <w:p>
            <w:pPr>
              <w:spacing w:after="0" w:line="240" w:lineRule="auto"/>
              <w:jc w:val="left"/>
            </w:pPr>
            <w:r/>
            <w:r>
              <w:rPr>
                <w:rFonts w:ascii="Calibri" w:hAnsi="Calibri"/>
                <w:b w:val="0"/>
                <w:sz w:val="14"/>
              </w:rPr>
              <w:t>“Measured draw of X W idle / Y W during actuation; 84 Wh therefore gives Z h at the measured duty cycle of D%.”</w:t>
            </w:r>
          </w:p>
        </w:tc>
      </w:tr>
      <w:tr>
        <w:trPr>
          <w:cantSplit w:val="true"/>
        </w:trPr>
        <w:tc>
          <w:tcPr>
            <w:tcW w:type="dxa" w:w="510"/>
            <w:shd w:val="clear" w:color="auto" w:fill="EEF1F7"/>
          </w:tcPr>
          <w:p>
            <w:pPr>
              <w:spacing w:after="0" w:line="240" w:lineRule="auto"/>
              <w:jc w:val="left"/>
            </w:pPr>
            <w:r/>
            <w:r>
              <w:rPr>
                <w:rFonts w:ascii="Calibri" w:hAnsi="Calibri"/>
                <w:b w:val="0"/>
                <w:sz w:val="14"/>
              </w:rPr>
              <w:t>C-8</w:t>
            </w:r>
          </w:p>
        </w:tc>
        <w:tc>
          <w:tcPr>
            <w:tcW w:type="dxa" w:w="1984"/>
            <w:shd w:val="clear" w:color="auto" w:fill="EEF1F7"/>
          </w:tcPr>
          <w:p>
            <w:pPr>
              <w:spacing w:after="0" w:line="240" w:lineRule="auto"/>
              <w:jc w:val="left"/>
            </w:pPr>
            <w:r/>
            <w:r>
              <w:rPr>
                <w:rFonts w:ascii="Calibri" w:hAnsi="Calibri"/>
                <w:b w:val="0"/>
                <w:sz w:val="14"/>
              </w:rPr>
              <w:t>Confidence scores 0.88–0.95</w:t>
            </w:r>
          </w:p>
        </w:tc>
        <w:tc>
          <w:tcPr>
            <w:tcW w:type="dxa" w:w="1077"/>
            <w:shd w:val="clear" w:color="auto" w:fill="EEF1F7"/>
          </w:tcPr>
          <w:p>
            <w:pPr>
              <w:spacing w:after="0" w:line="240" w:lineRule="auto"/>
              <w:jc w:val="left"/>
            </w:pPr>
            <w:r/>
            <w:r>
              <w:rPr>
                <w:rFonts w:ascii="Calibri" w:hAnsi="Calibri"/>
                <w:b w:val="0"/>
                <w:sz w:val="14"/>
              </w:rPr>
              <w:t>Report Table 7.2</w:t>
            </w:r>
          </w:p>
        </w:tc>
        <w:tc>
          <w:tcPr>
            <w:tcW w:type="dxa" w:w="2948"/>
            <w:shd w:val="clear" w:color="auto" w:fill="EEF1F7"/>
          </w:tcPr>
          <w:p>
            <w:pPr>
              <w:spacing w:after="0" w:line="240" w:lineRule="auto"/>
              <w:jc w:val="left"/>
            </w:pPr>
            <w:r/>
            <w:r>
              <w:rPr>
                <w:rFonts w:ascii="Calibri" w:hAnsi="Calibri"/>
                <w:b w:val="0"/>
                <w:sz w:val="14"/>
              </w:rPr>
              <w:t>A confidence column with no calibration method or reliability diagram is not interpretable.</w:t>
            </w:r>
          </w:p>
        </w:tc>
        <w:tc>
          <w:tcPr>
            <w:tcW w:type="dxa" w:w="2891"/>
            <w:shd w:val="clear" w:color="auto" w:fill="EEF1F7"/>
          </w:tcPr>
          <w:p>
            <w:pPr>
              <w:spacing w:after="0" w:line="240" w:lineRule="auto"/>
              <w:jc w:val="left"/>
            </w:pPr>
            <w:r/>
            <w:r>
              <w:rPr>
                <w:rFonts w:ascii="Calibri" w:hAnsi="Calibri"/>
                <w:b w:val="0"/>
                <w:sz w:val="14"/>
              </w:rPr>
              <w:t>Either drop the column, or add expected calibration error over 10 bins.</w:t>
            </w:r>
          </w:p>
        </w:tc>
      </w:tr>
      <w:tr>
        <w:trPr>
          <w:cantSplit w:val="true"/>
        </w:trPr>
        <w:tc>
          <w:tcPr>
            <w:tcW w:type="dxa" w:w="510"/>
          </w:tcPr>
          <w:p>
            <w:pPr>
              <w:spacing w:after="0" w:line="240" w:lineRule="auto"/>
              <w:jc w:val="left"/>
            </w:pPr>
            <w:r/>
            <w:r>
              <w:rPr>
                <w:rFonts w:ascii="Calibri" w:hAnsi="Calibri"/>
                <w:b w:val="0"/>
                <w:sz w:val="14"/>
              </w:rPr>
              <w:t>C-9</w:t>
            </w:r>
          </w:p>
        </w:tc>
        <w:tc>
          <w:tcPr>
            <w:tcW w:type="dxa" w:w="1984"/>
          </w:tcPr>
          <w:p>
            <w:pPr>
              <w:spacing w:after="0" w:line="240" w:lineRule="auto"/>
              <w:jc w:val="left"/>
            </w:pPr>
            <w:r/>
            <w:r>
              <w:rPr>
                <w:rFonts w:ascii="Calibri" w:hAnsi="Calibri"/>
                <w:b w:val="0"/>
                <w:sz w:val="14"/>
              </w:rPr>
              <w:t>Accuracy 91.2% indoor / 89.7% outdoor / 82.4% low light / 85.9% multi-object / 81.3% partial</w:t>
            </w:r>
          </w:p>
        </w:tc>
        <w:tc>
          <w:tcPr>
            <w:tcW w:type="dxa" w:w="1077"/>
          </w:tcPr>
          <w:p>
            <w:pPr>
              <w:spacing w:after="0" w:line="240" w:lineRule="auto"/>
              <w:jc w:val="left"/>
            </w:pPr>
            <w:r/>
            <w:r>
              <w:rPr>
                <w:rFonts w:ascii="Calibri" w:hAnsi="Calibri"/>
                <w:b w:val="0"/>
                <w:sz w:val="14"/>
              </w:rPr>
              <w:t>Report [7.5.1]</w:t>
            </w:r>
          </w:p>
        </w:tc>
        <w:tc>
          <w:tcPr>
            <w:tcW w:type="dxa" w:w="2948"/>
          </w:tcPr>
          <w:p>
            <w:pPr>
              <w:spacing w:after="0" w:line="240" w:lineRule="auto"/>
              <w:jc w:val="left"/>
            </w:pPr>
            <w:r/>
            <w:r>
              <w:rPr>
                <w:rFonts w:ascii="Calibri" w:hAnsi="Calibri"/>
                <w:b w:val="0"/>
                <w:sz w:val="14"/>
              </w:rPr>
              <w:t>No protocol: number of images per condition, light level (lux), object distance, or who labelled them. “Indoor 91.2%” is also numerically identical to the Plastic precision figure in the same chapter — the signature of a copied value.</w:t>
            </w:r>
          </w:p>
        </w:tc>
        <w:tc>
          <w:tcPr>
            <w:tcW w:type="dxa" w:w="2891"/>
          </w:tcPr>
          <w:p>
            <w:pPr>
              <w:spacing w:after="0" w:line="240" w:lineRule="auto"/>
              <w:jc w:val="left"/>
            </w:pPr>
            <w:r/>
            <w:r>
              <w:rPr>
                <w:rFonts w:ascii="Calibri" w:hAnsi="Calibri"/>
                <w:b w:val="0"/>
                <w:sz w:val="14"/>
              </w:rPr>
              <w:t>Define each condition with lux and distance, give n per condition, and show the per-condition matrix.</w:t>
            </w:r>
          </w:p>
        </w:tc>
      </w:tr>
      <w:tr>
        <w:trPr>
          <w:cantSplit w:val="true"/>
        </w:trPr>
        <w:tc>
          <w:tcPr>
            <w:tcW w:type="dxa" w:w="510"/>
            <w:shd w:val="clear" w:color="auto" w:fill="EEF1F7"/>
          </w:tcPr>
          <w:p>
            <w:pPr>
              <w:spacing w:after="0" w:line="240" w:lineRule="auto"/>
              <w:jc w:val="left"/>
            </w:pPr>
            <w:r/>
            <w:r>
              <w:rPr>
                <w:rFonts w:ascii="Calibri" w:hAnsi="Calibri"/>
                <w:b w:val="0"/>
                <w:sz w:val="14"/>
              </w:rPr>
              <w:t>C-10</w:t>
            </w:r>
          </w:p>
        </w:tc>
        <w:tc>
          <w:tcPr>
            <w:tcW w:type="dxa" w:w="1984"/>
            <w:shd w:val="clear" w:color="auto" w:fill="EEF1F7"/>
          </w:tcPr>
          <w:p>
            <w:pPr>
              <w:spacing w:after="0" w:line="240" w:lineRule="auto"/>
              <w:jc w:val="left"/>
            </w:pPr>
            <w:r/>
            <w:r>
              <w:rPr>
                <w:rFonts w:ascii="Calibri" w:hAnsi="Calibri"/>
                <w:b w:val="0"/>
                <w:sz w:val="14"/>
              </w:rPr>
              <w:t>Survey: 82% / 68% / 90% / 85%</w:t>
            </w:r>
          </w:p>
        </w:tc>
        <w:tc>
          <w:tcPr>
            <w:tcW w:type="dxa" w:w="1077"/>
            <w:shd w:val="clear" w:color="auto" w:fill="EEF1F7"/>
          </w:tcPr>
          <w:p>
            <w:pPr>
              <w:spacing w:after="0" w:line="240" w:lineRule="auto"/>
              <w:jc w:val="left"/>
            </w:pPr>
            <w:r/>
            <w:r>
              <w:rPr>
                <w:rFonts w:ascii="Calibri" w:hAnsi="Calibri"/>
                <w:b w:val="0"/>
                <w:sz w:val="14"/>
              </w:rPr>
              <w:t>Report [2.3]</w:t>
            </w:r>
          </w:p>
        </w:tc>
        <w:tc>
          <w:tcPr>
            <w:tcW w:type="dxa" w:w="2948"/>
            <w:shd w:val="clear" w:color="auto" w:fill="EEF1F7"/>
          </w:tcPr>
          <w:p>
            <w:pPr>
              <w:spacing w:after="0" w:line="240" w:lineRule="auto"/>
              <w:jc w:val="left"/>
            </w:pPr>
            <w:r/>
            <w:r>
              <w:rPr>
                <w:rFonts w:ascii="Calibri" w:hAnsi="Calibri"/>
                <w:b w:val="0"/>
                <w:sz w:val="14"/>
              </w:rPr>
              <w:t>No n, no sampling frame, no location, no date, no questionnaire. Two of the five bullets (45% manual financial reporting errors, 35% real-time financial insight problems) are about a fintech product, not waste.</w:t>
            </w:r>
          </w:p>
        </w:tc>
        <w:tc>
          <w:tcPr>
            <w:tcW w:type="dxa" w:w="2891"/>
            <w:shd w:val="clear" w:color="auto" w:fill="EEF1F7"/>
          </w:tcPr>
          <w:p>
            <w:pPr>
              <w:spacing w:after="0" w:line="240" w:lineRule="auto"/>
              <w:jc w:val="left"/>
            </w:pPr>
            <w:r/>
            <w:r>
              <w:rPr>
                <w:rFonts w:ascii="Calibri" w:hAnsi="Calibri"/>
                <w:b w:val="0"/>
                <w:sz w:val="14"/>
              </w:rPr>
              <w:t>State n, method (e.g. n = 120, purposive, Chennai, Oct 2026), attach the questionnaire as an appendix, delete the two financial bullets.</w:t>
            </w:r>
          </w:p>
        </w:tc>
      </w:tr>
      <w:tr>
        <w:trPr>
          <w:cantSplit w:val="true"/>
        </w:trPr>
        <w:tc>
          <w:tcPr>
            <w:tcW w:type="dxa" w:w="510"/>
          </w:tcPr>
          <w:p>
            <w:pPr>
              <w:spacing w:after="0" w:line="240" w:lineRule="auto"/>
              <w:jc w:val="left"/>
            </w:pPr>
            <w:r/>
            <w:r>
              <w:rPr>
                <w:rFonts w:ascii="Calibri" w:hAnsi="Calibri"/>
                <w:b w:val="0"/>
                <w:sz w:val="14"/>
              </w:rPr>
              <w:t>C-11</w:t>
            </w:r>
          </w:p>
        </w:tc>
        <w:tc>
          <w:tcPr>
            <w:tcW w:type="dxa" w:w="1984"/>
          </w:tcPr>
          <w:p>
            <w:pPr>
              <w:spacing w:after="0" w:line="240" w:lineRule="auto"/>
              <w:jc w:val="left"/>
            </w:pPr>
            <w:r/>
            <w:r>
              <w:rPr>
                <w:rFonts w:ascii="Calibri" w:hAnsi="Calibri"/>
                <w:b w:val="0"/>
                <w:sz w:val="14"/>
              </w:rPr>
              <w:t>“Optional IoT connectivity”</w:t>
            </w:r>
          </w:p>
        </w:tc>
        <w:tc>
          <w:tcPr>
            <w:tcW w:type="dxa" w:w="1077"/>
          </w:tcPr>
          <w:p>
            <w:pPr>
              <w:spacing w:after="0" w:line="240" w:lineRule="auto"/>
              <w:jc w:val="left"/>
            </w:pPr>
            <w:r/>
            <w:r>
              <w:rPr>
                <w:rFonts w:ascii="Calibri" w:hAnsi="Calibri"/>
                <w:b w:val="0"/>
                <w:sz w:val="14"/>
              </w:rPr>
              <w:t>Paper Abstract, [3.1.3]</w:t>
            </w:r>
          </w:p>
        </w:tc>
        <w:tc>
          <w:tcPr>
            <w:tcW w:type="dxa" w:w="2948"/>
          </w:tcPr>
          <w:p>
            <w:pPr>
              <w:spacing w:after="0" w:line="240" w:lineRule="auto"/>
              <w:jc w:val="left"/>
            </w:pPr>
            <w:r/>
            <w:r>
              <w:rPr>
                <w:rFonts w:ascii="Calibri" w:hAnsi="Calibri"/>
                <w:b w:val="0"/>
                <w:sz w:val="14"/>
              </w:rPr>
              <w:t>The same section describes the Pi transmitting fill level, gas and status to a dashboard, and [5.4] validates IoT latency. “Optional” and “validated” cannot both be the scope.</w:t>
            </w:r>
          </w:p>
        </w:tc>
        <w:tc>
          <w:tcPr>
            <w:tcW w:type="dxa" w:w="2891"/>
          </w:tcPr>
          <w:p>
            <w:pPr>
              <w:spacing w:after="0" w:line="240" w:lineRule="auto"/>
              <w:jc w:val="left"/>
            </w:pPr>
            <w:r/>
            <w:r>
              <w:rPr>
                <w:rFonts w:ascii="Calibri" w:hAnsi="Calibri"/>
                <w:b w:val="0"/>
                <w:sz w:val="14"/>
              </w:rPr>
              <w:t>Choose: make IoT a delivered module (and say so in the abstract) or drop the latency claim.</w:t>
            </w:r>
          </w:p>
        </w:tc>
      </w:tr>
      <w:tr>
        <w:trPr>
          <w:cantSplit w:val="true"/>
        </w:trPr>
        <w:tc>
          <w:tcPr>
            <w:tcW w:type="dxa" w:w="510"/>
            <w:shd w:val="clear" w:color="auto" w:fill="EEF1F7"/>
          </w:tcPr>
          <w:p>
            <w:pPr>
              <w:spacing w:after="0" w:line="240" w:lineRule="auto"/>
              <w:jc w:val="left"/>
            </w:pPr>
            <w:r/>
            <w:r>
              <w:rPr>
                <w:rFonts w:ascii="Calibri" w:hAnsi="Calibri"/>
                <w:b w:val="0"/>
                <w:sz w:val="14"/>
              </w:rPr>
              <w:t>C-12</w:t>
            </w:r>
          </w:p>
        </w:tc>
        <w:tc>
          <w:tcPr>
            <w:tcW w:type="dxa" w:w="1984"/>
            <w:shd w:val="clear" w:color="auto" w:fill="EEF1F7"/>
          </w:tcPr>
          <w:p>
            <w:pPr>
              <w:spacing w:after="0" w:line="240" w:lineRule="auto"/>
              <w:jc w:val="left"/>
            </w:pPr>
            <w:r/>
            <w:r>
              <w:rPr>
                <w:rFonts w:ascii="Calibri" w:hAnsi="Calibri"/>
                <w:b w:val="0"/>
                <w:sz w:val="14"/>
              </w:rPr>
              <w:t>“Average cycle time 3.2 s” over 100 continuous cycles</w:t>
            </w:r>
          </w:p>
        </w:tc>
        <w:tc>
          <w:tcPr>
            <w:tcW w:type="dxa" w:w="1077"/>
            <w:shd w:val="clear" w:color="auto" w:fill="EEF1F7"/>
          </w:tcPr>
          <w:p>
            <w:pPr>
              <w:spacing w:after="0" w:line="240" w:lineRule="auto"/>
              <w:jc w:val="left"/>
            </w:pPr>
            <w:r/>
            <w:r>
              <w:rPr>
                <w:rFonts w:ascii="Calibri" w:hAnsi="Calibri"/>
                <w:b w:val="0"/>
                <w:sz w:val="14"/>
              </w:rPr>
              <w:t>Paper [5.4]</w:t>
            </w:r>
          </w:p>
        </w:tc>
        <w:tc>
          <w:tcPr>
            <w:tcW w:type="dxa" w:w="2948"/>
            <w:shd w:val="clear" w:color="auto" w:fill="EEF1F7"/>
          </w:tcPr>
          <w:p>
            <w:pPr>
              <w:spacing w:after="0" w:line="240" w:lineRule="auto"/>
              <w:jc w:val="left"/>
            </w:pPr>
            <w:r/>
            <w:r>
              <w:rPr>
                <w:rFonts w:ascii="Calibri" w:hAnsi="Calibri"/>
                <w:b w:val="0"/>
                <w:sz w:val="14"/>
              </w:rPr>
              <w:t>Consistent with [3.4.3]'s 3–4 s, but throughput (items/hour) is never stated, so the mechanical result cannot be compared with any other system.</w:t>
            </w:r>
          </w:p>
        </w:tc>
        <w:tc>
          <w:tcPr>
            <w:tcW w:type="dxa" w:w="2891"/>
            <w:shd w:val="clear" w:color="auto" w:fill="EEF1F7"/>
          </w:tcPr>
          <w:p>
            <w:pPr>
              <w:spacing w:after="0" w:line="240" w:lineRule="auto"/>
              <w:jc w:val="left"/>
            </w:pPr>
            <w:r/>
            <w:r>
              <w:rPr>
                <w:rFonts w:ascii="Calibri" w:hAnsi="Calibri"/>
                <w:b w:val="0"/>
                <w:sz w:val="14"/>
              </w:rPr>
              <w:t>Add: 3.2 s ⇒ 1,125 items/h theoretical, and the observed rate including reload.</w:t>
            </w:r>
          </w:p>
        </w:tc>
      </w:tr>
    </w:tbl>
    <w:p>
      <w:pPr>
        <w:keepNext/>
        <w:spacing w:before="160" w:after="60"/>
        <w:jc w:val="left"/>
      </w:pPr>
      <w:r>
        <w:rPr>
          <w:rFonts w:ascii="Calibri" w:hAnsi="Calibri"/>
          <w:b/>
          <w:color w:val="1F3864"/>
          <w:sz w:val="18"/>
        </w:rPr>
        <w:t>Table 5.1 — Unsupported claims and their replacements.</w:t>
      </w:r>
    </w:p>
    <w:p>
      <w:pPr>
        <w:spacing w:before="40" w:after="160"/>
        <w:jc w:val="left"/>
      </w:pPr>
      <w:r>
        <w:rPr>
          <w:rFonts w:ascii="Calibri" w:hAnsi="Calibri"/>
          <w:i/>
          <w:color w:val="404040"/>
          <w:sz w:val="16"/>
        </w:rPr>
        <w:t>C-5, C-7 and C-9 are the three most likely to be challenged in a viva, because each is a claim about hardware that the examiner can estimate in their head.</w:t>
      </w:r>
    </w:p>
    <w:p>
      <w:r>
        <w:br w:type="page"/>
      </w:r>
    </w:p>
    <w:p>
      <w:pPr>
        <w:keepNext/>
        <w:spacing w:before="200" w:after="120"/>
        <w:jc w:val="left"/>
        <w:pBdr>
          <w:bottom w:val="single" w:sz="8" w:space="2" w:color="1F3864"/>
        </w:pBdr>
      </w:pPr>
      <w:r>
        <w:rPr>
          <w:rFonts w:ascii="Times New Roman" w:hAnsi="Times New Roman"/>
          <w:b/>
          <w:color w:val="1F3864"/>
          <w:sz w:val="26"/>
        </w:rPr>
        <w:t>6. MARKET SIZING — FOUR INDEPENDENT ERRORS</w:t>
      </w:r>
    </w:p>
    <w:p>
      <w:pPr>
        <w:keepNext/>
        <w:spacing w:before="200" w:after="80"/>
        <w:jc w:val="left"/>
      </w:pPr>
      <w:r>
        <w:rPr>
          <w:b/>
          <w:color w:val="1F3864"/>
          <w:sz w:val="23"/>
        </w:rPr>
        <w:t>6.1 The global market figure is internally impossible</w:t>
      </w:r>
    </w:p>
    <w:p>
      <w:pPr>
        <w:spacing w:after="120"/>
        <w:ind w:left="0"/>
        <w:jc w:val="both"/>
      </w:pPr>
      <w:r>
        <w:rPr>
          <w:b w:val="0"/>
          <w:i w:val="0"/>
          <w:sz w:val="22"/>
        </w:rPr>
        <w:t xml:space="preserve">Report [2.2] and [5.1.1] state: “estimated value in 2023: $2.5 billion; projected value by 2030: $4.2 billion; CAGR 15.8%”. These three numbers cannot coexist. Growing $2.5 bn at 15.8% for seven years gives 2.5 × 1.158^7 = </w:t>
      </w:r>
      <w:r>
        <w:rPr>
          <w:b/>
          <w:i w:val="0"/>
          <w:sz w:val="22"/>
        </w:rPr>
        <w:t>$6.98 bn</w:t>
      </w:r>
      <w:r>
        <w:rPr>
          <w:b w:val="0"/>
          <w:i w:val="0"/>
          <w:sz w:val="22"/>
        </w:rPr>
        <w:t xml:space="preserve">, not $4.2 bn; and $2.5 bn → $4.2 bn over seven years is a CAGR of </w:t>
      </w:r>
      <w:r>
        <w:rPr>
          <w:b/>
          <w:i w:val="0"/>
          <w:sz w:val="22"/>
        </w:rPr>
        <w:t>7.69%</w:t>
      </w:r>
      <w:r>
        <w:rPr>
          <w:b w:val="0"/>
          <w:i w:val="0"/>
          <w:sz w:val="22"/>
        </w:rPr>
        <w:t>, not 15.8%. The $4.2 bn / 15.8% pairing appears to come from an older press release whose base year was different.</w:t>
      </w:r>
    </w:p>
    <w:p>
      <w:pPr>
        <w:keepNext/>
        <w:spacing w:before="200" w:after="80"/>
        <w:jc w:val="left"/>
      </w:pPr>
      <w:r>
        <w:rPr>
          <w:b/>
          <w:color w:val="1F3864"/>
          <w:sz w:val="23"/>
        </w:rPr>
        <w:t>6.2 Corrected reference values (choose one source and cite it)</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3061"/>
        <w:gridCol w:w="2041"/>
        <w:gridCol w:w="2041"/>
        <w:gridCol w:w="2268"/>
      </w:tblGrid>
      <w:tr>
        <w:trPr>
          <w:tblHeader w:val="true"/>
          <w:cantSplit w:val="true"/>
        </w:trPr>
        <w:tc>
          <w:tcPr>
            <w:tcW w:type="dxa" w:w="3061"/>
            <w:shd w:val="clear" w:color="auto" w:fill="1F3864"/>
          </w:tcPr>
          <w:p>
            <w:pPr>
              <w:spacing w:after="0" w:line="240" w:lineRule="auto"/>
              <w:jc w:val="left"/>
            </w:pPr>
            <w:r/>
            <w:r>
              <w:rPr>
                <w:rFonts w:ascii="Calibri" w:hAnsi="Calibri"/>
                <w:b/>
                <w:color w:val="FFFFFF"/>
                <w:sz w:val="16"/>
              </w:rPr>
              <w:t>Source</w:t>
            </w:r>
          </w:p>
        </w:tc>
        <w:tc>
          <w:tcPr>
            <w:tcW w:type="dxa" w:w="2041"/>
            <w:shd w:val="clear" w:color="auto" w:fill="1F3864"/>
          </w:tcPr>
          <w:p>
            <w:pPr>
              <w:spacing w:after="0" w:line="240" w:lineRule="auto"/>
              <w:jc w:val="left"/>
            </w:pPr>
            <w:r/>
            <w:r>
              <w:rPr>
                <w:rFonts w:ascii="Calibri" w:hAnsi="Calibri"/>
                <w:b/>
                <w:color w:val="FFFFFF"/>
                <w:sz w:val="16"/>
              </w:rPr>
              <w:t>Base year and value</w:t>
            </w:r>
          </w:p>
        </w:tc>
        <w:tc>
          <w:tcPr>
            <w:tcW w:type="dxa" w:w="2041"/>
            <w:shd w:val="clear" w:color="auto" w:fill="1F3864"/>
          </w:tcPr>
          <w:p>
            <w:pPr>
              <w:spacing w:after="0" w:line="240" w:lineRule="auto"/>
              <w:jc w:val="left"/>
            </w:pPr>
            <w:r/>
            <w:r>
              <w:rPr>
                <w:rFonts w:ascii="Calibri" w:hAnsi="Calibri"/>
                <w:b/>
                <w:color w:val="FFFFFF"/>
                <w:sz w:val="16"/>
              </w:rPr>
              <w:t>Forecast</w:t>
            </w:r>
          </w:p>
        </w:tc>
        <w:tc>
          <w:tcPr>
            <w:tcW w:type="dxa" w:w="2268"/>
            <w:shd w:val="clear" w:color="auto" w:fill="1F3864"/>
          </w:tcPr>
          <w:p>
            <w:pPr>
              <w:spacing w:after="0" w:line="240" w:lineRule="auto"/>
              <w:jc w:val="left"/>
            </w:pPr>
            <w:r/>
            <w:r>
              <w:rPr>
                <w:rFonts w:ascii="Calibri" w:hAnsi="Calibri"/>
                <w:b/>
                <w:color w:val="FFFFFF"/>
                <w:sz w:val="16"/>
              </w:rPr>
              <w:t>CAGR</w:t>
            </w:r>
          </w:p>
        </w:tc>
      </w:tr>
      <w:tr>
        <w:trPr>
          <w:cantSplit w:val="true"/>
        </w:trPr>
        <w:tc>
          <w:tcPr>
            <w:tcW w:type="dxa" w:w="3061"/>
          </w:tcPr>
          <w:p>
            <w:pPr>
              <w:spacing w:after="0" w:line="240" w:lineRule="auto"/>
              <w:jc w:val="left"/>
            </w:pPr>
            <w:r/>
            <w:r>
              <w:rPr>
                <w:rFonts w:ascii="Calibri" w:hAnsi="Calibri"/>
                <w:b w:val="0"/>
                <w:sz w:val="16"/>
              </w:rPr>
              <w:t>Allied Market Research (2024/25 editions)</w:t>
            </w:r>
          </w:p>
        </w:tc>
        <w:tc>
          <w:tcPr>
            <w:tcW w:type="dxa" w:w="2041"/>
          </w:tcPr>
          <w:p>
            <w:pPr>
              <w:spacing w:after="0" w:line="240" w:lineRule="auto"/>
              <w:jc w:val="left"/>
            </w:pPr>
            <w:r/>
            <w:r>
              <w:rPr>
                <w:rFonts w:ascii="Calibri" w:hAnsi="Calibri"/>
                <w:b w:val="0"/>
                <w:sz w:val="16"/>
              </w:rPr>
              <w:t>$2.2 bn in 2023</w:t>
            </w:r>
          </w:p>
        </w:tc>
        <w:tc>
          <w:tcPr>
            <w:tcW w:type="dxa" w:w="2041"/>
          </w:tcPr>
          <w:p>
            <w:pPr>
              <w:spacing w:after="0" w:line="240" w:lineRule="auto"/>
              <w:jc w:val="left"/>
            </w:pPr>
            <w:r/>
            <w:r>
              <w:rPr>
                <w:rFonts w:ascii="Calibri" w:hAnsi="Calibri"/>
                <w:b w:val="0"/>
                <w:sz w:val="16"/>
              </w:rPr>
              <w:t>$8.3 bn by 2032</w:t>
            </w:r>
          </w:p>
        </w:tc>
        <w:tc>
          <w:tcPr>
            <w:tcW w:type="dxa" w:w="2268"/>
          </w:tcPr>
          <w:p>
            <w:pPr>
              <w:spacing w:after="0" w:line="240" w:lineRule="auto"/>
              <w:jc w:val="left"/>
            </w:pPr>
            <w:r/>
            <w:r>
              <w:rPr>
                <w:rFonts w:ascii="Calibri" w:hAnsi="Calibri"/>
                <w:b w:val="0"/>
                <w:sz w:val="16"/>
              </w:rPr>
              <w:t>15.6% (2024–2032)</w:t>
            </w:r>
          </w:p>
        </w:tc>
      </w:tr>
      <w:tr>
        <w:trPr>
          <w:cantSplit w:val="true"/>
        </w:trPr>
        <w:tc>
          <w:tcPr>
            <w:tcW w:type="dxa" w:w="3061"/>
            <w:shd w:val="clear" w:color="auto" w:fill="EEF1F7"/>
          </w:tcPr>
          <w:p>
            <w:pPr>
              <w:spacing w:after="0" w:line="240" w:lineRule="auto"/>
              <w:jc w:val="left"/>
            </w:pPr>
            <w:r/>
            <w:r>
              <w:rPr>
                <w:rFonts w:ascii="Calibri" w:hAnsi="Calibri"/>
                <w:b w:val="0"/>
                <w:sz w:val="16"/>
              </w:rPr>
              <w:t>Mordor Intelligence</w:t>
            </w:r>
          </w:p>
        </w:tc>
        <w:tc>
          <w:tcPr>
            <w:tcW w:type="dxa" w:w="2041"/>
            <w:shd w:val="clear" w:color="auto" w:fill="EEF1F7"/>
          </w:tcPr>
          <w:p>
            <w:pPr>
              <w:spacing w:after="0" w:line="240" w:lineRule="auto"/>
              <w:jc w:val="left"/>
            </w:pPr>
            <w:r/>
            <w:r>
              <w:rPr>
                <w:rFonts w:ascii="Calibri" w:hAnsi="Calibri"/>
                <w:b w:val="0"/>
                <w:sz w:val="16"/>
              </w:rPr>
              <w:t>$3.54 bn in 2025</w:t>
            </w:r>
          </w:p>
        </w:tc>
        <w:tc>
          <w:tcPr>
            <w:tcW w:type="dxa" w:w="2041"/>
            <w:shd w:val="clear" w:color="auto" w:fill="EEF1F7"/>
          </w:tcPr>
          <w:p>
            <w:pPr>
              <w:spacing w:after="0" w:line="240" w:lineRule="auto"/>
              <w:jc w:val="left"/>
            </w:pPr>
            <w:r/>
            <w:r>
              <w:rPr>
                <w:rFonts w:ascii="Calibri" w:hAnsi="Calibri"/>
                <w:b w:val="0"/>
                <w:sz w:val="16"/>
              </w:rPr>
              <w:t>$7.15 bn by 2030</w:t>
            </w:r>
          </w:p>
        </w:tc>
        <w:tc>
          <w:tcPr>
            <w:tcW w:type="dxa" w:w="2268"/>
            <w:shd w:val="clear" w:color="auto" w:fill="EEF1F7"/>
          </w:tcPr>
          <w:p>
            <w:pPr>
              <w:spacing w:after="0" w:line="240" w:lineRule="auto"/>
              <w:jc w:val="left"/>
            </w:pPr>
            <w:r/>
            <w:r>
              <w:rPr>
                <w:rFonts w:ascii="Calibri" w:hAnsi="Calibri"/>
                <w:b w:val="0"/>
                <w:sz w:val="16"/>
              </w:rPr>
              <w:t>15.1% (2025–2030)</w:t>
            </w:r>
          </w:p>
        </w:tc>
      </w:tr>
      <w:tr>
        <w:trPr>
          <w:cantSplit w:val="true"/>
        </w:trPr>
        <w:tc>
          <w:tcPr>
            <w:tcW w:type="dxa" w:w="3061"/>
          </w:tcPr>
          <w:p>
            <w:pPr>
              <w:spacing w:after="0" w:line="240" w:lineRule="auto"/>
              <w:jc w:val="left"/>
            </w:pPr>
            <w:r/>
            <w:r>
              <w:rPr>
                <w:rFonts w:ascii="Calibri" w:hAnsi="Calibri"/>
                <w:b w:val="0"/>
                <w:sz w:val="16"/>
              </w:rPr>
              <w:t>Acumen Research &amp; Consulting</w:t>
            </w:r>
          </w:p>
        </w:tc>
        <w:tc>
          <w:tcPr>
            <w:tcW w:type="dxa" w:w="2041"/>
          </w:tcPr>
          <w:p>
            <w:pPr>
              <w:spacing w:after="0" w:line="240" w:lineRule="auto"/>
              <w:jc w:val="left"/>
            </w:pPr>
            <w:r/>
            <w:r>
              <w:rPr>
                <w:rFonts w:ascii="Calibri" w:hAnsi="Calibri"/>
                <w:b w:val="0"/>
                <w:sz w:val="16"/>
              </w:rPr>
              <w:t>$2.57 bn in 2023</w:t>
            </w:r>
          </w:p>
        </w:tc>
        <w:tc>
          <w:tcPr>
            <w:tcW w:type="dxa" w:w="2041"/>
          </w:tcPr>
          <w:p>
            <w:pPr>
              <w:spacing w:after="0" w:line="240" w:lineRule="auto"/>
              <w:jc w:val="left"/>
            </w:pPr>
            <w:r/>
            <w:r>
              <w:rPr>
                <w:rFonts w:ascii="Calibri" w:hAnsi="Calibri"/>
                <w:b w:val="0"/>
                <w:sz w:val="16"/>
              </w:rPr>
              <w:t>$10.37 bn by 2032</w:t>
            </w:r>
          </w:p>
        </w:tc>
        <w:tc>
          <w:tcPr>
            <w:tcW w:type="dxa" w:w="2268"/>
          </w:tcPr>
          <w:p>
            <w:pPr>
              <w:spacing w:after="0" w:line="240" w:lineRule="auto"/>
              <w:jc w:val="left"/>
            </w:pPr>
            <w:r/>
            <w:r>
              <w:rPr>
                <w:rFonts w:ascii="Calibri" w:hAnsi="Calibri"/>
                <w:b w:val="0"/>
                <w:sz w:val="16"/>
              </w:rPr>
              <w:t>16.9% (2024–2032)</w:t>
            </w:r>
          </w:p>
        </w:tc>
      </w:tr>
      <w:tr>
        <w:trPr>
          <w:cantSplit w:val="true"/>
        </w:trPr>
        <w:tc>
          <w:tcPr>
            <w:tcW w:type="dxa" w:w="3061"/>
            <w:shd w:val="clear" w:color="auto" w:fill="EEF1F7"/>
          </w:tcPr>
          <w:p>
            <w:pPr>
              <w:spacing w:after="0" w:line="240" w:lineRule="auto"/>
              <w:jc w:val="left"/>
            </w:pPr>
            <w:r/>
            <w:r>
              <w:rPr>
                <w:rFonts w:ascii="Calibri" w:hAnsi="Calibri"/>
                <w:b w:val="0"/>
                <w:sz w:val="16"/>
              </w:rPr>
              <w:t>Research and Markets / Global Industry Analysts</w:t>
            </w:r>
          </w:p>
        </w:tc>
        <w:tc>
          <w:tcPr>
            <w:tcW w:type="dxa" w:w="2041"/>
            <w:shd w:val="clear" w:color="auto" w:fill="EEF1F7"/>
          </w:tcPr>
          <w:p>
            <w:pPr>
              <w:spacing w:after="0" w:line="240" w:lineRule="auto"/>
              <w:jc w:val="left"/>
            </w:pPr>
            <w:r/>
            <w:r>
              <w:rPr>
                <w:rFonts w:ascii="Calibri" w:hAnsi="Calibri"/>
                <w:b w:val="0"/>
                <w:sz w:val="16"/>
              </w:rPr>
              <w:t>$2.4 bn in 2023</w:t>
            </w:r>
          </w:p>
        </w:tc>
        <w:tc>
          <w:tcPr>
            <w:tcW w:type="dxa" w:w="2041"/>
            <w:shd w:val="clear" w:color="auto" w:fill="EEF1F7"/>
          </w:tcPr>
          <w:p>
            <w:pPr>
              <w:spacing w:after="0" w:line="240" w:lineRule="auto"/>
              <w:jc w:val="left"/>
            </w:pPr>
            <w:r/>
            <w:r>
              <w:rPr>
                <w:rFonts w:ascii="Calibri" w:hAnsi="Calibri"/>
                <w:b w:val="0"/>
                <w:sz w:val="16"/>
              </w:rPr>
              <w:t>$5.6 bn by 2030</w:t>
            </w:r>
          </w:p>
        </w:tc>
        <w:tc>
          <w:tcPr>
            <w:tcW w:type="dxa" w:w="2268"/>
            <w:shd w:val="clear" w:color="auto" w:fill="EEF1F7"/>
          </w:tcPr>
          <w:p>
            <w:pPr>
              <w:spacing w:after="0" w:line="240" w:lineRule="auto"/>
              <w:jc w:val="left"/>
            </w:pPr>
            <w:r/>
            <w:r>
              <w:rPr>
                <w:rFonts w:ascii="Calibri" w:hAnsi="Calibri"/>
                <w:b w:val="0"/>
                <w:sz w:val="16"/>
              </w:rPr>
              <w:t>13.2% (2023–2030)</w:t>
            </w:r>
          </w:p>
        </w:tc>
      </w:tr>
    </w:tbl>
    <w:p>
      <w:pPr>
        <w:keepNext/>
        <w:spacing w:before="160" w:after="60"/>
        <w:jc w:val="left"/>
      </w:pPr>
      <w:r>
        <w:rPr>
          <w:rFonts w:ascii="Calibri" w:hAnsi="Calibri"/>
          <w:b/>
          <w:color w:val="1F3864"/>
          <w:sz w:val="18"/>
        </w:rPr>
        <w:t>Table 6.1 — Published series that are internally consistent.</w:t>
      </w:r>
    </w:p>
    <w:p>
      <w:pPr>
        <w:spacing w:before="40" w:after="160"/>
        <w:jc w:val="left"/>
      </w:pPr>
      <w:r>
        <w:rPr>
          <w:rFonts w:ascii="Calibri" w:hAnsi="Calibri"/>
          <w:i/>
          <w:color w:val="404040"/>
          <w:sz w:val="16"/>
        </w:rPr>
        <w:t>Recommendation: adopt Allied Market Research ($2.2 bn 2023 → $8.3 bn 2032, 15.6%) for the global paragraph and Mordor ($3.54 bn 2025 → $7.15 bn 2030) if a 2030 horizon is preferred. Never mix a value from one house with a CAGR from another — that is how the current 2.5 / 4.2 / 15.8% error arose.</w:t>
      </w:r>
    </w:p>
    <w:p>
      <w:pPr>
        <w:keepNext/>
        <w:spacing w:before="200" w:after="80"/>
        <w:jc w:val="left"/>
      </w:pPr>
      <w:r>
        <w:rPr>
          <w:b/>
          <w:color w:val="1F3864"/>
          <w:sz w:val="23"/>
        </w:rPr>
        <w:t>6.3 TAM / SAM / SOM: the arithmetic is right, the inputs are wrong</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1134"/>
        <w:gridCol w:w="2268"/>
        <w:gridCol w:w="1814"/>
        <w:gridCol w:w="3572"/>
        <w:gridCol w:w="623"/>
      </w:tblGrid>
      <w:tr>
        <w:trPr>
          <w:tblHeader w:val="true"/>
          <w:cantSplit w:val="true"/>
        </w:trPr>
        <w:tc>
          <w:tcPr>
            <w:tcW w:type="dxa" w:w="1134"/>
            <w:shd w:val="clear" w:color="auto" w:fill="1F3864"/>
          </w:tcPr>
          <w:p>
            <w:pPr>
              <w:spacing w:after="0" w:line="240" w:lineRule="auto"/>
              <w:jc w:val="left"/>
            </w:pPr>
            <w:r/>
            <w:r>
              <w:rPr>
                <w:rFonts w:ascii="Calibri" w:hAnsi="Calibri"/>
                <w:b/>
                <w:color w:val="FFFFFF"/>
                <w:sz w:val="15"/>
              </w:rPr>
              <w:t>Level</w:t>
            </w:r>
          </w:p>
        </w:tc>
        <w:tc>
          <w:tcPr>
            <w:tcW w:type="dxa" w:w="2268"/>
            <w:shd w:val="clear" w:color="auto" w:fill="1F3864"/>
          </w:tcPr>
          <w:p>
            <w:pPr>
              <w:spacing w:after="0" w:line="240" w:lineRule="auto"/>
              <w:jc w:val="left"/>
            </w:pPr>
            <w:r/>
            <w:r>
              <w:rPr>
                <w:rFonts w:ascii="Calibri" w:hAnsi="Calibri"/>
                <w:b/>
                <w:color w:val="FFFFFF"/>
                <w:sz w:val="15"/>
              </w:rPr>
              <w:t>Input used in the report</w:t>
            </w:r>
          </w:p>
        </w:tc>
        <w:tc>
          <w:tcPr>
            <w:tcW w:type="dxa" w:w="1814"/>
            <w:shd w:val="clear" w:color="auto" w:fill="1F3864"/>
          </w:tcPr>
          <w:p>
            <w:pPr>
              <w:spacing w:after="0" w:line="240" w:lineRule="auto"/>
              <w:jc w:val="left"/>
            </w:pPr>
            <w:r/>
            <w:r>
              <w:rPr>
                <w:rFonts w:ascii="Calibri" w:hAnsi="Calibri"/>
                <w:b/>
                <w:color w:val="FFFFFF"/>
                <w:sz w:val="15"/>
              </w:rPr>
              <w:t>Check</w:t>
            </w:r>
          </w:p>
        </w:tc>
        <w:tc>
          <w:tcPr>
            <w:tcW w:type="dxa" w:w="3572"/>
            <w:shd w:val="clear" w:color="auto" w:fill="1F3864"/>
          </w:tcPr>
          <w:p>
            <w:pPr>
              <w:spacing w:after="0" w:line="240" w:lineRule="auto"/>
              <w:jc w:val="left"/>
            </w:pPr>
            <w:r/>
            <w:r>
              <w:rPr>
                <w:rFonts w:ascii="Calibri" w:hAnsi="Calibri"/>
                <w:b/>
                <w:color w:val="FFFFFF"/>
                <w:sz w:val="15"/>
              </w:rPr>
              <w:t>Verified value</w:t>
            </w:r>
          </w:p>
        </w:tc>
        <w:tc>
          <w:tcPr>
            <w:tcW w:type="dxa" w:w="624"/>
            <w:shd w:val="clear" w:color="auto" w:fill="1F3864"/>
          </w:tcPr>
          <w:p>
            <w:pPr>
              <w:spacing w:after="0" w:line="240" w:lineRule="auto"/>
              <w:jc w:val="left"/>
            </w:pPr>
            <w:r/>
            <w:r>
              <w:rPr>
                <w:rFonts w:ascii="Calibri" w:hAnsi="Calibri"/>
                <w:b/>
                <w:color w:val="FFFFFF"/>
                <w:sz w:val="15"/>
              </w:rPr>
              <w:t>Status</w:t>
            </w:r>
          </w:p>
        </w:tc>
      </w:tr>
      <w:tr>
        <w:trPr>
          <w:cantSplit w:val="true"/>
        </w:trPr>
        <w:tc>
          <w:tcPr>
            <w:tcW w:type="dxa" w:w="1134"/>
          </w:tcPr>
          <w:p>
            <w:pPr>
              <w:spacing w:after="0" w:line="240" w:lineRule="auto"/>
              <w:jc w:val="left"/>
            </w:pPr>
            <w:r/>
            <w:r>
              <w:rPr>
                <w:rFonts w:ascii="Calibri" w:hAnsi="Calibri"/>
                <w:b w:val="0"/>
                <w:sz w:val="15"/>
              </w:rPr>
              <w:t>India TAM</w:t>
            </w:r>
          </w:p>
        </w:tc>
        <w:tc>
          <w:tcPr>
            <w:tcW w:type="dxa" w:w="2268"/>
          </w:tcPr>
          <w:p>
            <w:pPr>
              <w:spacing w:after="0" w:line="240" w:lineRule="auto"/>
              <w:jc w:val="left"/>
            </w:pPr>
            <w:r/>
            <w:r>
              <w:rPr>
                <w:rFonts w:ascii="Calibri" w:hAnsi="Calibri"/>
                <w:b w:val="0"/>
                <w:sz w:val="15"/>
              </w:rPr>
              <w:t>1.4 bn × 35% urban × 70% interested = 343 M people</w:t>
            </w:r>
          </w:p>
        </w:tc>
        <w:tc>
          <w:tcPr>
            <w:tcW w:type="dxa" w:w="1814"/>
          </w:tcPr>
          <w:p>
            <w:pPr>
              <w:spacing w:after="0" w:line="240" w:lineRule="auto"/>
              <w:jc w:val="left"/>
            </w:pPr>
            <w:r/>
            <w:r>
              <w:rPr>
                <w:rFonts w:ascii="Calibri" w:hAnsi="Calibri"/>
                <w:b w:val="0"/>
                <w:sz w:val="15"/>
              </w:rPr>
              <w:t>1,400 × 0.35 = 490 M ✓ arithmetic</w:t>
            </w:r>
          </w:p>
        </w:tc>
        <w:tc>
          <w:tcPr>
            <w:tcW w:type="dxa" w:w="3572"/>
          </w:tcPr>
          <w:p>
            <w:pPr>
              <w:spacing w:after="0" w:line="240" w:lineRule="auto"/>
              <w:jc w:val="left"/>
            </w:pPr>
            <w:r/>
            <w:r>
              <w:rPr>
                <w:rFonts w:ascii="Calibri" w:hAnsi="Calibri"/>
                <w:b w:val="0"/>
                <w:sz w:val="15"/>
              </w:rPr>
              <w:t>Urban share is 31.2% at the 2011 census (377 M) and ≈36% in 2025 (≈525 M of 1.46 bn). The 70% “interested” factor is invented.</w:t>
            </w:r>
          </w:p>
        </w:tc>
        <w:tc>
          <w:tcPr>
            <w:tcW w:type="dxa" w:w="624"/>
          </w:tcPr>
          <w:p>
            <w:pPr>
              <w:spacing w:after="0" w:line="240" w:lineRule="auto"/>
              <w:jc w:val="left"/>
            </w:pPr>
            <w:r/>
            <w:r>
              <w:rPr>
                <w:rFonts w:ascii="Calibri" w:hAnsi="Calibri"/>
                <w:b w:val="0"/>
                <w:sz w:val="15"/>
              </w:rPr>
              <w:t>Arithmetic correct — assumptions unsourced.</w:t>
            </w:r>
          </w:p>
        </w:tc>
      </w:tr>
      <w:tr>
        <w:trPr>
          <w:cantSplit w:val="true"/>
        </w:trPr>
        <w:tc>
          <w:tcPr>
            <w:tcW w:type="dxa" w:w="1134"/>
            <w:shd w:val="clear" w:color="auto" w:fill="EEF1F7"/>
          </w:tcPr>
          <w:p>
            <w:pPr>
              <w:spacing w:after="0" w:line="240" w:lineRule="auto"/>
              <w:jc w:val="left"/>
            </w:pPr>
            <w:r/>
            <w:r>
              <w:rPr>
                <w:rFonts w:ascii="Calibri" w:hAnsi="Calibri"/>
                <w:b w:val="0"/>
                <w:sz w:val="15"/>
              </w:rPr>
              <w:t>Tamil Nadu SAM</w:t>
            </w:r>
          </w:p>
        </w:tc>
        <w:tc>
          <w:tcPr>
            <w:tcW w:type="dxa" w:w="2268"/>
            <w:shd w:val="clear" w:color="auto" w:fill="EEF1F7"/>
          </w:tcPr>
          <w:p>
            <w:pPr>
              <w:spacing w:after="0" w:line="240" w:lineRule="auto"/>
              <w:jc w:val="left"/>
            </w:pPr>
            <w:r/>
            <w:r>
              <w:rPr>
                <w:rFonts w:ascii="Calibri" w:hAnsi="Calibri"/>
                <w:b w:val="0"/>
                <w:sz w:val="15"/>
              </w:rPr>
              <w:t>Population 30 M; urban 37.5%; → 11.25 M</w:t>
            </w:r>
          </w:p>
        </w:tc>
        <w:tc>
          <w:tcPr>
            <w:tcW w:type="dxa" w:w="1814"/>
            <w:shd w:val="clear" w:color="auto" w:fill="EEF1F7"/>
          </w:tcPr>
          <w:p>
            <w:pPr>
              <w:spacing w:after="0" w:line="240" w:lineRule="auto"/>
              <w:jc w:val="left"/>
            </w:pPr>
            <w:r/>
            <w:r>
              <w:rPr>
                <w:rFonts w:ascii="Calibri" w:hAnsi="Calibri"/>
                <w:b w:val="0"/>
                <w:sz w:val="15"/>
              </w:rPr>
              <w:t>30 × 0.375 = 11.25 M ✓ arithmetic</w:t>
            </w:r>
          </w:p>
        </w:tc>
        <w:tc>
          <w:tcPr>
            <w:tcW w:type="dxa" w:w="3572"/>
            <w:shd w:val="clear" w:color="auto" w:fill="EEF1F7"/>
          </w:tcPr>
          <w:p>
            <w:pPr>
              <w:spacing w:after="0" w:line="240" w:lineRule="auto"/>
              <w:jc w:val="left"/>
            </w:pPr>
            <w:r/>
            <w:r>
              <w:rPr>
                <w:rFonts w:ascii="Calibri" w:hAnsi="Calibri"/>
                <w:b w:val="0"/>
                <w:sz w:val="15"/>
              </w:rPr>
              <w:t>Tamil Nadu's population is 72.1 M (2011 census), ≈77.5 M projected for 2026. Urban share is 48.4% (34.9 M in 2011), not 37.5%.</w:t>
            </w:r>
          </w:p>
        </w:tc>
        <w:tc>
          <w:tcPr>
            <w:tcW w:type="dxa" w:w="624"/>
            <w:shd w:val="clear" w:color="auto" w:fill="EEF1F7"/>
          </w:tcPr>
          <w:p>
            <w:pPr>
              <w:spacing w:after="0" w:line="240" w:lineRule="auto"/>
              <w:jc w:val="left"/>
            </w:pPr>
            <w:r/>
            <w:r>
              <w:rPr>
                <w:rFonts w:ascii="Calibri" w:hAnsi="Calibri"/>
                <w:b/>
                <w:color w:val="A61B1B"/>
                <w:sz w:val="15"/>
              </w:rPr>
              <w:t>Base population wrong by 2.4×; urban share wrong by 11 points.</w:t>
            </w:r>
          </w:p>
        </w:tc>
      </w:tr>
      <w:tr>
        <w:trPr>
          <w:cantSplit w:val="true"/>
        </w:trPr>
        <w:tc>
          <w:tcPr>
            <w:tcW w:type="dxa" w:w="1134"/>
          </w:tcPr>
          <w:p>
            <w:pPr>
              <w:spacing w:after="0" w:line="240" w:lineRule="auto"/>
              <w:jc w:val="left"/>
            </w:pPr>
            <w:r/>
            <w:r>
              <w:rPr>
                <w:rFonts w:ascii="Calibri" w:hAnsi="Calibri"/>
                <w:b w:val="0"/>
                <w:sz w:val="15"/>
              </w:rPr>
              <w:t>Chennai SOM</w:t>
            </w:r>
          </w:p>
        </w:tc>
        <w:tc>
          <w:tcPr>
            <w:tcW w:type="dxa" w:w="2268"/>
          </w:tcPr>
          <w:p>
            <w:pPr>
              <w:spacing w:after="0" w:line="240" w:lineRule="auto"/>
              <w:jc w:val="left"/>
            </w:pPr>
            <w:r/>
            <w:r>
              <w:rPr>
                <w:rFonts w:ascii="Calibri" w:hAnsi="Calibri"/>
                <w:b w:val="0"/>
                <w:sz w:val="15"/>
              </w:rPr>
              <w:t>Population 250,000 → SOM 175,000</w:t>
            </w:r>
          </w:p>
        </w:tc>
        <w:tc>
          <w:tcPr>
            <w:tcW w:type="dxa" w:w="1814"/>
          </w:tcPr>
          <w:p>
            <w:pPr>
              <w:spacing w:after="0" w:line="240" w:lineRule="auto"/>
              <w:jc w:val="left"/>
            </w:pPr>
            <w:r/>
            <w:r>
              <w:rPr>
                <w:rFonts w:ascii="Calibri" w:hAnsi="Calibri"/>
                <w:b w:val="0"/>
                <w:sz w:val="15"/>
              </w:rPr>
              <w:t>250,000 × 0.70 = 175,000 ✓ arithmetic</w:t>
            </w:r>
          </w:p>
        </w:tc>
        <w:tc>
          <w:tcPr>
            <w:tcW w:type="dxa" w:w="3572"/>
          </w:tcPr>
          <w:p>
            <w:pPr>
              <w:spacing w:after="0" w:line="240" w:lineRule="auto"/>
              <w:jc w:val="left"/>
            </w:pPr>
            <w:r/>
            <w:r>
              <w:rPr>
                <w:rFonts w:ascii="Calibri" w:hAnsi="Calibri"/>
                <w:b w:val="0"/>
                <w:sz w:val="15"/>
              </w:rPr>
              <w:t>Chennai Corporation: 4,646,732 (2011 census), ≈5.39 M (2025 estimate); metropolitan area 8.65 M (2011). The report understates the city by 18.6×.</w:t>
            </w:r>
          </w:p>
        </w:tc>
        <w:tc>
          <w:tcPr>
            <w:tcW w:type="dxa" w:w="624"/>
          </w:tcPr>
          <w:p>
            <w:pPr>
              <w:spacing w:after="0" w:line="240" w:lineRule="auto"/>
              <w:jc w:val="left"/>
            </w:pPr>
            <w:r/>
            <w:r>
              <w:rPr>
                <w:rFonts w:ascii="Calibri" w:hAnsi="Calibri"/>
                <w:b/>
                <w:color w:val="A61B1B"/>
                <w:sz w:val="15"/>
              </w:rPr>
              <w:t>Input wrong by 18.6×; whole chain collapses.</w:t>
            </w:r>
          </w:p>
        </w:tc>
      </w:tr>
      <w:tr>
        <w:trPr>
          <w:cantSplit w:val="true"/>
        </w:trPr>
        <w:tc>
          <w:tcPr>
            <w:tcW w:type="dxa" w:w="1134"/>
            <w:shd w:val="clear" w:color="auto" w:fill="EEF1F7"/>
          </w:tcPr>
          <w:p>
            <w:pPr>
              <w:spacing w:after="0" w:line="240" w:lineRule="auto"/>
              <w:jc w:val="left"/>
            </w:pPr>
            <w:r/>
            <w:r>
              <w:rPr>
                <w:rFonts w:ascii="Calibri" w:hAnsi="Calibri"/>
                <w:b w:val="0"/>
                <w:sz w:val="15"/>
              </w:rPr>
              <w:t>Unit basis</w:t>
            </w:r>
          </w:p>
        </w:tc>
        <w:tc>
          <w:tcPr>
            <w:tcW w:type="dxa" w:w="2268"/>
            <w:shd w:val="clear" w:color="auto" w:fill="EEF1F7"/>
          </w:tcPr>
          <w:p>
            <w:pPr>
              <w:spacing w:after="0" w:line="240" w:lineRule="auto"/>
              <w:jc w:val="left"/>
            </w:pPr>
            <w:r/>
            <w:r>
              <w:rPr>
                <w:rFonts w:ascii="Calibri" w:hAnsi="Calibri"/>
                <w:b w:val="0"/>
                <w:sz w:val="15"/>
              </w:rPr>
              <w:t>People</w:t>
            </w:r>
          </w:p>
        </w:tc>
        <w:tc>
          <w:tcPr>
            <w:tcW w:type="dxa" w:w="1814"/>
            <w:shd w:val="clear" w:color="auto" w:fill="EEF1F7"/>
          </w:tcPr>
          <w:p>
            <w:pPr>
              <w:spacing w:after="0" w:line="240" w:lineRule="auto"/>
              <w:jc w:val="left"/>
            </w:pPr>
            <w:r/>
            <w:r>
              <w:rPr>
                <w:rFonts w:ascii="Calibri" w:hAnsi="Calibri"/>
                <w:b w:val="0"/>
                <w:sz w:val="15"/>
              </w:rPr>
              <w:t>—</w:t>
            </w:r>
          </w:p>
        </w:tc>
        <w:tc>
          <w:tcPr>
            <w:tcW w:type="dxa" w:w="3572"/>
            <w:shd w:val="clear" w:color="auto" w:fill="EEF1F7"/>
          </w:tcPr>
          <w:p>
            <w:pPr>
              <w:spacing w:after="0" w:line="240" w:lineRule="auto"/>
              <w:jc w:val="left"/>
            </w:pPr>
            <w:r/>
            <w:r>
              <w:rPr>
                <w:rFonts w:ascii="Calibri" w:hAnsi="Calibri"/>
                <w:b w:val="0"/>
                <w:sz w:val="15"/>
              </w:rPr>
              <w:t>A bin is sold per household or per institution. Chennai at ≈4.0 persons/household is ≈1.35 M households. Sizing in people cannot be converted to units, price or revenue.</w:t>
            </w:r>
          </w:p>
        </w:tc>
        <w:tc>
          <w:tcPr>
            <w:tcW w:type="dxa" w:w="624"/>
            <w:shd w:val="clear" w:color="auto" w:fill="EEF1F7"/>
          </w:tcPr>
          <w:p>
            <w:pPr>
              <w:spacing w:after="0" w:line="240" w:lineRule="auto"/>
              <w:jc w:val="left"/>
            </w:pPr>
            <w:r/>
            <w:r>
              <w:rPr>
                <w:rFonts w:ascii="Calibri" w:hAnsi="Calibri"/>
                <w:b/>
                <w:color w:val="A61B1B"/>
                <w:sz w:val="15"/>
              </w:rPr>
              <w:t>Wrong unit — must be households or institutions, in ₹.</w:t>
            </w:r>
          </w:p>
        </w:tc>
      </w:tr>
    </w:tbl>
    <w:p>
      <w:pPr>
        <w:keepNext/>
        <w:spacing w:before="160" w:after="60"/>
        <w:jc w:val="left"/>
      </w:pPr>
      <w:r>
        <w:rPr>
          <w:rFonts w:ascii="Calibri" w:hAnsi="Calibri"/>
          <w:b/>
          <w:color w:val="1F3864"/>
          <w:sz w:val="18"/>
        </w:rPr>
        <w:t>Table 6.2 — TAM/SAM/SOM verification.</w:t>
      </w:r>
    </w:p>
    <w:p>
      <w:pPr>
        <w:spacing w:before="40" w:after="160"/>
        <w:jc w:val="left"/>
      </w:pPr>
      <w:r>
        <w:rPr>
          <w:rFonts w:ascii="Calibri" w:hAnsi="Calibri"/>
          <w:i/>
          <w:color w:val="404040"/>
          <w:sz w:val="16"/>
        </w:rPr>
        <w:t>The last row is the structural problem: even with correct populations, “343 million individuals” cannot become a revenue number. Rebuild as: households × penetration × price per unit, then present TAM/SAM/SOM in ₹ crore.</w:t>
      </w:r>
    </w:p>
    <w:p>
      <w:pPr>
        <w:spacing w:after="120"/>
        <w:ind w:left="0"/>
        <w:jc w:val="both"/>
      </w:pPr>
      <w:r>
        <w:rPr>
          <w:b/>
          <w:i w:val="0"/>
          <w:sz w:val="22"/>
        </w:rPr>
        <w:t>Suggested rebuild (worked, using census-anchored inputs — replace the survey factor with your own n):</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1474"/>
        <w:gridCol w:w="3061"/>
        <w:gridCol w:w="2835"/>
        <w:gridCol w:w="2041"/>
      </w:tblGrid>
      <w:tr>
        <w:trPr>
          <w:tblHeader w:val="true"/>
          <w:cantSplit w:val="true"/>
        </w:trPr>
        <w:tc>
          <w:tcPr>
            <w:tcW w:type="dxa" w:w="1474"/>
            <w:shd w:val="clear" w:color="auto" w:fill="1F3864"/>
          </w:tcPr>
          <w:p>
            <w:pPr>
              <w:spacing w:after="0" w:line="240" w:lineRule="auto"/>
              <w:jc w:val="left"/>
            </w:pPr>
            <w:r/>
            <w:r>
              <w:rPr>
                <w:rFonts w:ascii="Calibri" w:hAnsi="Calibri"/>
                <w:b/>
                <w:color w:val="FFFFFF"/>
                <w:sz w:val="15"/>
              </w:rPr>
              <w:t>Step</w:t>
            </w:r>
          </w:p>
        </w:tc>
        <w:tc>
          <w:tcPr>
            <w:tcW w:type="dxa" w:w="3061"/>
            <w:shd w:val="clear" w:color="auto" w:fill="1F3864"/>
          </w:tcPr>
          <w:p>
            <w:pPr>
              <w:spacing w:after="0" w:line="240" w:lineRule="auto"/>
              <w:jc w:val="left"/>
            </w:pPr>
            <w:r/>
            <w:r>
              <w:rPr>
                <w:rFonts w:ascii="Calibri" w:hAnsi="Calibri"/>
                <w:b/>
                <w:color w:val="FFFFFF"/>
                <w:sz w:val="15"/>
              </w:rPr>
              <w:t>Definition</w:t>
            </w:r>
          </w:p>
        </w:tc>
        <w:tc>
          <w:tcPr>
            <w:tcW w:type="dxa" w:w="2835"/>
            <w:shd w:val="clear" w:color="auto" w:fill="1F3864"/>
          </w:tcPr>
          <w:p>
            <w:pPr>
              <w:spacing w:after="0" w:line="240" w:lineRule="auto"/>
              <w:jc w:val="left"/>
            </w:pPr>
            <w:r/>
            <w:r>
              <w:rPr>
                <w:rFonts w:ascii="Calibri" w:hAnsi="Calibri"/>
                <w:b/>
                <w:color w:val="FFFFFF"/>
                <w:sz w:val="15"/>
              </w:rPr>
              <w:t>Working</w:t>
            </w:r>
          </w:p>
        </w:tc>
        <w:tc>
          <w:tcPr>
            <w:tcW w:type="dxa" w:w="2041"/>
            <w:shd w:val="clear" w:color="auto" w:fill="1F3864"/>
          </w:tcPr>
          <w:p>
            <w:pPr>
              <w:spacing w:after="0" w:line="240" w:lineRule="auto"/>
              <w:jc w:val="left"/>
            </w:pPr>
            <w:r/>
            <w:r>
              <w:rPr>
                <w:rFonts w:ascii="Calibri" w:hAnsi="Calibri"/>
                <w:b/>
                <w:color w:val="FFFFFF"/>
                <w:sz w:val="15"/>
              </w:rPr>
              <w:t>Result</w:t>
            </w:r>
          </w:p>
        </w:tc>
      </w:tr>
      <w:tr>
        <w:trPr>
          <w:cantSplit w:val="true"/>
        </w:trPr>
        <w:tc>
          <w:tcPr>
            <w:tcW w:type="dxa" w:w="1474"/>
          </w:tcPr>
          <w:p>
            <w:pPr>
              <w:spacing w:after="0" w:line="240" w:lineRule="auto"/>
              <w:jc w:val="left"/>
            </w:pPr>
            <w:r/>
            <w:r>
              <w:rPr>
                <w:rFonts w:ascii="Calibri" w:hAnsi="Calibri"/>
                <w:b w:val="0"/>
                <w:sz w:val="15"/>
              </w:rPr>
              <w:t>TAM (India)</w:t>
            </w:r>
          </w:p>
        </w:tc>
        <w:tc>
          <w:tcPr>
            <w:tcW w:type="dxa" w:w="3061"/>
          </w:tcPr>
          <w:p>
            <w:pPr>
              <w:spacing w:after="0" w:line="240" w:lineRule="auto"/>
              <w:jc w:val="left"/>
            </w:pPr>
            <w:r/>
            <w:r>
              <w:rPr>
                <w:rFonts w:ascii="Calibri" w:hAnsi="Calibri"/>
                <w:b w:val="0"/>
                <w:sz w:val="15"/>
              </w:rPr>
              <w:t>Urban households addressable by a source-segregation device</w:t>
            </w:r>
          </w:p>
        </w:tc>
        <w:tc>
          <w:tcPr>
            <w:tcW w:type="dxa" w:w="2835"/>
          </w:tcPr>
          <w:p>
            <w:pPr>
              <w:spacing w:after="0" w:line="240" w:lineRule="auto"/>
              <w:jc w:val="left"/>
            </w:pPr>
            <w:r/>
            <w:r>
              <w:rPr>
                <w:rFonts w:ascii="Calibri" w:hAnsi="Calibri"/>
                <w:b w:val="0"/>
                <w:sz w:val="15"/>
              </w:rPr>
              <w:t>≈525 M urban ÷ 4.4 persons/household</w:t>
            </w:r>
          </w:p>
        </w:tc>
        <w:tc>
          <w:tcPr>
            <w:tcW w:type="dxa" w:w="2041"/>
          </w:tcPr>
          <w:p>
            <w:pPr>
              <w:spacing w:after="0" w:line="240" w:lineRule="auto"/>
              <w:jc w:val="left"/>
            </w:pPr>
            <w:r/>
            <w:r>
              <w:rPr>
                <w:rFonts w:ascii="Calibri" w:hAnsi="Calibri"/>
                <w:b w:val="0"/>
                <w:sz w:val="15"/>
              </w:rPr>
              <w:t>≈119 million households</w:t>
            </w:r>
          </w:p>
        </w:tc>
      </w:tr>
      <w:tr>
        <w:trPr>
          <w:cantSplit w:val="true"/>
        </w:trPr>
        <w:tc>
          <w:tcPr>
            <w:tcW w:type="dxa" w:w="1474"/>
            <w:shd w:val="clear" w:color="auto" w:fill="EEF1F7"/>
          </w:tcPr>
          <w:p>
            <w:pPr>
              <w:spacing w:after="0" w:line="240" w:lineRule="auto"/>
              <w:jc w:val="left"/>
            </w:pPr>
            <w:r/>
            <w:r>
              <w:rPr>
                <w:rFonts w:ascii="Calibri" w:hAnsi="Calibri"/>
                <w:b w:val="0"/>
                <w:sz w:val="15"/>
              </w:rPr>
              <w:t>SAM (Tamil Nadu)</w:t>
            </w:r>
          </w:p>
        </w:tc>
        <w:tc>
          <w:tcPr>
            <w:tcW w:type="dxa" w:w="3061"/>
            <w:shd w:val="clear" w:color="auto" w:fill="EEF1F7"/>
          </w:tcPr>
          <w:p>
            <w:pPr>
              <w:spacing w:after="0" w:line="240" w:lineRule="auto"/>
              <w:jc w:val="left"/>
            </w:pPr>
            <w:r/>
            <w:r>
              <w:rPr>
                <w:rFonts w:ascii="Calibri" w:hAnsi="Calibri"/>
                <w:b w:val="0"/>
                <w:sz w:val="15"/>
              </w:rPr>
              <w:t>Urban households in TN</w:t>
            </w:r>
          </w:p>
        </w:tc>
        <w:tc>
          <w:tcPr>
            <w:tcW w:type="dxa" w:w="2835"/>
            <w:shd w:val="clear" w:color="auto" w:fill="EEF1F7"/>
          </w:tcPr>
          <w:p>
            <w:pPr>
              <w:spacing w:after="0" w:line="240" w:lineRule="auto"/>
              <w:jc w:val="left"/>
            </w:pPr>
            <w:r/>
            <w:r>
              <w:rPr>
                <w:rFonts w:ascii="Calibri" w:hAnsi="Calibri"/>
                <w:b w:val="0"/>
                <w:sz w:val="15"/>
              </w:rPr>
              <w:t>34.9 M urban (2011 census) ÷ 4.0</w:t>
            </w:r>
          </w:p>
        </w:tc>
        <w:tc>
          <w:tcPr>
            <w:tcW w:type="dxa" w:w="2041"/>
            <w:shd w:val="clear" w:color="auto" w:fill="EEF1F7"/>
          </w:tcPr>
          <w:p>
            <w:pPr>
              <w:spacing w:after="0" w:line="240" w:lineRule="auto"/>
              <w:jc w:val="left"/>
            </w:pPr>
            <w:r/>
            <w:r>
              <w:rPr>
                <w:rFonts w:ascii="Calibri" w:hAnsi="Calibri"/>
                <w:b w:val="0"/>
                <w:sz w:val="15"/>
              </w:rPr>
              <w:t>≈8.7 million households</w:t>
            </w:r>
          </w:p>
        </w:tc>
      </w:tr>
      <w:tr>
        <w:trPr>
          <w:cantSplit w:val="true"/>
        </w:trPr>
        <w:tc>
          <w:tcPr>
            <w:tcW w:type="dxa" w:w="1474"/>
          </w:tcPr>
          <w:p>
            <w:pPr>
              <w:spacing w:after="0" w:line="240" w:lineRule="auto"/>
              <w:jc w:val="left"/>
            </w:pPr>
            <w:r/>
            <w:r>
              <w:rPr>
                <w:rFonts w:ascii="Calibri" w:hAnsi="Calibri"/>
                <w:b w:val="0"/>
                <w:sz w:val="15"/>
              </w:rPr>
              <w:t>SOM (Chennai)</w:t>
            </w:r>
          </w:p>
        </w:tc>
        <w:tc>
          <w:tcPr>
            <w:tcW w:type="dxa" w:w="3061"/>
          </w:tcPr>
          <w:p>
            <w:pPr>
              <w:spacing w:after="0" w:line="240" w:lineRule="auto"/>
              <w:jc w:val="left"/>
            </w:pPr>
            <w:r/>
            <w:r>
              <w:rPr>
                <w:rFonts w:ascii="Calibri" w:hAnsi="Calibri"/>
                <w:b w:val="0"/>
                <w:sz w:val="15"/>
              </w:rPr>
              <w:t>Chennai households × realistic 5-yr penetration</w:t>
            </w:r>
          </w:p>
        </w:tc>
        <w:tc>
          <w:tcPr>
            <w:tcW w:type="dxa" w:w="2835"/>
          </w:tcPr>
          <w:p>
            <w:pPr>
              <w:spacing w:after="0" w:line="240" w:lineRule="auto"/>
              <w:jc w:val="left"/>
            </w:pPr>
            <w:r/>
            <w:r>
              <w:rPr>
                <w:rFonts w:ascii="Calibri" w:hAnsi="Calibri"/>
                <w:b w:val="0"/>
                <w:sz w:val="15"/>
              </w:rPr>
              <w:t>1.35 M × 3%</w:t>
            </w:r>
          </w:p>
        </w:tc>
        <w:tc>
          <w:tcPr>
            <w:tcW w:type="dxa" w:w="2041"/>
          </w:tcPr>
          <w:p>
            <w:pPr>
              <w:spacing w:after="0" w:line="240" w:lineRule="auto"/>
              <w:jc w:val="left"/>
            </w:pPr>
            <w:r/>
            <w:r>
              <w:rPr>
                <w:rFonts w:ascii="Calibri" w:hAnsi="Calibri"/>
                <w:b w:val="0"/>
                <w:sz w:val="15"/>
              </w:rPr>
              <w:t>≈40,000 units</w:t>
            </w:r>
          </w:p>
        </w:tc>
      </w:tr>
      <w:tr>
        <w:trPr>
          <w:cantSplit w:val="true"/>
        </w:trPr>
        <w:tc>
          <w:tcPr>
            <w:tcW w:type="dxa" w:w="1474"/>
            <w:shd w:val="clear" w:color="auto" w:fill="EEF1F7"/>
          </w:tcPr>
          <w:p>
            <w:pPr>
              <w:spacing w:after="0" w:line="240" w:lineRule="auto"/>
              <w:jc w:val="left"/>
            </w:pPr>
            <w:r/>
            <w:r>
              <w:rPr>
                <w:rFonts w:ascii="Calibri" w:hAnsi="Calibri"/>
                <w:b w:val="0"/>
                <w:sz w:val="15"/>
              </w:rPr>
              <w:t>Value</w:t>
            </w:r>
          </w:p>
        </w:tc>
        <w:tc>
          <w:tcPr>
            <w:tcW w:type="dxa" w:w="3061"/>
            <w:shd w:val="clear" w:color="auto" w:fill="EEF1F7"/>
          </w:tcPr>
          <w:p>
            <w:pPr>
              <w:spacing w:after="0" w:line="240" w:lineRule="auto"/>
              <w:jc w:val="left"/>
            </w:pPr>
            <w:r/>
            <w:r>
              <w:rPr>
                <w:rFonts w:ascii="Calibri" w:hAnsi="Calibri"/>
                <w:b w:val="0"/>
                <w:sz w:val="15"/>
              </w:rPr>
              <w:t>SOM × unit price</w:t>
            </w:r>
          </w:p>
        </w:tc>
        <w:tc>
          <w:tcPr>
            <w:tcW w:type="dxa" w:w="2835"/>
            <w:shd w:val="clear" w:color="auto" w:fill="EEF1F7"/>
          </w:tcPr>
          <w:p>
            <w:pPr>
              <w:spacing w:after="0" w:line="240" w:lineRule="auto"/>
              <w:jc w:val="left"/>
            </w:pPr>
            <w:r/>
            <w:r>
              <w:rPr>
                <w:rFonts w:ascii="Calibri" w:hAnsi="Calibri"/>
                <w:b w:val="0"/>
                <w:sz w:val="15"/>
              </w:rPr>
              <w:t>40,000 × ₹25,000</w:t>
            </w:r>
          </w:p>
        </w:tc>
        <w:tc>
          <w:tcPr>
            <w:tcW w:type="dxa" w:w="2041"/>
            <w:shd w:val="clear" w:color="auto" w:fill="EEF1F7"/>
          </w:tcPr>
          <w:p>
            <w:pPr>
              <w:spacing w:after="0" w:line="240" w:lineRule="auto"/>
              <w:jc w:val="left"/>
            </w:pPr>
            <w:r/>
            <w:r>
              <w:rPr>
                <w:rFonts w:ascii="Calibri" w:hAnsi="Calibri"/>
                <w:b w:val="0"/>
                <w:sz w:val="15"/>
              </w:rPr>
              <w:t>≈₹100 crore addressable in Chennai</w:t>
            </w:r>
          </w:p>
        </w:tc>
      </w:tr>
    </w:tbl>
    <w:p>
      <w:pPr>
        <w:keepNext/>
        <w:spacing w:before="160" w:after="60"/>
        <w:jc w:val="left"/>
      </w:pPr>
      <w:r>
        <w:rPr>
          <w:rFonts w:ascii="Calibri" w:hAnsi="Calibri"/>
          <w:b/>
          <w:color w:val="1F3864"/>
          <w:sz w:val="18"/>
        </w:rPr>
        <w:t>Table 6.3 — Illustrative bottom-up sizing. Substitute your own penetration assumption and state its basis.</w:t>
      </w:r>
    </w:p>
    <w:p>
      <w:pPr>
        <w:spacing w:before="40" w:after="160"/>
        <w:jc w:val="left"/>
      </w:pPr>
      <w:r>
        <w:rPr>
          <w:rFonts w:ascii="Calibri" w:hAnsi="Calibri"/>
          <w:i/>
          <w:color w:val="404040"/>
          <w:sz w:val="16"/>
        </w:rPr>
        <w:t>The 3% penetration used above is a placeholder to demonstrate the method — it must be replaced by a value you can defend from your own survey, and the survey table must carry n, method, place and date.</w:t>
      </w:r>
    </w:p>
    <w:p>
      <w:r>
        <w:br w:type="page"/>
      </w:r>
    </w:p>
    <w:p>
      <w:pPr>
        <w:keepNext/>
        <w:spacing w:before="200" w:after="120"/>
        <w:jc w:val="left"/>
        <w:pBdr>
          <w:bottom w:val="single" w:sz="8" w:space="2" w:color="1F3864"/>
        </w:pBdr>
      </w:pPr>
      <w:r>
        <w:rPr>
          <w:rFonts w:ascii="Times New Roman" w:hAnsi="Times New Roman"/>
          <w:b/>
          <w:color w:val="1F3864"/>
          <w:sz w:val="26"/>
        </w:rPr>
        <w:t>7. FINANCIAL PLAN — THE NUMBERS DO NOT RECONCILE</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510"/>
        <w:gridCol w:w="1587"/>
        <w:gridCol w:w="2438"/>
        <w:gridCol w:w="2608"/>
        <w:gridCol w:w="2268"/>
      </w:tblGrid>
      <w:tr>
        <w:trPr>
          <w:tblHeader w:val="true"/>
          <w:cantSplit w:val="true"/>
        </w:trPr>
        <w:tc>
          <w:tcPr>
            <w:tcW w:type="dxa" w:w="510"/>
            <w:shd w:val="clear" w:color="auto" w:fill="1F3864"/>
          </w:tcPr>
          <w:p>
            <w:pPr>
              <w:spacing w:after="0" w:line="240" w:lineRule="auto"/>
              <w:jc w:val="left"/>
            </w:pPr>
            <w:r/>
            <w:r>
              <w:rPr>
                <w:rFonts w:ascii="Calibri" w:hAnsi="Calibri"/>
                <w:b/>
                <w:color w:val="FFFFFF"/>
                <w:sz w:val="14"/>
              </w:rPr>
              <w:t>ID</w:t>
            </w:r>
          </w:p>
        </w:tc>
        <w:tc>
          <w:tcPr>
            <w:tcW w:type="dxa" w:w="1587"/>
            <w:shd w:val="clear" w:color="auto" w:fill="1F3864"/>
          </w:tcPr>
          <w:p>
            <w:pPr>
              <w:spacing w:after="0" w:line="240" w:lineRule="auto"/>
              <w:jc w:val="left"/>
            </w:pPr>
            <w:r/>
            <w:r>
              <w:rPr>
                <w:rFonts w:ascii="Calibri" w:hAnsi="Calibri"/>
                <w:b/>
                <w:color w:val="FFFFFF"/>
                <w:sz w:val="14"/>
              </w:rPr>
              <w:t>Line</w:t>
            </w:r>
          </w:p>
        </w:tc>
        <w:tc>
          <w:tcPr>
            <w:tcW w:type="dxa" w:w="2438"/>
            <w:shd w:val="clear" w:color="auto" w:fill="1F3864"/>
          </w:tcPr>
          <w:p>
            <w:pPr>
              <w:spacing w:after="0" w:line="240" w:lineRule="auto"/>
              <w:jc w:val="left"/>
            </w:pPr>
            <w:r/>
            <w:r>
              <w:rPr>
                <w:rFonts w:ascii="Calibri" w:hAnsi="Calibri"/>
                <w:b/>
                <w:color w:val="FFFFFF"/>
                <w:sz w:val="14"/>
              </w:rPr>
              <w:t>As stated</w:t>
            </w:r>
          </w:p>
        </w:tc>
        <w:tc>
          <w:tcPr>
            <w:tcW w:type="dxa" w:w="2608"/>
            <w:shd w:val="clear" w:color="auto" w:fill="1F3864"/>
          </w:tcPr>
          <w:p>
            <w:pPr>
              <w:spacing w:after="0" w:line="240" w:lineRule="auto"/>
              <w:jc w:val="left"/>
            </w:pPr>
            <w:r/>
            <w:r>
              <w:rPr>
                <w:rFonts w:ascii="Calibri" w:hAnsi="Calibri"/>
                <w:b/>
                <w:color w:val="FFFFFF"/>
                <w:sz w:val="14"/>
              </w:rPr>
              <w:t>Check</w:t>
            </w:r>
          </w:p>
        </w:tc>
        <w:tc>
          <w:tcPr>
            <w:tcW w:type="dxa" w:w="2268"/>
            <w:shd w:val="clear" w:color="auto" w:fill="1F3864"/>
          </w:tcPr>
          <w:p>
            <w:pPr>
              <w:spacing w:after="0" w:line="240" w:lineRule="auto"/>
              <w:jc w:val="left"/>
            </w:pPr>
            <w:r/>
            <w:r>
              <w:rPr>
                <w:rFonts w:ascii="Calibri" w:hAnsi="Calibri"/>
                <w:b/>
                <w:color w:val="FFFFFF"/>
                <w:sz w:val="14"/>
              </w:rPr>
              <w:t>Required correction</w:t>
            </w:r>
          </w:p>
        </w:tc>
      </w:tr>
      <w:tr>
        <w:trPr>
          <w:cantSplit w:val="true"/>
        </w:trPr>
        <w:tc>
          <w:tcPr>
            <w:tcW w:type="dxa" w:w="510"/>
          </w:tcPr>
          <w:p>
            <w:pPr>
              <w:spacing w:after="0" w:line="240" w:lineRule="auto"/>
              <w:jc w:val="left"/>
            </w:pPr>
            <w:r/>
            <w:r>
              <w:rPr>
                <w:rFonts w:ascii="Calibri" w:hAnsi="Calibri"/>
                <w:b w:val="0"/>
                <w:sz w:val="14"/>
              </w:rPr>
              <w:t>D-1</w:t>
            </w:r>
          </w:p>
        </w:tc>
        <w:tc>
          <w:tcPr>
            <w:tcW w:type="dxa" w:w="1587"/>
          </w:tcPr>
          <w:p>
            <w:pPr>
              <w:spacing w:after="0" w:line="240" w:lineRule="auto"/>
              <w:jc w:val="left"/>
            </w:pPr>
            <w:r/>
            <w:r>
              <w:rPr>
                <w:rFonts w:ascii="Calibri" w:hAnsi="Calibri"/>
                <w:b w:val="0"/>
                <w:sz w:val="14"/>
              </w:rPr>
              <w:t>Year-1 revenue</w:t>
            </w:r>
          </w:p>
        </w:tc>
        <w:tc>
          <w:tcPr>
            <w:tcW w:type="dxa" w:w="2438"/>
          </w:tcPr>
          <w:p>
            <w:pPr>
              <w:spacing w:after="0" w:line="240" w:lineRule="auto"/>
              <w:jc w:val="left"/>
            </w:pPr>
            <w:r/>
            <w:r>
              <w:rPr>
                <w:rFonts w:ascii="Calibri" w:hAnsi="Calibri"/>
                <w:b w:val="0"/>
                <w:sz w:val="14"/>
              </w:rPr>
              <w:t>₹6,90,000 [9.1] vs ₹2,01,50,000 [9.2]</w:t>
            </w:r>
          </w:p>
        </w:tc>
        <w:tc>
          <w:tcPr>
            <w:tcW w:type="dxa" w:w="2608"/>
          </w:tcPr>
          <w:p>
            <w:pPr>
              <w:spacing w:after="0" w:line="240" w:lineRule="auto"/>
              <w:jc w:val="left"/>
            </w:pPr>
            <w:r/>
            <w:r>
              <w:rPr>
                <w:rFonts w:ascii="Calibri" w:hAnsi="Calibri"/>
                <w:b w:val="0"/>
                <w:sz w:val="14"/>
              </w:rPr>
              <w:t>Ratio 29.2× — same year, same chapter.</w:t>
            </w:r>
          </w:p>
        </w:tc>
        <w:tc>
          <w:tcPr>
            <w:tcW w:type="dxa" w:w="2268"/>
          </w:tcPr>
          <w:p>
            <w:pPr>
              <w:spacing w:after="0" w:line="240" w:lineRule="auto"/>
              <w:jc w:val="left"/>
            </w:pPr>
            <w:r/>
            <w:r>
              <w:rPr>
                <w:rFonts w:ascii="Calibri" w:hAnsi="Calibri"/>
                <w:b w:val="0"/>
                <w:sz w:val="14"/>
              </w:rPr>
              <w:t>One series only. Derive it: units sold × unit price (state both).</w:t>
            </w:r>
          </w:p>
        </w:tc>
      </w:tr>
      <w:tr>
        <w:trPr>
          <w:cantSplit w:val="true"/>
        </w:trPr>
        <w:tc>
          <w:tcPr>
            <w:tcW w:type="dxa" w:w="510"/>
            <w:shd w:val="clear" w:color="auto" w:fill="EEF1F7"/>
          </w:tcPr>
          <w:p>
            <w:pPr>
              <w:spacing w:after="0" w:line="240" w:lineRule="auto"/>
              <w:jc w:val="left"/>
            </w:pPr>
            <w:r/>
            <w:r>
              <w:rPr>
                <w:rFonts w:ascii="Calibri" w:hAnsi="Calibri"/>
                <w:b w:val="0"/>
                <w:sz w:val="14"/>
              </w:rPr>
              <w:t>D-2</w:t>
            </w:r>
          </w:p>
        </w:tc>
        <w:tc>
          <w:tcPr>
            <w:tcW w:type="dxa" w:w="1587"/>
            <w:shd w:val="clear" w:color="auto" w:fill="EEF1F7"/>
          </w:tcPr>
          <w:p>
            <w:pPr>
              <w:spacing w:after="0" w:line="240" w:lineRule="auto"/>
              <w:jc w:val="left"/>
            </w:pPr>
            <w:r/>
            <w:r>
              <w:rPr>
                <w:rFonts w:ascii="Calibri" w:hAnsi="Calibri"/>
                <w:b w:val="0"/>
                <w:sz w:val="14"/>
              </w:rPr>
              <w:t>Revenue trajectory</w:t>
            </w:r>
          </w:p>
        </w:tc>
        <w:tc>
          <w:tcPr>
            <w:tcW w:type="dxa" w:w="2438"/>
            <w:shd w:val="clear" w:color="auto" w:fill="EEF1F7"/>
          </w:tcPr>
          <w:p>
            <w:pPr>
              <w:spacing w:after="0" w:line="240" w:lineRule="auto"/>
              <w:jc w:val="left"/>
            </w:pPr>
            <w:r/>
            <w:r>
              <w:rPr>
                <w:rFonts w:ascii="Calibri" w:hAnsi="Calibri"/>
                <w:b w:val="0"/>
                <w:sz w:val="14"/>
              </w:rPr>
              <w:t>Y1 ₹2,01,50,000 → Y2 ₹2,45,70,000 → Y5 ₹1,50,93,839</w:t>
            </w:r>
          </w:p>
        </w:tc>
        <w:tc>
          <w:tcPr>
            <w:tcW w:type="dxa" w:w="2608"/>
            <w:shd w:val="clear" w:color="auto" w:fill="EEF1F7"/>
          </w:tcPr>
          <w:p>
            <w:pPr>
              <w:spacing w:after="0" w:line="240" w:lineRule="auto"/>
              <w:jc w:val="left"/>
            </w:pPr>
            <w:r/>
            <w:r>
              <w:rPr>
                <w:rFonts w:ascii="Calibri" w:hAnsi="Calibri"/>
                <w:b w:val="0"/>
                <w:sz w:val="14"/>
              </w:rPr>
              <w:t>Revenue falls 38.6% between Y2 and Y5 while the text claims “significant profitability from Year 3”.</w:t>
            </w:r>
          </w:p>
        </w:tc>
        <w:tc>
          <w:tcPr>
            <w:tcW w:type="dxa" w:w="2268"/>
            <w:shd w:val="clear" w:color="auto" w:fill="EEF1F7"/>
          </w:tcPr>
          <w:p>
            <w:pPr>
              <w:spacing w:after="0" w:line="240" w:lineRule="auto"/>
              <w:jc w:val="left"/>
            </w:pPr>
            <w:r/>
            <w:r>
              <w:rPr>
                <w:rFonts w:ascii="Calibri" w:hAnsi="Calibri"/>
                <w:b w:val="0"/>
                <w:sz w:val="14"/>
              </w:rPr>
              <w:t>Monotone growth, or an explicit reason for decline (e.g. hardware → subscription mix shift) shown in the table.</w:t>
            </w:r>
          </w:p>
        </w:tc>
      </w:tr>
      <w:tr>
        <w:trPr>
          <w:cantSplit w:val="true"/>
        </w:trPr>
        <w:tc>
          <w:tcPr>
            <w:tcW w:type="dxa" w:w="510"/>
          </w:tcPr>
          <w:p>
            <w:pPr>
              <w:spacing w:after="0" w:line="240" w:lineRule="auto"/>
              <w:jc w:val="left"/>
            </w:pPr>
            <w:r/>
            <w:r>
              <w:rPr>
                <w:rFonts w:ascii="Calibri" w:hAnsi="Calibri"/>
                <w:b w:val="0"/>
                <w:sz w:val="14"/>
              </w:rPr>
              <w:t>D-3</w:t>
            </w:r>
          </w:p>
        </w:tc>
        <w:tc>
          <w:tcPr>
            <w:tcW w:type="dxa" w:w="1587"/>
          </w:tcPr>
          <w:p>
            <w:pPr>
              <w:spacing w:after="0" w:line="240" w:lineRule="auto"/>
              <w:jc w:val="left"/>
            </w:pPr>
            <w:r/>
            <w:r>
              <w:rPr>
                <w:rFonts w:ascii="Calibri" w:hAnsi="Calibri"/>
                <w:b w:val="0"/>
                <w:sz w:val="14"/>
              </w:rPr>
              <w:t>Missing P&amp;L lines</w:t>
            </w:r>
          </w:p>
        </w:tc>
        <w:tc>
          <w:tcPr>
            <w:tcW w:type="dxa" w:w="2438"/>
          </w:tcPr>
          <w:p>
            <w:pPr>
              <w:spacing w:after="0" w:line="240" w:lineRule="auto"/>
              <w:jc w:val="left"/>
            </w:pPr>
            <w:r/>
            <w:r>
              <w:rPr>
                <w:rFonts w:ascii="Calibri" w:hAnsi="Calibri"/>
                <w:b w:val="0"/>
                <w:sz w:val="14"/>
              </w:rPr>
              <w:t>Revenue and net profit only</w:t>
            </w:r>
          </w:p>
        </w:tc>
        <w:tc>
          <w:tcPr>
            <w:tcW w:type="dxa" w:w="2608"/>
          </w:tcPr>
          <w:p>
            <w:pPr>
              <w:spacing w:after="0" w:line="240" w:lineRule="auto"/>
              <w:jc w:val="left"/>
            </w:pPr>
            <w:r/>
            <w:r>
              <w:rPr>
                <w:rFonts w:ascii="Calibri" w:hAnsi="Calibri"/>
                <w:b w:val="0"/>
                <w:sz w:val="14"/>
              </w:rPr>
              <w:t>No COGS, gross margin, opex, headcount, or units sold. Net profit cannot be audited.</w:t>
            </w:r>
          </w:p>
        </w:tc>
        <w:tc>
          <w:tcPr>
            <w:tcW w:type="dxa" w:w="2268"/>
          </w:tcPr>
          <w:p>
            <w:pPr>
              <w:spacing w:after="0" w:line="240" w:lineRule="auto"/>
              <w:jc w:val="left"/>
            </w:pPr>
            <w:r/>
            <w:r>
              <w:rPr>
                <w:rFonts w:ascii="Calibri" w:hAnsi="Calibri"/>
                <w:b w:val="0"/>
                <w:sz w:val="14"/>
              </w:rPr>
              <w:t>Full P&amp;L: revenue, COGS, gross profit, opex split, EBITDA, tax, PAT — 5 years.</w:t>
            </w:r>
          </w:p>
        </w:tc>
      </w:tr>
      <w:tr>
        <w:trPr>
          <w:cantSplit w:val="true"/>
        </w:trPr>
        <w:tc>
          <w:tcPr>
            <w:tcW w:type="dxa" w:w="510"/>
            <w:shd w:val="clear" w:color="auto" w:fill="EEF1F7"/>
          </w:tcPr>
          <w:p>
            <w:pPr>
              <w:spacing w:after="0" w:line="240" w:lineRule="auto"/>
              <w:jc w:val="left"/>
            </w:pPr>
            <w:r/>
            <w:r>
              <w:rPr>
                <w:rFonts w:ascii="Calibri" w:hAnsi="Calibri"/>
                <w:b w:val="0"/>
                <w:sz w:val="14"/>
              </w:rPr>
              <w:t>D-4</w:t>
            </w:r>
          </w:p>
        </w:tc>
        <w:tc>
          <w:tcPr>
            <w:tcW w:type="dxa" w:w="1587"/>
            <w:shd w:val="clear" w:color="auto" w:fill="EEF1F7"/>
          </w:tcPr>
          <w:p>
            <w:pPr>
              <w:spacing w:after="0" w:line="240" w:lineRule="auto"/>
              <w:jc w:val="left"/>
            </w:pPr>
            <w:r/>
            <w:r>
              <w:rPr>
                <w:rFonts w:ascii="Calibri" w:hAnsi="Calibri"/>
                <w:b w:val="0"/>
                <w:sz w:val="14"/>
              </w:rPr>
              <w:t>Break-even</w:t>
            </w:r>
          </w:p>
        </w:tc>
        <w:tc>
          <w:tcPr>
            <w:tcW w:type="dxa" w:w="2438"/>
            <w:shd w:val="clear" w:color="auto" w:fill="EEF1F7"/>
          </w:tcPr>
          <w:p>
            <w:pPr>
              <w:spacing w:after="0" w:line="240" w:lineRule="auto"/>
              <w:jc w:val="left"/>
            </w:pPr>
            <w:r/>
            <w:r>
              <w:rPr>
                <w:rFonts w:ascii="Calibri" w:hAnsi="Calibri"/>
                <w:b w:val="0"/>
                <w:sz w:val="14"/>
              </w:rPr>
              <w:t>“Expect to break even in Year 2” [9.3]</w:t>
            </w:r>
          </w:p>
        </w:tc>
        <w:tc>
          <w:tcPr>
            <w:tcW w:type="dxa" w:w="2608"/>
            <w:shd w:val="clear" w:color="auto" w:fill="EEF1F7"/>
          </w:tcPr>
          <w:p>
            <w:pPr>
              <w:spacing w:after="0" w:line="240" w:lineRule="auto"/>
              <w:jc w:val="left"/>
            </w:pPr>
            <w:r/>
            <w:r>
              <w:rPr>
                <w:rFonts w:ascii="Calibri" w:hAnsi="Calibri"/>
                <w:b w:val="0"/>
                <w:sz w:val="14"/>
              </w:rPr>
              <w:t>Y1 already shows ₹16.9 L net profit and Y2 ₹27.84 L. You cannot break even after two profitable years.</w:t>
            </w:r>
          </w:p>
        </w:tc>
        <w:tc>
          <w:tcPr>
            <w:tcW w:type="dxa" w:w="2268"/>
            <w:shd w:val="clear" w:color="auto" w:fill="EEF1F7"/>
          </w:tcPr>
          <w:p>
            <w:pPr>
              <w:spacing w:after="0" w:line="240" w:lineRule="auto"/>
              <w:jc w:val="left"/>
            </w:pPr>
            <w:r/>
            <w:r>
              <w:rPr>
                <w:rFonts w:ascii="Calibri" w:hAnsi="Calibri"/>
                <w:b w:val="0"/>
                <w:sz w:val="14"/>
              </w:rPr>
              <w:t>Compute cumulative cash flow and show the month it turns positive.</w:t>
            </w:r>
          </w:p>
        </w:tc>
      </w:tr>
      <w:tr>
        <w:trPr>
          <w:cantSplit w:val="true"/>
        </w:trPr>
        <w:tc>
          <w:tcPr>
            <w:tcW w:type="dxa" w:w="510"/>
          </w:tcPr>
          <w:p>
            <w:pPr>
              <w:spacing w:after="0" w:line="240" w:lineRule="auto"/>
              <w:jc w:val="left"/>
            </w:pPr>
            <w:r/>
            <w:r>
              <w:rPr>
                <w:rFonts w:ascii="Calibri" w:hAnsi="Calibri"/>
                <w:b w:val="0"/>
                <w:sz w:val="14"/>
              </w:rPr>
              <w:t>D-5</w:t>
            </w:r>
          </w:p>
        </w:tc>
        <w:tc>
          <w:tcPr>
            <w:tcW w:type="dxa" w:w="1587"/>
          </w:tcPr>
          <w:p>
            <w:pPr>
              <w:spacing w:after="0" w:line="240" w:lineRule="auto"/>
              <w:jc w:val="left"/>
            </w:pPr>
            <w:r/>
            <w:r>
              <w:rPr>
                <w:rFonts w:ascii="Calibri" w:hAnsi="Calibri"/>
                <w:b w:val="0"/>
                <w:sz w:val="14"/>
              </w:rPr>
              <w:t>Capital ask</w:t>
            </w:r>
          </w:p>
        </w:tc>
        <w:tc>
          <w:tcPr>
            <w:tcW w:type="dxa" w:w="2438"/>
          </w:tcPr>
          <w:p>
            <w:pPr>
              <w:spacing w:after="0" w:line="240" w:lineRule="auto"/>
              <w:jc w:val="left"/>
            </w:pPr>
            <w:r/>
            <w:r>
              <w:rPr>
                <w:rFonts w:ascii="Calibri" w:hAnsi="Calibri"/>
                <w:b w:val="0"/>
                <w:sz w:val="14"/>
              </w:rPr>
              <w:t>Startup cost ₹8,00,000 [9.1]; seed ask ₹5,00,000 for 18 months [9.5]</w:t>
            </w:r>
          </w:p>
        </w:tc>
        <w:tc>
          <w:tcPr>
            <w:tcW w:type="dxa" w:w="2608"/>
          </w:tcPr>
          <w:p>
            <w:pPr>
              <w:spacing w:after="0" w:line="240" w:lineRule="auto"/>
              <w:jc w:val="left"/>
            </w:pPr>
            <w:r/>
            <w:r>
              <w:rPr>
                <w:rFonts w:ascii="Calibri" w:hAnsi="Calibri"/>
                <w:b w:val="0"/>
                <w:sz w:val="14"/>
              </w:rPr>
              <w:t>Shortfall ₹3,00,000 (37.5%). ₹5 L over 18 months = ₹27,778/month for R&amp;D + marketing + ops — less than one engineer.</w:t>
            </w:r>
          </w:p>
        </w:tc>
        <w:tc>
          <w:tcPr>
            <w:tcW w:type="dxa" w:w="2268"/>
          </w:tcPr>
          <w:p>
            <w:pPr>
              <w:spacing w:after="0" w:line="240" w:lineRule="auto"/>
              <w:jc w:val="left"/>
            </w:pPr>
            <w:r/>
            <w:r>
              <w:rPr>
                <w:rFonts w:ascii="Calibri" w:hAnsi="Calibri"/>
                <w:b w:val="0"/>
                <w:sz w:val="14"/>
              </w:rPr>
              <w:t>Make the ask ≥ startup cost, or re-scope. Show a monthly cash-flow statement for 18 months.</w:t>
            </w:r>
          </w:p>
        </w:tc>
      </w:tr>
      <w:tr>
        <w:trPr>
          <w:cantSplit w:val="true"/>
        </w:trPr>
        <w:tc>
          <w:tcPr>
            <w:tcW w:type="dxa" w:w="510"/>
            <w:shd w:val="clear" w:color="auto" w:fill="EEF1F7"/>
          </w:tcPr>
          <w:p>
            <w:pPr>
              <w:spacing w:after="0" w:line="240" w:lineRule="auto"/>
              <w:jc w:val="left"/>
            </w:pPr>
            <w:r/>
            <w:r>
              <w:rPr>
                <w:rFonts w:ascii="Calibri" w:hAnsi="Calibri"/>
                <w:b w:val="0"/>
                <w:sz w:val="14"/>
              </w:rPr>
              <w:t>D-6</w:t>
            </w:r>
          </w:p>
        </w:tc>
        <w:tc>
          <w:tcPr>
            <w:tcW w:type="dxa" w:w="1587"/>
            <w:shd w:val="clear" w:color="auto" w:fill="EEF1F7"/>
          </w:tcPr>
          <w:p>
            <w:pPr>
              <w:spacing w:after="0" w:line="240" w:lineRule="auto"/>
              <w:jc w:val="left"/>
            </w:pPr>
            <w:r/>
            <w:r>
              <w:rPr>
                <w:rFonts w:ascii="Calibri" w:hAnsi="Calibri"/>
                <w:b w:val="0"/>
                <w:sz w:val="14"/>
              </w:rPr>
              <w:t>Unit economics</w:t>
            </w:r>
          </w:p>
        </w:tc>
        <w:tc>
          <w:tcPr>
            <w:tcW w:type="dxa" w:w="2438"/>
            <w:shd w:val="clear" w:color="auto" w:fill="EEF1F7"/>
          </w:tcPr>
          <w:p>
            <w:pPr>
              <w:spacing w:after="0" w:line="240" w:lineRule="auto"/>
              <w:jc w:val="left"/>
            </w:pPr>
            <w:r/>
            <w:r>
              <w:rPr>
                <w:rFonts w:ascii="Calibri" w:hAnsi="Calibri"/>
                <w:b w:val="0"/>
                <w:sz w:val="14"/>
              </w:rPr>
              <w:t>CAC ₹3,871; CLV ₹6,200; payback 6 months [9.4]</w:t>
            </w:r>
          </w:p>
        </w:tc>
        <w:tc>
          <w:tcPr>
            <w:tcW w:type="dxa" w:w="2608"/>
            <w:shd w:val="clear" w:color="auto" w:fill="EEF1F7"/>
          </w:tcPr>
          <w:p>
            <w:pPr>
              <w:spacing w:after="0" w:line="240" w:lineRule="auto"/>
              <w:jc w:val="left"/>
            </w:pPr>
            <w:r/>
            <w:r>
              <w:rPr>
                <w:rFonts w:ascii="Calibri" w:hAnsi="Calibri"/>
                <w:b w:val="0"/>
                <w:sz w:val="14"/>
              </w:rPr>
              <w:t>CLV/CAC = 1.60 (healthy is ≥3.0). A 6-month payback implies ₹645/month gross margin per customer; at the stated $5/month basic plan (≈₹415) payback is 9.3 months even at 100% margin.</w:t>
            </w:r>
          </w:p>
        </w:tc>
        <w:tc>
          <w:tcPr>
            <w:tcW w:type="dxa" w:w="2268"/>
            <w:shd w:val="clear" w:color="auto" w:fill="EEF1F7"/>
          </w:tcPr>
          <w:p>
            <w:pPr>
              <w:spacing w:after="0" w:line="240" w:lineRule="auto"/>
              <w:jc w:val="left"/>
            </w:pPr>
            <w:r/>
            <w:r>
              <w:rPr>
                <w:rFonts w:ascii="Calibri" w:hAnsi="Calibri"/>
                <w:b w:val="0"/>
                <w:sz w:val="14"/>
              </w:rPr>
              <w:t>Recompute: payback = CAC ÷ (ARPU × gross margin %). If hardware is sold, include its margin in the payback.</w:t>
            </w:r>
          </w:p>
        </w:tc>
      </w:tr>
      <w:tr>
        <w:trPr>
          <w:cantSplit w:val="true"/>
        </w:trPr>
        <w:tc>
          <w:tcPr>
            <w:tcW w:type="dxa" w:w="510"/>
          </w:tcPr>
          <w:p>
            <w:pPr>
              <w:spacing w:after="0" w:line="240" w:lineRule="auto"/>
              <w:jc w:val="left"/>
            </w:pPr>
            <w:r/>
            <w:r>
              <w:rPr>
                <w:rFonts w:ascii="Calibri" w:hAnsi="Calibri"/>
                <w:b w:val="0"/>
                <w:sz w:val="14"/>
              </w:rPr>
              <w:t>D-7</w:t>
            </w:r>
          </w:p>
        </w:tc>
        <w:tc>
          <w:tcPr>
            <w:tcW w:type="dxa" w:w="1587"/>
          </w:tcPr>
          <w:p>
            <w:pPr>
              <w:spacing w:after="0" w:line="240" w:lineRule="auto"/>
              <w:jc w:val="left"/>
            </w:pPr>
            <w:r/>
            <w:r>
              <w:rPr>
                <w:rFonts w:ascii="Calibri" w:hAnsi="Calibri"/>
                <w:b w:val="0"/>
                <w:sz w:val="14"/>
              </w:rPr>
              <w:t>Currency</w:t>
            </w:r>
          </w:p>
        </w:tc>
        <w:tc>
          <w:tcPr>
            <w:tcW w:type="dxa" w:w="2438"/>
          </w:tcPr>
          <w:p>
            <w:pPr>
              <w:spacing w:after="0" w:line="240" w:lineRule="auto"/>
              <w:jc w:val="left"/>
            </w:pPr>
            <w:r/>
            <w:r>
              <w:rPr>
                <w:rFonts w:ascii="Calibri" w:hAnsi="Calibri"/>
                <w:b w:val="0"/>
                <w:sz w:val="14"/>
              </w:rPr>
              <w:t>$300 bin, $5 and $15 plans, ₹ costs</w:t>
            </w:r>
          </w:p>
        </w:tc>
        <w:tc>
          <w:tcPr>
            <w:tcW w:type="dxa" w:w="2608"/>
          </w:tcPr>
          <w:p>
            <w:pPr>
              <w:spacing w:after="0" w:line="240" w:lineRule="auto"/>
              <w:jc w:val="left"/>
            </w:pPr>
            <w:r/>
            <w:r>
              <w:rPr>
                <w:rFonts w:ascii="Calibri" w:hAnsi="Calibri"/>
                <w:b w:val="0"/>
                <w:sz w:val="14"/>
              </w:rPr>
              <w:t>Two currencies in one plan with no exchange-rate assumption.</w:t>
            </w:r>
          </w:p>
        </w:tc>
        <w:tc>
          <w:tcPr>
            <w:tcW w:type="dxa" w:w="2268"/>
          </w:tcPr>
          <w:p>
            <w:pPr>
              <w:spacing w:after="0" w:line="240" w:lineRule="auto"/>
              <w:jc w:val="left"/>
            </w:pPr>
            <w:r/>
            <w:r>
              <w:rPr>
                <w:rFonts w:ascii="Calibri" w:hAnsi="Calibri"/>
                <w:b w:val="0"/>
                <w:sz w:val="14"/>
              </w:rPr>
              <w:t>Quote in ₹ throughout, or state “USD at ₹83/$” once and use it consistently.</w:t>
            </w:r>
          </w:p>
        </w:tc>
      </w:tr>
      <w:tr>
        <w:trPr>
          <w:cantSplit w:val="true"/>
        </w:trPr>
        <w:tc>
          <w:tcPr>
            <w:tcW w:type="dxa" w:w="510"/>
            <w:shd w:val="clear" w:color="auto" w:fill="EEF1F7"/>
          </w:tcPr>
          <w:p>
            <w:pPr>
              <w:spacing w:after="0" w:line="240" w:lineRule="auto"/>
              <w:jc w:val="left"/>
            </w:pPr>
            <w:r/>
            <w:r>
              <w:rPr>
                <w:rFonts w:ascii="Calibri" w:hAnsi="Calibri"/>
                <w:b w:val="0"/>
                <w:sz w:val="14"/>
              </w:rPr>
              <w:t>D-8</w:t>
            </w:r>
          </w:p>
        </w:tc>
        <w:tc>
          <w:tcPr>
            <w:tcW w:type="dxa" w:w="1587"/>
            <w:shd w:val="clear" w:color="auto" w:fill="EEF1F7"/>
          </w:tcPr>
          <w:p>
            <w:pPr>
              <w:spacing w:after="0" w:line="240" w:lineRule="auto"/>
              <w:jc w:val="left"/>
            </w:pPr>
            <w:r/>
            <w:r>
              <w:rPr>
                <w:rFonts w:ascii="Calibri" w:hAnsi="Calibri"/>
                <w:b w:val="0"/>
                <w:sz w:val="14"/>
              </w:rPr>
              <w:t>BOM reality</w:t>
            </w:r>
          </w:p>
        </w:tc>
        <w:tc>
          <w:tcPr>
            <w:tcW w:type="dxa" w:w="2438"/>
            <w:shd w:val="clear" w:color="auto" w:fill="EEF1F7"/>
          </w:tcPr>
          <w:p>
            <w:pPr>
              <w:spacing w:after="0" w:line="240" w:lineRule="auto"/>
              <w:jc w:val="left"/>
            </w:pPr>
            <w:r/>
            <w:r>
              <w:rPr>
                <w:rFonts w:ascii="Calibri" w:hAnsi="Calibri"/>
                <w:b w:val="0"/>
                <w:sz w:val="14"/>
              </w:rPr>
              <w:t>Price “starts at $300” (≈₹24,900)</w:t>
            </w:r>
          </w:p>
        </w:tc>
        <w:tc>
          <w:tcPr>
            <w:tcW w:type="dxa" w:w="2608"/>
            <w:shd w:val="clear" w:color="auto" w:fill="EEF1F7"/>
          </w:tcPr>
          <w:p>
            <w:pPr>
              <w:spacing w:after="0" w:line="240" w:lineRule="auto"/>
              <w:jc w:val="left"/>
            </w:pPr>
            <w:r/>
            <w:r>
              <w:rPr>
                <w:rFonts w:ascii="Calibri" w:hAnsi="Calibri"/>
                <w:b w:val="0"/>
                <w:sz w:val="14"/>
              </w:rPr>
              <w:t>Raspberry Pi 4 4 GB ≈₹5,000; 5 MP camera ≈₹800; 6 sensor modules ≈₹2,500; NEMA 17 + DRV8825 ≈₹1,600; 12 V 7 Ah Li-ion + BMS ≈₹2,000; discs, HDPE bins, steel frame, 3D prints ≈₹5,000. Indicative BOM ≈₹17,000–19,000 before assembly and channel.</w:t>
            </w:r>
          </w:p>
        </w:tc>
        <w:tc>
          <w:tcPr>
            <w:tcW w:type="dxa" w:w="2268"/>
            <w:shd w:val="clear" w:color="auto" w:fill="EEF1F7"/>
          </w:tcPr>
          <w:p>
            <w:pPr>
              <w:spacing w:after="0" w:line="240" w:lineRule="auto"/>
              <w:jc w:val="left"/>
            </w:pPr>
            <w:r/>
            <w:r>
              <w:rPr>
                <w:rFonts w:ascii="Calibri" w:hAnsi="Calibri"/>
                <w:b w:val="0"/>
                <w:sz w:val="14"/>
              </w:rPr>
              <w:t>Publish the BOM with unit costs and a target gross margin. At ₹24,900 with a 40% channel margin the gross margin is thin — show the sensitivity.</w:t>
            </w:r>
          </w:p>
        </w:tc>
      </w:tr>
    </w:tbl>
    <w:p>
      <w:pPr>
        <w:keepNext/>
        <w:spacing w:before="160" w:after="60"/>
        <w:jc w:val="left"/>
      </w:pPr>
      <w:r>
        <w:rPr>
          <w:rFonts w:ascii="Calibri" w:hAnsi="Calibri"/>
          <w:b/>
          <w:color w:val="1F3864"/>
          <w:sz w:val="18"/>
        </w:rPr>
        <w:t>Table 7.1 — Financial inconsistencies.</w:t>
      </w:r>
    </w:p>
    <w:p>
      <w:pPr>
        <w:spacing w:before="40" w:after="160"/>
        <w:jc w:val="left"/>
      </w:pPr>
      <w:r>
        <w:rPr>
          <w:rFonts w:ascii="Calibri" w:hAnsi="Calibri"/>
          <w:i/>
          <w:color w:val="404040"/>
          <w:sz w:val="16"/>
        </w:rPr>
        <w:t>D-1 and D-4 are the two that a business-school reviewer will find first: a 29× discrepancy inside one chapter, and a break-even claim that contradicts two profitable years.</w:t>
      </w:r>
    </w:p>
    <w:p>
      <w:r>
        <w:br w:type="page"/>
      </w:r>
    </w:p>
    <w:p>
      <w:pPr>
        <w:keepNext/>
        <w:spacing w:before="200" w:after="120"/>
        <w:jc w:val="left"/>
        <w:pBdr>
          <w:bottom w:val="single" w:sz="8" w:space="2" w:color="1F3864"/>
        </w:pBdr>
      </w:pPr>
      <w:r>
        <w:rPr>
          <w:rFonts w:ascii="Times New Roman" w:hAnsi="Times New Roman"/>
          <w:b/>
          <w:color w:val="1F3864"/>
          <w:sz w:val="26"/>
        </w:rPr>
        <w:t>8. TEXT, REFERENCE AND FORMATTING ERRORS</w:t>
      </w:r>
    </w:p>
    <w:p>
      <w:pPr>
        <w:keepNext/>
        <w:spacing w:before="200" w:after="80"/>
        <w:jc w:val="left"/>
      </w:pPr>
      <w:r>
        <w:rPr>
          <w:b/>
          <w:color w:val="1F3864"/>
          <w:sz w:val="23"/>
        </w:rPr>
        <w:t>8.1 Editorial and consistency errors</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510"/>
        <w:gridCol w:w="1757"/>
        <w:gridCol w:w="3742"/>
        <w:gridCol w:w="3402"/>
      </w:tblGrid>
      <w:tr>
        <w:trPr>
          <w:tblHeader w:val="true"/>
          <w:cantSplit w:val="true"/>
        </w:trPr>
        <w:tc>
          <w:tcPr>
            <w:tcW w:type="dxa" w:w="510"/>
            <w:shd w:val="clear" w:color="auto" w:fill="1F3864"/>
          </w:tcPr>
          <w:p>
            <w:pPr>
              <w:spacing w:after="0" w:line="240" w:lineRule="auto"/>
              <w:jc w:val="left"/>
            </w:pPr>
            <w:r/>
            <w:r>
              <w:rPr>
                <w:rFonts w:ascii="Calibri" w:hAnsi="Calibri"/>
                <w:b/>
                <w:color w:val="FFFFFF"/>
                <w:sz w:val="14"/>
              </w:rPr>
              <w:t>ID</w:t>
            </w:r>
          </w:p>
        </w:tc>
        <w:tc>
          <w:tcPr>
            <w:tcW w:type="dxa" w:w="1757"/>
            <w:shd w:val="clear" w:color="auto" w:fill="1F3864"/>
          </w:tcPr>
          <w:p>
            <w:pPr>
              <w:spacing w:after="0" w:line="240" w:lineRule="auto"/>
              <w:jc w:val="left"/>
            </w:pPr>
            <w:r/>
            <w:r>
              <w:rPr>
                <w:rFonts w:ascii="Calibri" w:hAnsi="Calibri"/>
                <w:b/>
                <w:color w:val="FFFFFF"/>
                <w:sz w:val="14"/>
              </w:rPr>
              <w:t>Location</w:t>
            </w:r>
          </w:p>
        </w:tc>
        <w:tc>
          <w:tcPr>
            <w:tcW w:type="dxa" w:w="3742"/>
            <w:shd w:val="clear" w:color="auto" w:fill="1F3864"/>
          </w:tcPr>
          <w:p>
            <w:pPr>
              <w:spacing w:after="0" w:line="240" w:lineRule="auto"/>
              <w:jc w:val="left"/>
            </w:pPr>
            <w:r/>
            <w:r>
              <w:rPr>
                <w:rFonts w:ascii="Calibri" w:hAnsi="Calibri"/>
                <w:b/>
                <w:color w:val="FFFFFF"/>
                <w:sz w:val="14"/>
              </w:rPr>
              <w:t>As written</w:t>
            </w:r>
          </w:p>
        </w:tc>
        <w:tc>
          <w:tcPr>
            <w:tcW w:type="dxa" w:w="3402"/>
            <w:shd w:val="clear" w:color="auto" w:fill="1F3864"/>
          </w:tcPr>
          <w:p>
            <w:pPr>
              <w:spacing w:after="0" w:line="240" w:lineRule="auto"/>
              <w:jc w:val="left"/>
            </w:pPr>
            <w:r/>
            <w:r>
              <w:rPr>
                <w:rFonts w:ascii="Calibri" w:hAnsi="Calibri"/>
                <w:b/>
                <w:color w:val="FFFFFF"/>
                <w:sz w:val="14"/>
              </w:rPr>
              <w:t>Correction</w:t>
            </w:r>
          </w:p>
        </w:tc>
      </w:tr>
      <w:tr>
        <w:trPr>
          <w:cantSplit w:val="true"/>
        </w:trPr>
        <w:tc>
          <w:tcPr>
            <w:tcW w:type="dxa" w:w="510"/>
          </w:tcPr>
          <w:p>
            <w:pPr>
              <w:spacing w:after="0" w:line="240" w:lineRule="auto"/>
              <w:jc w:val="left"/>
            </w:pPr>
            <w:r/>
            <w:r>
              <w:rPr>
                <w:rFonts w:ascii="Calibri" w:hAnsi="Calibri"/>
                <w:b w:val="0"/>
                <w:sz w:val="14"/>
              </w:rPr>
              <w:t>E-1</w:t>
            </w:r>
          </w:p>
        </w:tc>
        <w:tc>
          <w:tcPr>
            <w:tcW w:type="dxa" w:w="1757"/>
          </w:tcPr>
          <w:p>
            <w:pPr>
              <w:spacing w:after="0" w:line="240" w:lineRule="auto"/>
              <w:jc w:val="left"/>
            </w:pPr>
            <w:r/>
            <w:r>
              <w:rPr>
                <w:rFonts w:ascii="Calibri" w:hAnsi="Calibri"/>
                <w:b w:val="0"/>
                <w:sz w:val="14"/>
              </w:rPr>
              <w:t>Report, Contents</w:t>
            </w:r>
          </w:p>
        </w:tc>
        <w:tc>
          <w:tcPr>
            <w:tcW w:type="dxa" w:w="3742"/>
          </w:tcPr>
          <w:p>
            <w:pPr>
              <w:spacing w:after="0" w:line="240" w:lineRule="auto"/>
              <w:jc w:val="left"/>
            </w:pPr>
            <w:r/>
            <w:r>
              <w:rPr>
                <w:rFonts w:ascii="Calibri" w:hAnsi="Calibri"/>
                <w:b w:val="0"/>
                <w:sz w:val="14"/>
              </w:rPr>
              <w:t>“7 DESIGN AND ARCHITECHTURE”</w:t>
            </w:r>
          </w:p>
        </w:tc>
        <w:tc>
          <w:tcPr>
            <w:tcW w:type="dxa" w:w="3402"/>
          </w:tcPr>
          <w:p>
            <w:pPr>
              <w:spacing w:after="0" w:line="240" w:lineRule="auto"/>
              <w:jc w:val="left"/>
            </w:pPr>
            <w:r/>
            <w:r>
              <w:rPr>
                <w:rFonts w:ascii="Calibri" w:hAnsi="Calibri"/>
                <w:b w:val="0"/>
                <w:sz w:val="14"/>
              </w:rPr>
              <w:t>ARCHITECTURE</w:t>
            </w:r>
          </w:p>
        </w:tc>
      </w:tr>
      <w:tr>
        <w:trPr>
          <w:cantSplit w:val="true"/>
        </w:trPr>
        <w:tc>
          <w:tcPr>
            <w:tcW w:type="dxa" w:w="510"/>
            <w:shd w:val="clear" w:color="auto" w:fill="EEF1F7"/>
          </w:tcPr>
          <w:p>
            <w:pPr>
              <w:spacing w:after="0" w:line="240" w:lineRule="auto"/>
              <w:jc w:val="left"/>
            </w:pPr>
            <w:r/>
            <w:r>
              <w:rPr>
                <w:rFonts w:ascii="Calibri" w:hAnsi="Calibri"/>
                <w:b w:val="0"/>
                <w:sz w:val="14"/>
              </w:rPr>
              <w:t>E-2</w:t>
            </w:r>
          </w:p>
        </w:tc>
        <w:tc>
          <w:tcPr>
            <w:tcW w:type="dxa" w:w="1757"/>
            <w:shd w:val="clear" w:color="auto" w:fill="EEF1F7"/>
          </w:tcPr>
          <w:p>
            <w:pPr>
              <w:spacing w:after="0" w:line="240" w:lineRule="auto"/>
              <w:jc w:val="left"/>
            </w:pPr>
            <w:r/>
            <w:r>
              <w:rPr>
                <w:rFonts w:ascii="Calibri" w:hAnsi="Calibri"/>
                <w:b w:val="0"/>
                <w:sz w:val="14"/>
              </w:rPr>
              <w:t>Report, Contents 5.2</w:t>
            </w:r>
          </w:p>
        </w:tc>
        <w:tc>
          <w:tcPr>
            <w:tcW w:type="dxa" w:w="3742"/>
            <w:shd w:val="clear" w:color="auto" w:fill="EEF1F7"/>
          </w:tcPr>
          <w:p>
            <w:pPr>
              <w:spacing w:after="0" w:line="240" w:lineRule="auto"/>
              <w:jc w:val="left"/>
            </w:pPr>
            <w:r/>
            <w:r>
              <w:rPr>
                <w:rFonts w:ascii="Calibri" w:hAnsi="Calibri"/>
                <w:b w:val="0"/>
                <w:sz w:val="14"/>
              </w:rPr>
              <w:t>“TARGET AUDIENCE AND CUSTOMER PERSONAL”</w:t>
            </w:r>
          </w:p>
        </w:tc>
        <w:tc>
          <w:tcPr>
            <w:tcW w:type="dxa" w:w="3402"/>
            <w:shd w:val="clear" w:color="auto" w:fill="EEF1F7"/>
          </w:tcPr>
          <w:p>
            <w:pPr>
              <w:spacing w:after="0" w:line="240" w:lineRule="auto"/>
              <w:jc w:val="left"/>
            </w:pPr>
            <w:r/>
            <w:r>
              <w:rPr>
                <w:rFonts w:ascii="Calibri" w:hAnsi="Calibri"/>
                <w:b w:val="0"/>
                <w:sz w:val="14"/>
              </w:rPr>
              <w:t>CUSTOMER PERSONA</w:t>
            </w:r>
          </w:p>
        </w:tc>
      </w:tr>
      <w:tr>
        <w:trPr>
          <w:cantSplit w:val="true"/>
        </w:trPr>
        <w:tc>
          <w:tcPr>
            <w:tcW w:type="dxa" w:w="510"/>
          </w:tcPr>
          <w:p>
            <w:pPr>
              <w:spacing w:after="0" w:line="240" w:lineRule="auto"/>
              <w:jc w:val="left"/>
            </w:pPr>
            <w:r/>
            <w:r>
              <w:rPr>
                <w:rFonts w:ascii="Calibri" w:hAnsi="Calibri"/>
                <w:b w:val="0"/>
                <w:sz w:val="14"/>
              </w:rPr>
              <w:t>E-3</w:t>
            </w:r>
          </w:p>
        </w:tc>
        <w:tc>
          <w:tcPr>
            <w:tcW w:type="dxa" w:w="1757"/>
          </w:tcPr>
          <w:p>
            <w:pPr>
              <w:spacing w:after="0" w:line="240" w:lineRule="auto"/>
              <w:jc w:val="left"/>
            </w:pPr>
            <w:r/>
            <w:r>
              <w:rPr>
                <w:rFonts w:ascii="Calibri" w:hAnsi="Calibri"/>
                <w:b w:val="0"/>
                <w:sz w:val="14"/>
              </w:rPr>
              <w:t>Report [5.2]</w:t>
            </w:r>
          </w:p>
        </w:tc>
        <w:tc>
          <w:tcPr>
            <w:tcW w:type="dxa" w:w="3742"/>
          </w:tcPr>
          <w:p>
            <w:pPr>
              <w:spacing w:after="0" w:line="240" w:lineRule="auto"/>
              <w:jc w:val="left"/>
            </w:pPr>
            <w:r/>
            <w:r>
              <w:rPr>
                <w:rFonts w:ascii="Calibri" w:hAnsi="Calibri"/>
                <w:b w:val="0"/>
                <w:sz w:val="14"/>
              </w:rPr>
              <w:t>Persona: “Sarah, 35, Owner of a retail business… struggles with cash flow, budgeting and timely financial reporting”</w:t>
            </w:r>
          </w:p>
        </w:tc>
        <w:tc>
          <w:tcPr>
            <w:tcW w:type="dxa" w:w="3402"/>
          </w:tcPr>
          <w:p>
            <w:pPr>
              <w:spacing w:after="0" w:line="240" w:lineRule="auto"/>
              <w:jc w:val="left"/>
            </w:pPr>
            <w:r/>
            <w:r>
              <w:rPr>
                <w:rFonts w:ascii="Calibri" w:hAnsi="Calibri"/>
                <w:b w:val="0"/>
                <w:sz w:val="14"/>
              </w:rPr>
              <w:t>Belongs to a fintech project. Replace with a waste-relevant persona: e.g. Secretary, 42, gated community of 180 flats, Chennai.</w:t>
            </w:r>
          </w:p>
        </w:tc>
      </w:tr>
      <w:tr>
        <w:trPr>
          <w:cantSplit w:val="true"/>
        </w:trPr>
        <w:tc>
          <w:tcPr>
            <w:tcW w:type="dxa" w:w="510"/>
            <w:shd w:val="clear" w:color="auto" w:fill="EEF1F7"/>
          </w:tcPr>
          <w:p>
            <w:pPr>
              <w:spacing w:after="0" w:line="240" w:lineRule="auto"/>
              <w:jc w:val="left"/>
            </w:pPr>
            <w:r/>
            <w:r>
              <w:rPr>
                <w:rFonts w:ascii="Calibri" w:hAnsi="Calibri"/>
                <w:b w:val="0"/>
                <w:sz w:val="14"/>
              </w:rPr>
              <w:t>E-4</w:t>
            </w:r>
          </w:p>
        </w:tc>
        <w:tc>
          <w:tcPr>
            <w:tcW w:type="dxa" w:w="1757"/>
            <w:shd w:val="clear" w:color="auto" w:fill="EEF1F7"/>
          </w:tcPr>
          <w:p>
            <w:pPr>
              <w:spacing w:after="0" w:line="240" w:lineRule="auto"/>
              <w:jc w:val="left"/>
            </w:pPr>
            <w:r/>
            <w:r>
              <w:rPr>
                <w:rFonts w:ascii="Calibri" w:hAnsi="Calibri"/>
                <w:b w:val="0"/>
                <w:sz w:val="14"/>
              </w:rPr>
              <w:t>Report [2.3]</w:t>
            </w:r>
          </w:p>
        </w:tc>
        <w:tc>
          <w:tcPr>
            <w:tcW w:type="dxa" w:w="3742"/>
            <w:shd w:val="clear" w:color="auto" w:fill="EEF1F7"/>
          </w:tcPr>
          <w:p>
            <w:pPr>
              <w:spacing w:after="0" w:line="240" w:lineRule="auto"/>
              <w:jc w:val="left"/>
            </w:pPr>
            <w:r/>
            <w:r>
              <w:rPr>
                <w:rFonts w:ascii="Calibri" w:hAnsi="Calibri"/>
                <w:b w:val="0"/>
                <w:sz w:val="14"/>
              </w:rPr>
              <w:t>“45% of businesses cite errors in manual financial reporting… 35% struggle with real-time financial insights”</w:t>
            </w:r>
          </w:p>
        </w:tc>
        <w:tc>
          <w:tcPr>
            <w:tcW w:type="dxa" w:w="3402"/>
            <w:shd w:val="clear" w:color="auto" w:fill="EEF1F7"/>
          </w:tcPr>
          <w:p>
            <w:pPr>
              <w:spacing w:after="0" w:line="240" w:lineRule="auto"/>
              <w:jc w:val="left"/>
            </w:pPr>
            <w:r/>
            <w:r>
              <w:rPr>
                <w:rFonts w:ascii="Calibri" w:hAnsi="Calibri"/>
                <w:b w:val="0"/>
                <w:sz w:val="14"/>
              </w:rPr>
              <w:t>Delete both bullets — they are about accounting software, not waste.</w:t>
            </w:r>
          </w:p>
        </w:tc>
      </w:tr>
      <w:tr>
        <w:trPr>
          <w:cantSplit w:val="true"/>
        </w:trPr>
        <w:tc>
          <w:tcPr>
            <w:tcW w:type="dxa" w:w="510"/>
          </w:tcPr>
          <w:p>
            <w:pPr>
              <w:spacing w:after="0" w:line="240" w:lineRule="auto"/>
              <w:jc w:val="left"/>
            </w:pPr>
            <w:r/>
            <w:r>
              <w:rPr>
                <w:rFonts w:ascii="Calibri" w:hAnsi="Calibri"/>
                <w:b w:val="0"/>
                <w:sz w:val="14"/>
              </w:rPr>
              <w:t>E-5</w:t>
            </w:r>
          </w:p>
        </w:tc>
        <w:tc>
          <w:tcPr>
            <w:tcW w:type="dxa" w:w="1757"/>
          </w:tcPr>
          <w:p>
            <w:pPr>
              <w:spacing w:after="0" w:line="240" w:lineRule="auto"/>
              <w:jc w:val="left"/>
            </w:pPr>
            <w:r/>
            <w:r>
              <w:rPr>
                <w:rFonts w:ascii="Calibri" w:hAnsi="Calibri"/>
                <w:b w:val="0"/>
                <w:sz w:val="14"/>
              </w:rPr>
              <w:t>Report, title/certificate</w:t>
            </w:r>
          </w:p>
        </w:tc>
        <w:tc>
          <w:tcPr>
            <w:tcW w:type="dxa" w:w="3742"/>
          </w:tcPr>
          <w:p>
            <w:pPr>
              <w:spacing w:after="0" w:line="240" w:lineRule="auto"/>
              <w:jc w:val="left"/>
            </w:pPr>
            <w:r/>
            <w:r>
              <w:rPr>
                <w:rFonts w:ascii="Calibri" w:hAnsi="Calibri"/>
                <w:b w:val="0"/>
                <w:sz w:val="14"/>
              </w:rPr>
              <w:t>“WASTE SEGREGATING SMART BIN (BIN GENIE)” / “(BINGENIE)”</w:t>
            </w:r>
          </w:p>
        </w:tc>
        <w:tc>
          <w:tcPr>
            <w:tcW w:type="dxa" w:w="3402"/>
          </w:tcPr>
          <w:p>
            <w:pPr>
              <w:spacing w:after="0" w:line="240" w:lineRule="auto"/>
              <w:jc w:val="left"/>
            </w:pPr>
            <w:r/>
            <w:r>
              <w:rPr>
                <w:rFonts w:ascii="Calibri" w:hAnsi="Calibri"/>
                <w:b w:val="0"/>
                <w:sz w:val="14"/>
              </w:rPr>
              <w:t>One spelling. Use “BinGenie” in running text and the full name once on the title page.</w:t>
            </w:r>
          </w:p>
        </w:tc>
      </w:tr>
      <w:tr>
        <w:trPr>
          <w:cantSplit w:val="true"/>
        </w:trPr>
        <w:tc>
          <w:tcPr>
            <w:tcW w:type="dxa" w:w="510"/>
            <w:shd w:val="clear" w:color="auto" w:fill="EEF1F7"/>
          </w:tcPr>
          <w:p>
            <w:pPr>
              <w:spacing w:after="0" w:line="240" w:lineRule="auto"/>
              <w:jc w:val="left"/>
            </w:pPr>
            <w:r/>
            <w:r>
              <w:rPr>
                <w:rFonts w:ascii="Calibri" w:hAnsi="Calibri"/>
                <w:b w:val="0"/>
                <w:sz w:val="14"/>
              </w:rPr>
              <w:t>E-6</w:t>
            </w:r>
          </w:p>
        </w:tc>
        <w:tc>
          <w:tcPr>
            <w:tcW w:type="dxa" w:w="1757"/>
            <w:shd w:val="clear" w:color="auto" w:fill="EEF1F7"/>
          </w:tcPr>
          <w:p>
            <w:pPr>
              <w:spacing w:after="0" w:line="240" w:lineRule="auto"/>
              <w:jc w:val="left"/>
            </w:pPr>
            <w:r/>
            <w:r>
              <w:rPr>
                <w:rFonts w:ascii="Calibri" w:hAnsi="Calibri"/>
                <w:b w:val="0"/>
                <w:sz w:val="14"/>
              </w:rPr>
              <w:t>Report, Abstract</w:t>
            </w:r>
          </w:p>
        </w:tc>
        <w:tc>
          <w:tcPr>
            <w:tcW w:type="dxa" w:w="3742"/>
            <w:shd w:val="clear" w:color="auto" w:fill="EEF1F7"/>
          </w:tcPr>
          <w:p>
            <w:pPr>
              <w:spacing w:after="0" w:line="240" w:lineRule="auto"/>
              <w:jc w:val="left"/>
            </w:pPr>
            <w:r/>
            <w:r>
              <w:rPr>
                <w:rFonts w:ascii="Calibri" w:hAnsi="Calibri"/>
                <w:b w:val="0"/>
                <w:sz w:val="14"/>
              </w:rPr>
              <w:t>“…classifying waste into wet, dry, and electronic categories” (3)</w:t>
            </w:r>
          </w:p>
        </w:tc>
        <w:tc>
          <w:tcPr>
            <w:tcW w:type="dxa" w:w="3402"/>
            <w:shd w:val="clear" w:color="auto" w:fill="EEF1F7"/>
          </w:tcPr>
          <w:p>
            <w:pPr>
              <w:spacing w:after="0" w:line="240" w:lineRule="auto"/>
              <w:jc w:val="left"/>
            </w:pPr>
            <w:r/>
            <w:r>
              <w:rPr>
                <w:rFonts w:ascii="Calibri" w:hAnsi="Calibri"/>
                <w:b w:val="0"/>
                <w:sz w:val="14"/>
              </w:rPr>
              <w:t>Four categories — add Residual/Unsorted, consistent with [7.3.2] and the paper.</w:t>
            </w:r>
          </w:p>
        </w:tc>
      </w:tr>
      <w:tr>
        <w:trPr>
          <w:cantSplit w:val="true"/>
        </w:trPr>
        <w:tc>
          <w:tcPr>
            <w:tcW w:type="dxa" w:w="510"/>
          </w:tcPr>
          <w:p>
            <w:pPr>
              <w:spacing w:after="0" w:line="240" w:lineRule="auto"/>
              <w:jc w:val="left"/>
            </w:pPr>
            <w:r/>
            <w:r>
              <w:rPr>
                <w:rFonts w:ascii="Calibri" w:hAnsi="Calibri"/>
                <w:b w:val="0"/>
                <w:sz w:val="14"/>
              </w:rPr>
              <w:t>E-7</w:t>
            </w:r>
          </w:p>
        </w:tc>
        <w:tc>
          <w:tcPr>
            <w:tcW w:type="dxa" w:w="1757"/>
          </w:tcPr>
          <w:p>
            <w:pPr>
              <w:spacing w:after="0" w:line="240" w:lineRule="auto"/>
              <w:jc w:val="left"/>
            </w:pPr>
            <w:r/>
            <w:r>
              <w:rPr>
                <w:rFonts w:ascii="Calibri" w:hAnsi="Calibri"/>
                <w:b w:val="0"/>
                <w:sz w:val="14"/>
              </w:rPr>
              <w:t>Report [7.5.1]</w:t>
            </w:r>
          </w:p>
        </w:tc>
        <w:tc>
          <w:tcPr>
            <w:tcW w:type="dxa" w:w="3742"/>
          </w:tcPr>
          <w:p>
            <w:pPr>
              <w:spacing w:after="0" w:line="240" w:lineRule="auto"/>
              <w:jc w:val="left"/>
            </w:pPr>
            <w:r/>
            <w:r>
              <w:rPr>
                <w:rFonts w:ascii="Calibri" w:hAnsi="Calibri"/>
                <w:b w:val="0"/>
                <w:sz w:val="14"/>
              </w:rPr>
              <w:t>“trained on open source dataset (Kaggle, Smart Waste Segregation dataset) containing various Table 1.”</w:t>
            </w:r>
          </w:p>
        </w:tc>
        <w:tc>
          <w:tcPr>
            <w:tcW w:type="dxa" w:w="3402"/>
          </w:tcPr>
          <w:p>
            <w:pPr>
              <w:spacing w:after="0" w:line="240" w:lineRule="auto"/>
              <w:jc w:val="left"/>
            </w:pPr>
            <w:r/>
            <w:r>
              <w:rPr>
                <w:rFonts w:ascii="Calibri" w:hAnsi="Calibri"/>
                <w:b w:val="0"/>
                <w:sz w:val="14"/>
              </w:rPr>
              <w:t>Broken sentence; rebuild as a proper dataset paragraph with per-source counts (see §9).</w:t>
            </w:r>
          </w:p>
        </w:tc>
      </w:tr>
      <w:tr>
        <w:trPr>
          <w:cantSplit w:val="true"/>
        </w:trPr>
        <w:tc>
          <w:tcPr>
            <w:tcW w:type="dxa" w:w="510"/>
            <w:shd w:val="clear" w:color="auto" w:fill="EEF1F7"/>
          </w:tcPr>
          <w:p>
            <w:pPr>
              <w:spacing w:after="0" w:line="240" w:lineRule="auto"/>
              <w:jc w:val="left"/>
            </w:pPr>
            <w:r/>
            <w:r>
              <w:rPr>
                <w:rFonts w:ascii="Calibri" w:hAnsi="Calibri"/>
                <w:b w:val="0"/>
                <w:sz w:val="14"/>
              </w:rPr>
              <w:t>E-8</w:t>
            </w:r>
          </w:p>
        </w:tc>
        <w:tc>
          <w:tcPr>
            <w:tcW w:type="dxa" w:w="1757"/>
            <w:shd w:val="clear" w:color="auto" w:fill="EEF1F7"/>
          </w:tcPr>
          <w:p>
            <w:pPr>
              <w:spacing w:after="0" w:line="240" w:lineRule="auto"/>
              <w:jc w:val="left"/>
            </w:pPr>
            <w:r/>
            <w:r>
              <w:rPr>
                <w:rFonts w:ascii="Calibri" w:hAnsi="Calibri"/>
                <w:b w:val="0"/>
                <w:sz w:val="14"/>
              </w:rPr>
              <w:t>Report [7.5.1]</w:t>
            </w:r>
          </w:p>
        </w:tc>
        <w:tc>
          <w:tcPr>
            <w:tcW w:type="dxa" w:w="3742"/>
            <w:shd w:val="clear" w:color="auto" w:fill="EEF1F7"/>
          </w:tcPr>
          <w:p>
            <w:pPr>
              <w:spacing w:after="0" w:line="240" w:lineRule="auto"/>
              <w:jc w:val="left"/>
            </w:pPr>
            <w:r/>
            <w:r>
              <w:rPr>
                <w:rFonts w:ascii="Calibri" w:hAnsi="Calibri"/>
                <w:b w:val="0"/>
                <w:sz w:val="14"/>
              </w:rPr>
              <w:t>“…containing various Table 1. Dataset Partition and Classification Results.”</w:t>
            </w:r>
          </w:p>
        </w:tc>
        <w:tc>
          <w:tcPr>
            <w:tcW w:type="dxa" w:w="3402"/>
            <w:shd w:val="clear" w:color="auto" w:fill="EEF1F7"/>
          </w:tcPr>
          <w:p>
            <w:pPr>
              <w:spacing w:after="0" w:line="240" w:lineRule="auto"/>
              <w:jc w:val="left"/>
            </w:pPr>
            <w:r/>
            <w:r>
              <w:rPr>
                <w:rFonts w:ascii="Calibri" w:hAnsi="Calibri"/>
                <w:b w:val="0"/>
                <w:sz w:val="14"/>
              </w:rPr>
              <w:t>Cross-reference the table properly: “Table 7.1”.</w:t>
            </w:r>
          </w:p>
        </w:tc>
      </w:tr>
      <w:tr>
        <w:trPr>
          <w:cantSplit w:val="true"/>
        </w:trPr>
        <w:tc>
          <w:tcPr>
            <w:tcW w:type="dxa" w:w="510"/>
          </w:tcPr>
          <w:p>
            <w:pPr>
              <w:spacing w:after="0" w:line="240" w:lineRule="auto"/>
              <w:jc w:val="left"/>
            </w:pPr>
            <w:r/>
            <w:r>
              <w:rPr>
                <w:rFonts w:ascii="Calibri" w:hAnsi="Calibri"/>
                <w:b w:val="0"/>
                <w:sz w:val="14"/>
              </w:rPr>
              <w:t>E-9</w:t>
            </w:r>
          </w:p>
        </w:tc>
        <w:tc>
          <w:tcPr>
            <w:tcW w:type="dxa" w:w="1757"/>
          </w:tcPr>
          <w:p>
            <w:pPr>
              <w:spacing w:after="0" w:line="240" w:lineRule="auto"/>
              <w:jc w:val="left"/>
            </w:pPr>
            <w:r/>
            <w:r>
              <w:rPr>
                <w:rFonts w:ascii="Calibri" w:hAnsi="Calibri"/>
                <w:b w:val="0"/>
                <w:sz w:val="14"/>
              </w:rPr>
              <w:t>Report Table 7.2 caption</w:t>
            </w:r>
          </w:p>
        </w:tc>
        <w:tc>
          <w:tcPr>
            <w:tcW w:type="dxa" w:w="3742"/>
          </w:tcPr>
          <w:p>
            <w:pPr>
              <w:spacing w:after="0" w:line="240" w:lineRule="auto"/>
              <w:jc w:val="left"/>
            </w:pPr>
            <w:r/>
            <w:r>
              <w:rPr>
                <w:rFonts w:ascii="Calibri" w:hAnsi="Calibri"/>
                <w:b w:val="0"/>
                <w:sz w:val="14"/>
              </w:rPr>
              <w:t>“Precision table of various categories of waste”</w:t>
            </w:r>
          </w:p>
        </w:tc>
        <w:tc>
          <w:tcPr>
            <w:tcW w:type="dxa" w:w="3402"/>
          </w:tcPr>
          <w:p>
            <w:pPr>
              <w:spacing w:after="0" w:line="240" w:lineRule="auto"/>
              <w:jc w:val="left"/>
            </w:pPr>
            <w:r/>
            <w:r>
              <w:rPr>
                <w:rFonts w:ascii="Calibri" w:hAnsi="Calibri"/>
                <w:b w:val="0"/>
                <w:sz w:val="14"/>
              </w:rPr>
              <w:t>Captions must match content: “Per-class precision, recall and F1-score”. Table also omits E-waste.</w:t>
            </w:r>
          </w:p>
        </w:tc>
      </w:tr>
      <w:tr>
        <w:trPr>
          <w:cantSplit w:val="true"/>
        </w:trPr>
        <w:tc>
          <w:tcPr>
            <w:tcW w:type="dxa" w:w="510"/>
            <w:shd w:val="clear" w:color="auto" w:fill="EEF1F7"/>
          </w:tcPr>
          <w:p>
            <w:pPr>
              <w:spacing w:after="0" w:line="240" w:lineRule="auto"/>
              <w:jc w:val="left"/>
            </w:pPr>
            <w:r/>
            <w:r>
              <w:rPr>
                <w:rFonts w:ascii="Calibri" w:hAnsi="Calibri"/>
                <w:b w:val="0"/>
                <w:sz w:val="14"/>
              </w:rPr>
              <w:t>E-10</w:t>
            </w:r>
          </w:p>
        </w:tc>
        <w:tc>
          <w:tcPr>
            <w:tcW w:type="dxa" w:w="1757"/>
            <w:shd w:val="clear" w:color="auto" w:fill="EEF1F7"/>
          </w:tcPr>
          <w:p>
            <w:pPr>
              <w:spacing w:after="0" w:line="240" w:lineRule="auto"/>
              <w:jc w:val="left"/>
            </w:pPr>
            <w:r/>
            <w:r>
              <w:rPr>
                <w:rFonts w:ascii="Calibri" w:hAnsi="Calibri"/>
                <w:b w:val="0"/>
                <w:sz w:val="14"/>
              </w:rPr>
              <w:t>Report, Acknowledgement</w:t>
            </w:r>
          </w:p>
        </w:tc>
        <w:tc>
          <w:tcPr>
            <w:tcW w:type="dxa" w:w="3742"/>
            <w:shd w:val="clear" w:color="auto" w:fill="EEF1F7"/>
          </w:tcPr>
          <w:p>
            <w:pPr>
              <w:spacing w:after="0" w:line="240" w:lineRule="auto"/>
              <w:jc w:val="left"/>
            </w:pPr>
            <w:r/>
            <w:r>
              <w:rPr>
                <w:rFonts w:ascii="Calibri" w:hAnsi="Calibri"/>
                <w:b w:val="0"/>
                <w:sz w:val="14"/>
              </w:rPr>
              <w:t>“our Supervisor, Mr. Velmurugan V for his /her expertise”</w:t>
            </w:r>
          </w:p>
        </w:tc>
        <w:tc>
          <w:tcPr>
            <w:tcW w:type="dxa" w:w="3402"/>
            <w:shd w:val="clear" w:color="auto" w:fill="EEF1F7"/>
          </w:tcPr>
          <w:p>
            <w:pPr>
              <w:spacing w:after="0" w:line="240" w:lineRule="auto"/>
              <w:jc w:val="left"/>
            </w:pPr>
            <w:r/>
            <w:r>
              <w:rPr>
                <w:rFonts w:ascii="Calibri" w:hAnsi="Calibri"/>
                <w:b w:val="0"/>
                <w:sz w:val="14"/>
              </w:rPr>
              <w:t>Remove the template switch: “for his expertise”.</w:t>
            </w:r>
          </w:p>
        </w:tc>
      </w:tr>
      <w:tr>
        <w:trPr>
          <w:cantSplit w:val="true"/>
        </w:trPr>
        <w:tc>
          <w:tcPr>
            <w:tcW w:type="dxa" w:w="510"/>
          </w:tcPr>
          <w:p>
            <w:pPr>
              <w:spacing w:after="0" w:line="240" w:lineRule="auto"/>
              <w:jc w:val="left"/>
            </w:pPr>
            <w:r/>
            <w:r>
              <w:rPr>
                <w:rFonts w:ascii="Calibri" w:hAnsi="Calibri"/>
                <w:b w:val="0"/>
                <w:sz w:val="14"/>
              </w:rPr>
              <w:t>E-11</w:t>
            </w:r>
          </w:p>
        </w:tc>
        <w:tc>
          <w:tcPr>
            <w:tcW w:type="dxa" w:w="1757"/>
          </w:tcPr>
          <w:p>
            <w:pPr>
              <w:spacing w:after="0" w:line="240" w:lineRule="auto"/>
              <w:jc w:val="left"/>
            </w:pPr>
            <w:r/>
            <w:r>
              <w:rPr>
                <w:rFonts w:ascii="Calibri" w:hAnsi="Calibri"/>
                <w:b w:val="0"/>
                <w:sz w:val="14"/>
              </w:rPr>
              <w:t>Report, Acknowledgement</w:t>
            </w:r>
          </w:p>
        </w:tc>
        <w:tc>
          <w:tcPr>
            <w:tcW w:type="dxa" w:w="3742"/>
          </w:tcPr>
          <w:p>
            <w:pPr>
              <w:spacing w:after="0" w:line="240" w:lineRule="auto"/>
              <w:jc w:val="left"/>
            </w:pPr>
            <w:r/>
            <w:r>
              <w:rPr>
                <w:rFonts w:ascii="Calibri" w:hAnsi="Calibri"/>
                <w:b w:val="0"/>
                <w:sz w:val="14"/>
              </w:rPr>
              <w:t>“bricks other save thrown at him” (David Brinkley quote)</w:t>
            </w:r>
          </w:p>
        </w:tc>
        <w:tc>
          <w:tcPr>
            <w:tcW w:type="dxa" w:w="3402"/>
          </w:tcPr>
          <w:p>
            <w:pPr>
              <w:spacing w:after="0" w:line="240" w:lineRule="auto"/>
              <w:jc w:val="left"/>
            </w:pPr>
            <w:r/>
            <w:r>
              <w:rPr>
                <w:rFonts w:ascii="Calibri" w:hAnsi="Calibri"/>
                <w:b w:val="0"/>
                <w:sz w:val="14"/>
              </w:rPr>
              <w:t>“the bricks others have thrown at him”. Consider dropping the epigraph entirely — it is not standard in this template.</w:t>
            </w:r>
          </w:p>
        </w:tc>
      </w:tr>
      <w:tr>
        <w:trPr>
          <w:cantSplit w:val="true"/>
        </w:trPr>
        <w:tc>
          <w:tcPr>
            <w:tcW w:type="dxa" w:w="510"/>
            <w:shd w:val="clear" w:color="auto" w:fill="EEF1F7"/>
          </w:tcPr>
          <w:p>
            <w:pPr>
              <w:spacing w:after="0" w:line="240" w:lineRule="auto"/>
              <w:jc w:val="left"/>
            </w:pPr>
            <w:r/>
            <w:r>
              <w:rPr>
                <w:rFonts w:ascii="Calibri" w:hAnsi="Calibri"/>
                <w:b w:val="0"/>
                <w:sz w:val="14"/>
              </w:rPr>
              <w:t>E-12</w:t>
            </w:r>
          </w:p>
        </w:tc>
        <w:tc>
          <w:tcPr>
            <w:tcW w:type="dxa" w:w="1757"/>
            <w:shd w:val="clear" w:color="auto" w:fill="EEF1F7"/>
          </w:tcPr>
          <w:p>
            <w:pPr>
              <w:spacing w:after="0" w:line="240" w:lineRule="auto"/>
              <w:jc w:val="left"/>
            </w:pPr>
            <w:r/>
            <w:r>
              <w:rPr>
                <w:rFonts w:ascii="Calibri" w:hAnsi="Calibri"/>
                <w:b w:val="0"/>
                <w:sz w:val="14"/>
              </w:rPr>
              <w:t>Report, Certificate</w:t>
            </w:r>
          </w:p>
        </w:tc>
        <w:tc>
          <w:tcPr>
            <w:tcW w:type="dxa" w:w="3742"/>
            <w:shd w:val="clear" w:color="auto" w:fill="EEF1F7"/>
          </w:tcPr>
          <w:p>
            <w:pPr>
              <w:spacing w:after="0" w:line="240" w:lineRule="auto"/>
              <w:jc w:val="left"/>
            </w:pPr>
            <w:r/>
            <w:r>
              <w:rPr>
                <w:rFonts w:ascii="Calibri" w:hAnsi="Calibri"/>
                <w:b w:val="0"/>
                <w:sz w:val="14"/>
              </w:rPr>
              <w:t>“SRI SAI RAM ENGINEERING COLLEGE” vs “Sri Sairam Engineering College” (paper)</w:t>
            </w:r>
          </w:p>
        </w:tc>
        <w:tc>
          <w:tcPr>
            <w:tcW w:type="dxa" w:w="3402"/>
            <w:shd w:val="clear" w:color="auto" w:fill="EEF1F7"/>
          </w:tcPr>
          <w:p>
            <w:pPr>
              <w:spacing w:after="0" w:line="240" w:lineRule="auto"/>
              <w:jc w:val="left"/>
            </w:pPr>
            <w:r/>
            <w:r>
              <w:rPr>
                <w:rFonts w:ascii="Calibri" w:hAnsi="Calibri"/>
                <w:b w:val="0"/>
                <w:sz w:val="14"/>
              </w:rPr>
              <w:t>Use the institution's official form throughout. Verify Chairman/CEO name forms against the official letterhead.</w:t>
            </w:r>
          </w:p>
        </w:tc>
      </w:tr>
      <w:tr>
        <w:trPr>
          <w:cantSplit w:val="true"/>
        </w:trPr>
        <w:tc>
          <w:tcPr>
            <w:tcW w:type="dxa" w:w="510"/>
          </w:tcPr>
          <w:p>
            <w:pPr>
              <w:spacing w:after="0" w:line="240" w:lineRule="auto"/>
              <w:jc w:val="left"/>
            </w:pPr>
            <w:r/>
            <w:r>
              <w:rPr>
                <w:rFonts w:ascii="Calibri" w:hAnsi="Calibri"/>
                <w:b w:val="0"/>
                <w:sz w:val="14"/>
              </w:rPr>
              <w:t>E-13</w:t>
            </w:r>
          </w:p>
        </w:tc>
        <w:tc>
          <w:tcPr>
            <w:tcW w:type="dxa" w:w="1757"/>
          </w:tcPr>
          <w:p>
            <w:pPr>
              <w:spacing w:after="0" w:line="240" w:lineRule="auto"/>
              <w:jc w:val="left"/>
            </w:pPr>
            <w:r/>
            <w:r>
              <w:rPr>
                <w:rFonts w:ascii="Calibri" w:hAnsi="Calibri"/>
                <w:b w:val="0"/>
                <w:sz w:val="14"/>
              </w:rPr>
              <w:t>Report, Figs 7.1 &amp; 7.2</w:t>
            </w:r>
          </w:p>
        </w:tc>
        <w:tc>
          <w:tcPr>
            <w:tcW w:type="dxa" w:w="3742"/>
          </w:tcPr>
          <w:p>
            <w:pPr>
              <w:spacing w:after="0" w:line="240" w:lineRule="auto"/>
              <w:jc w:val="left"/>
            </w:pPr>
            <w:r/>
            <w:r>
              <w:rPr>
                <w:rFonts w:ascii="Calibri" w:hAnsi="Calibri"/>
                <w:b w:val="0"/>
                <w:sz w:val="14"/>
              </w:rPr>
              <w:t>Both captioned as the overall structure/design of the bin</w:t>
            </w:r>
          </w:p>
        </w:tc>
        <w:tc>
          <w:tcPr>
            <w:tcW w:type="dxa" w:w="3402"/>
          </w:tcPr>
          <w:p>
            <w:pPr>
              <w:spacing w:after="0" w:line="240" w:lineRule="auto"/>
              <w:jc w:val="left"/>
            </w:pPr>
            <w:r/>
            <w:r>
              <w:rPr>
                <w:rFonts w:ascii="Calibri" w:hAnsi="Calibri"/>
                <w:b w:val="0"/>
                <w:sz w:val="14"/>
              </w:rPr>
              <w:t>Distinguish: 7.1 overall assembly (isometric), 7.2 exploded view or front/side elevation.</w:t>
            </w:r>
          </w:p>
        </w:tc>
      </w:tr>
      <w:tr>
        <w:trPr>
          <w:cantSplit w:val="true"/>
        </w:trPr>
        <w:tc>
          <w:tcPr>
            <w:tcW w:type="dxa" w:w="510"/>
            <w:shd w:val="clear" w:color="auto" w:fill="EEF1F7"/>
          </w:tcPr>
          <w:p>
            <w:pPr>
              <w:spacing w:after="0" w:line="240" w:lineRule="auto"/>
              <w:jc w:val="left"/>
            </w:pPr>
            <w:r/>
            <w:r>
              <w:rPr>
                <w:rFonts w:ascii="Calibri" w:hAnsi="Calibri"/>
                <w:b w:val="0"/>
                <w:sz w:val="14"/>
              </w:rPr>
              <w:t>E-14</w:t>
            </w:r>
          </w:p>
        </w:tc>
        <w:tc>
          <w:tcPr>
            <w:tcW w:type="dxa" w:w="1757"/>
            <w:shd w:val="clear" w:color="auto" w:fill="EEF1F7"/>
          </w:tcPr>
          <w:p>
            <w:pPr>
              <w:spacing w:after="0" w:line="240" w:lineRule="auto"/>
              <w:jc w:val="left"/>
            </w:pPr>
            <w:r/>
            <w:r>
              <w:rPr>
                <w:rFonts w:ascii="Calibri" w:hAnsi="Calibri"/>
                <w:b w:val="0"/>
                <w:sz w:val="14"/>
              </w:rPr>
              <w:t>Report, Appendix II</w:t>
            </w:r>
          </w:p>
        </w:tc>
        <w:tc>
          <w:tcPr>
            <w:tcW w:type="dxa" w:w="3742"/>
            <w:shd w:val="clear" w:color="auto" w:fill="EEF1F7"/>
          </w:tcPr>
          <w:p>
            <w:pPr>
              <w:spacing w:after="0" w:line="240" w:lineRule="auto"/>
              <w:jc w:val="left"/>
            </w:pPr>
            <w:r/>
            <w:r>
              <w:rPr>
                <w:rFonts w:ascii="Calibri" w:hAnsi="Calibri"/>
                <w:b w:val="0"/>
                <w:sz w:val="14"/>
              </w:rPr>
              <w:t>Rows 2.3–2.8 and 3.1–3.4 left blank; instruction lines “Include the following KPIs…” still present</w:t>
            </w:r>
          </w:p>
        </w:tc>
        <w:tc>
          <w:tcPr>
            <w:tcW w:type="dxa" w:w="3402"/>
            <w:shd w:val="clear" w:color="auto" w:fill="EEF1F7"/>
          </w:tcPr>
          <w:p>
            <w:pPr>
              <w:spacing w:after="0" w:line="240" w:lineRule="auto"/>
              <w:jc w:val="left"/>
            </w:pPr>
            <w:r/>
            <w:r>
              <w:rPr>
                <w:rFonts w:ascii="Calibri" w:hAnsi="Calibri"/>
                <w:b w:val="0"/>
                <w:sz w:val="14"/>
              </w:rPr>
              <w:t>Fill or delete every blank row. Instruction text must never reach the printed page.</w:t>
            </w:r>
          </w:p>
        </w:tc>
      </w:tr>
      <w:tr>
        <w:trPr>
          <w:cantSplit w:val="true"/>
        </w:trPr>
        <w:tc>
          <w:tcPr>
            <w:tcW w:type="dxa" w:w="510"/>
          </w:tcPr>
          <w:p>
            <w:pPr>
              <w:spacing w:after="0" w:line="240" w:lineRule="auto"/>
              <w:jc w:val="left"/>
            </w:pPr>
            <w:r/>
            <w:r>
              <w:rPr>
                <w:rFonts w:ascii="Calibri" w:hAnsi="Calibri"/>
                <w:b w:val="0"/>
                <w:sz w:val="14"/>
              </w:rPr>
              <w:t>E-15</w:t>
            </w:r>
          </w:p>
        </w:tc>
        <w:tc>
          <w:tcPr>
            <w:tcW w:type="dxa" w:w="1757"/>
          </w:tcPr>
          <w:p>
            <w:pPr>
              <w:spacing w:after="0" w:line="240" w:lineRule="auto"/>
              <w:jc w:val="left"/>
            </w:pPr>
            <w:r/>
            <w:r>
              <w:rPr>
                <w:rFonts w:ascii="Calibri" w:hAnsi="Calibri"/>
                <w:b w:val="0"/>
                <w:sz w:val="14"/>
              </w:rPr>
              <w:t>Report, Appendix IV</w:t>
            </w:r>
          </w:p>
        </w:tc>
        <w:tc>
          <w:tcPr>
            <w:tcW w:type="dxa" w:w="3742"/>
          </w:tcPr>
          <w:p>
            <w:pPr>
              <w:spacing w:after="0" w:line="240" w:lineRule="auto"/>
              <w:jc w:val="left"/>
            </w:pPr>
            <w:r/>
            <w:r>
              <w:rPr>
                <w:rFonts w:ascii="Calibri" w:hAnsi="Calibri"/>
                <w:b w:val="0"/>
                <w:sz w:val="14"/>
              </w:rPr>
              <w:t>“Enclose the screenshot of the project uploaded in the link…” with no screenshot</w:t>
            </w:r>
          </w:p>
        </w:tc>
        <w:tc>
          <w:tcPr>
            <w:tcW w:type="dxa" w:w="3402"/>
          </w:tcPr>
          <w:p>
            <w:pPr>
              <w:spacing w:after="0" w:line="240" w:lineRule="auto"/>
              <w:jc w:val="left"/>
            </w:pPr>
            <w:r/>
            <w:r>
              <w:rPr>
                <w:rFonts w:ascii="Calibri" w:hAnsi="Calibri"/>
                <w:b w:val="0"/>
                <w:sz w:val="14"/>
              </w:rPr>
              <w:t>Insert the SDG Scout screenshot, or delete the appendix.</w:t>
            </w:r>
          </w:p>
        </w:tc>
      </w:tr>
      <w:tr>
        <w:trPr>
          <w:cantSplit w:val="true"/>
        </w:trPr>
        <w:tc>
          <w:tcPr>
            <w:tcW w:type="dxa" w:w="510"/>
            <w:shd w:val="clear" w:color="auto" w:fill="EEF1F7"/>
          </w:tcPr>
          <w:p>
            <w:pPr>
              <w:spacing w:after="0" w:line="240" w:lineRule="auto"/>
              <w:jc w:val="left"/>
            </w:pPr>
            <w:r/>
            <w:r>
              <w:rPr>
                <w:rFonts w:ascii="Calibri" w:hAnsi="Calibri"/>
                <w:b w:val="0"/>
                <w:sz w:val="14"/>
              </w:rPr>
              <w:t>E-16</w:t>
            </w:r>
          </w:p>
        </w:tc>
        <w:tc>
          <w:tcPr>
            <w:tcW w:type="dxa" w:w="1757"/>
            <w:shd w:val="clear" w:color="auto" w:fill="EEF1F7"/>
          </w:tcPr>
          <w:p>
            <w:pPr>
              <w:spacing w:after="0" w:line="240" w:lineRule="auto"/>
              <w:jc w:val="left"/>
            </w:pPr>
            <w:r/>
            <w:r>
              <w:rPr>
                <w:rFonts w:ascii="Calibri" w:hAnsi="Calibri"/>
                <w:b w:val="0"/>
                <w:sz w:val="14"/>
              </w:rPr>
              <w:t>Report, Contents</w:t>
            </w:r>
          </w:p>
        </w:tc>
        <w:tc>
          <w:tcPr>
            <w:tcW w:type="dxa" w:w="3742"/>
            <w:shd w:val="clear" w:color="auto" w:fill="EEF1F7"/>
          </w:tcPr>
          <w:p>
            <w:pPr>
              <w:spacing w:after="0" w:line="240" w:lineRule="auto"/>
              <w:jc w:val="left"/>
            </w:pPr>
            <w:r/>
            <w:r>
              <w:rPr>
                <w:rFonts w:ascii="Calibri" w:hAnsi="Calibri"/>
                <w:b w:val="0"/>
                <w:sz w:val="14"/>
              </w:rPr>
              <w:t>Page numbers 1–33</w:t>
            </w:r>
          </w:p>
        </w:tc>
        <w:tc>
          <w:tcPr>
            <w:tcW w:type="dxa" w:w="3402"/>
            <w:shd w:val="clear" w:color="auto" w:fill="EEF1F7"/>
          </w:tcPr>
          <w:p>
            <w:pPr>
              <w:spacing w:after="0" w:line="240" w:lineRule="auto"/>
              <w:jc w:val="left"/>
            </w:pPr>
            <w:r/>
            <w:r>
              <w:rPr>
                <w:rFonts w:ascii="Calibri" w:hAnsi="Calibri"/>
                <w:b w:val="0"/>
                <w:sz w:val="14"/>
              </w:rPr>
              <w:t>Regenerate the field after all edits; every reflow invalidates them.</w:t>
            </w:r>
          </w:p>
        </w:tc>
      </w:tr>
      <w:tr>
        <w:trPr>
          <w:cantSplit w:val="true"/>
        </w:trPr>
        <w:tc>
          <w:tcPr>
            <w:tcW w:type="dxa" w:w="510"/>
          </w:tcPr>
          <w:p>
            <w:pPr>
              <w:spacing w:after="0" w:line="240" w:lineRule="auto"/>
              <w:jc w:val="left"/>
            </w:pPr>
            <w:r/>
            <w:r>
              <w:rPr>
                <w:rFonts w:ascii="Calibri" w:hAnsi="Calibri"/>
                <w:b w:val="0"/>
                <w:sz w:val="14"/>
              </w:rPr>
              <w:t>E-17</w:t>
            </w:r>
          </w:p>
        </w:tc>
        <w:tc>
          <w:tcPr>
            <w:tcW w:type="dxa" w:w="1757"/>
          </w:tcPr>
          <w:p>
            <w:pPr>
              <w:spacing w:after="0" w:line="240" w:lineRule="auto"/>
              <w:jc w:val="left"/>
            </w:pPr>
            <w:r/>
            <w:r>
              <w:rPr>
                <w:rFonts w:ascii="Calibri" w:hAnsi="Calibri"/>
                <w:b w:val="0"/>
                <w:sz w:val="14"/>
              </w:rPr>
              <w:t>Report, Figures</w:t>
            </w:r>
          </w:p>
        </w:tc>
        <w:tc>
          <w:tcPr>
            <w:tcW w:type="dxa" w:w="3742"/>
          </w:tcPr>
          <w:p>
            <w:pPr>
              <w:spacing w:after="0" w:line="240" w:lineRule="auto"/>
              <w:jc w:val="left"/>
            </w:pPr>
            <w:r/>
            <w:r>
              <w:rPr>
                <w:rFonts w:ascii="Calibri" w:hAnsi="Calibri"/>
                <w:b w:val="0"/>
                <w:sz w:val="14"/>
              </w:rPr>
              <w:t>“Figure Number / Figure Name / Page No.” list is fine but numbering starts at 7.1</w:t>
            </w:r>
          </w:p>
        </w:tc>
        <w:tc>
          <w:tcPr>
            <w:tcW w:type="dxa" w:w="3402"/>
          </w:tcPr>
          <w:p>
            <w:pPr>
              <w:spacing w:after="0" w:line="240" w:lineRule="auto"/>
              <w:jc w:val="left"/>
            </w:pPr>
            <w:r/>
            <w:r>
              <w:rPr>
                <w:rFonts w:ascii="Calibri" w:hAnsi="Calibri"/>
                <w:b w:val="0"/>
                <w:sz w:val="14"/>
              </w:rPr>
              <w:t>Either keep chapter-based numbering consistently or use Fig. 1…n.</w:t>
            </w:r>
          </w:p>
        </w:tc>
      </w:tr>
      <w:tr>
        <w:trPr>
          <w:cantSplit w:val="true"/>
        </w:trPr>
        <w:tc>
          <w:tcPr>
            <w:tcW w:type="dxa" w:w="510"/>
            <w:shd w:val="clear" w:color="auto" w:fill="EEF1F7"/>
          </w:tcPr>
          <w:p>
            <w:pPr>
              <w:spacing w:after="0" w:line="240" w:lineRule="auto"/>
              <w:jc w:val="left"/>
            </w:pPr>
            <w:r/>
            <w:r>
              <w:rPr>
                <w:rFonts w:ascii="Calibri" w:hAnsi="Calibri"/>
                <w:b w:val="0"/>
                <w:sz w:val="14"/>
              </w:rPr>
              <w:t>E-18</w:t>
            </w:r>
          </w:p>
        </w:tc>
        <w:tc>
          <w:tcPr>
            <w:tcW w:type="dxa" w:w="1757"/>
            <w:shd w:val="clear" w:color="auto" w:fill="EEF1F7"/>
          </w:tcPr>
          <w:p>
            <w:pPr>
              <w:spacing w:after="0" w:line="240" w:lineRule="auto"/>
              <w:jc w:val="left"/>
            </w:pPr>
            <w:r/>
            <w:r>
              <w:rPr>
                <w:rFonts w:ascii="Calibri" w:hAnsi="Calibri"/>
                <w:b w:val="0"/>
                <w:sz w:val="14"/>
              </w:rPr>
              <w:t>Paper, [5.3]</w:t>
            </w:r>
          </w:p>
        </w:tc>
        <w:tc>
          <w:tcPr>
            <w:tcW w:type="dxa" w:w="3742"/>
            <w:shd w:val="clear" w:color="auto" w:fill="EEF1F7"/>
          </w:tcPr>
          <w:p>
            <w:pPr>
              <w:spacing w:after="0" w:line="240" w:lineRule="auto"/>
              <w:jc w:val="left"/>
            </w:pPr>
            <w:r/>
            <w:r>
              <w:rPr>
                <w:rFonts w:ascii="Calibri" w:hAnsi="Calibri"/>
                <w:b w:val="0"/>
                <w:sz w:val="14"/>
              </w:rPr>
              <w:t>“…precise angular positioning within ±2° deviation”</w:t>
            </w:r>
          </w:p>
        </w:tc>
        <w:tc>
          <w:tcPr>
            <w:tcW w:type="dxa" w:w="3402"/>
            <w:shd w:val="clear" w:color="auto" w:fill="EEF1F7"/>
          </w:tcPr>
          <w:p>
            <w:pPr>
              <w:spacing w:after="0" w:line="240" w:lineRule="auto"/>
              <w:jc w:val="left"/>
            </w:pPr>
            <w:r/>
            <w:r>
              <w:rPr>
                <w:rFonts w:ascii="Calibri" w:hAnsi="Calibri"/>
                <w:b w:val="0"/>
                <w:sz w:val="14"/>
              </w:rPr>
              <w:t>See §4.4 — re-specify to ≤0.5°.</w:t>
            </w:r>
          </w:p>
        </w:tc>
      </w:tr>
      <w:tr>
        <w:trPr>
          <w:cantSplit w:val="true"/>
        </w:trPr>
        <w:tc>
          <w:tcPr>
            <w:tcW w:type="dxa" w:w="510"/>
          </w:tcPr>
          <w:p>
            <w:pPr>
              <w:spacing w:after="0" w:line="240" w:lineRule="auto"/>
              <w:jc w:val="left"/>
            </w:pPr>
            <w:r/>
            <w:r>
              <w:rPr>
                <w:rFonts w:ascii="Calibri" w:hAnsi="Calibri"/>
                <w:b w:val="0"/>
                <w:sz w:val="14"/>
              </w:rPr>
              <w:t>E-19</w:t>
            </w:r>
          </w:p>
        </w:tc>
        <w:tc>
          <w:tcPr>
            <w:tcW w:type="dxa" w:w="1757"/>
          </w:tcPr>
          <w:p>
            <w:pPr>
              <w:spacing w:after="0" w:line="240" w:lineRule="auto"/>
              <w:jc w:val="left"/>
            </w:pPr>
            <w:r/>
            <w:r>
              <w:rPr>
                <w:rFonts w:ascii="Calibri" w:hAnsi="Calibri"/>
                <w:b w:val="0"/>
                <w:sz w:val="14"/>
              </w:rPr>
              <w:t>Paper, [3.1.3] vs Abstract</w:t>
            </w:r>
          </w:p>
        </w:tc>
        <w:tc>
          <w:tcPr>
            <w:tcW w:type="dxa" w:w="3742"/>
          </w:tcPr>
          <w:p>
            <w:pPr>
              <w:spacing w:after="0" w:line="240" w:lineRule="auto"/>
              <w:jc w:val="left"/>
            </w:pPr>
            <w:r/>
            <w:r>
              <w:rPr>
                <w:rFonts w:ascii="Calibri" w:hAnsi="Calibri"/>
                <w:b w:val="0"/>
                <w:sz w:val="14"/>
              </w:rPr>
              <w:t>“Optional IoT connectivity” vs a validated IoT dashboard</w:t>
            </w:r>
          </w:p>
        </w:tc>
        <w:tc>
          <w:tcPr>
            <w:tcW w:type="dxa" w:w="3402"/>
          </w:tcPr>
          <w:p>
            <w:pPr>
              <w:spacing w:after="0" w:line="240" w:lineRule="auto"/>
              <w:jc w:val="left"/>
            </w:pPr>
            <w:r/>
            <w:r>
              <w:rPr>
                <w:rFonts w:ascii="Calibri" w:hAnsi="Calibri"/>
                <w:b w:val="0"/>
                <w:sz w:val="14"/>
              </w:rPr>
              <w:t>Resolve the scope statement (C-11).</w:t>
            </w:r>
          </w:p>
        </w:tc>
      </w:tr>
      <w:tr>
        <w:trPr>
          <w:cantSplit w:val="true"/>
        </w:trPr>
        <w:tc>
          <w:tcPr>
            <w:tcW w:type="dxa" w:w="510"/>
            <w:shd w:val="clear" w:color="auto" w:fill="EEF1F7"/>
          </w:tcPr>
          <w:p>
            <w:pPr>
              <w:spacing w:after="0" w:line="240" w:lineRule="auto"/>
              <w:jc w:val="left"/>
            </w:pPr>
            <w:r/>
            <w:r>
              <w:rPr>
                <w:rFonts w:ascii="Calibri" w:hAnsi="Calibri"/>
                <w:b w:val="0"/>
                <w:sz w:val="14"/>
              </w:rPr>
              <w:t>E-20</w:t>
            </w:r>
          </w:p>
        </w:tc>
        <w:tc>
          <w:tcPr>
            <w:tcW w:type="dxa" w:w="1757"/>
            <w:shd w:val="clear" w:color="auto" w:fill="EEF1F7"/>
          </w:tcPr>
          <w:p>
            <w:pPr>
              <w:spacing w:after="0" w:line="240" w:lineRule="auto"/>
              <w:jc w:val="left"/>
            </w:pPr>
            <w:r/>
            <w:r>
              <w:rPr>
                <w:rFonts w:ascii="Calibri" w:hAnsi="Calibri"/>
                <w:b w:val="0"/>
                <w:sz w:val="14"/>
              </w:rPr>
              <w:t>Paper, DOI</w:t>
            </w:r>
          </w:p>
        </w:tc>
        <w:tc>
          <w:tcPr>
            <w:tcW w:type="dxa" w:w="3742"/>
            <w:shd w:val="clear" w:color="auto" w:fill="EEF1F7"/>
          </w:tcPr>
          <w:p>
            <w:pPr>
              <w:spacing w:after="0" w:line="240" w:lineRule="auto"/>
              <w:jc w:val="left"/>
            </w:pPr>
            <w:r/>
            <w:r>
              <w:rPr>
                <w:rFonts w:ascii="Calibri" w:hAnsi="Calibri"/>
                <w:b w:val="0"/>
                <w:sz w:val="14"/>
              </w:rPr>
              <w:t>10.46254/IN05.20250000</w:t>
            </w:r>
          </w:p>
        </w:tc>
        <w:tc>
          <w:tcPr>
            <w:tcW w:type="dxa" w:w="3402"/>
            <w:shd w:val="clear" w:color="auto" w:fill="EEF1F7"/>
          </w:tcPr>
          <w:p>
            <w:pPr>
              <w:spacing w:after="0" w:line="240" w:lineRule="auto"/>
              <w:jc w:val="left"/>
            </w:pPr>
            <w:r/>
            <w:r>
              <w:rPr>
                <w:rFonts w:ascii="Calibri" w:hAnsi="Calibri"/>
                <w:b w:val="0"/>
                <w:sz w:val="14"/>
              </w:rPr>
              <w:t>Verify the real DOI on the certificate/proceedings before the new report cites this publication.</w:t>
            </w:r>
          </w:p>
        </w:tc>
      </w:tr>
    </w:tbl>
    <w:p>
      <w:pPr>
        <w:keepNext/>
        <w:spacing w:before="160" w:after="60"/>
        <w:jc w:val="left"/>
      </w:pPr>
      <w:r>
        <w:rPr>
          <w:rFonts w:ascii="Calibri" w:hAnsi="Calibri"/>
          <w:b/>
          <w:color w:val="1F3864"/>
          <w:sz w:val="18"/>
        </w:rPr>
        <w:t>Table 8.1 — Editorial register.</w:t>
      </w:r>
    </w:p>
    <w:p>
      <w:pPr>
        <w:spacing w:before="40" w:after="160"/>
        <w:jc w:val="left"/>
      </w:pPr>
      <w:r>
        <w:rPr>
          <w:rFonts w:ascii="Calibri" w:hAnsi="Calibri"/>
          <w:i/>
          <w:color w:val="404040"/>
          <w:sz w:val="16"/>
        </w:rPr>
        <w:t>E-14 and E-15 are the two that most affect the impression of the report: leftover template instructions read as unfinished work.</w:t>
      </w:r>
    </w:p>
    <w:p>
      <w:pPr>
        <w:keepNext/>
        <w:spacing w:before="200" w:after="80"/>
        <w:jc w:val="left"/>
      </w:pPr>
      <w:r>
        <w:rPr>
          <w:b/>
          <w:color w:val="1F3864"/>
          <w:sz w:val="23"/>
        </w:rPr>
        <w:t>8.2 Fourteen of seventeen literature citations are missing from the reference list</w:t>
      </w:r>
    </w:p>
    <w:p>
      <w:pPr>
        <w:spacing w:after="120"/>
        <w:ind w:left="0"/>
        <w:jc w:val="both"/>
      </w:pPr>
      <w:r>
        <w:rPr>
          <w:b w:val="0"/>
          <w:i w:val="0"/>
          <w:sz w:val="22"/>
        </w:rPr>
        <w:t>Chapter 4 of the Report cites seventeen works. Only three of them (Longo et al., 2021; Chen et al., 2021; Nafiz et al., 2023) appear in the reference list, and Chen and Nafiz were carried over from the conference paper rather than from the review itself. The other fourteen are untraceable — which means it cannot be verified, and a reviewer will treat the whole literature review as unverified.</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4876"/>
        <w:gridCol w:w="1927"/>
        <w:gridCol w:w="2608"/>
      </w:tblGrid>
      <w:tr>
        <w:trPr>
          <w:tblHeader w:val="true"/>
          <w:cantSplit w:val="true"/>
        </w:trPr>
        <w:tc>
          <w:tcPr>
            <w:tcW w:type="dxa" w:w="4876"/>
            <w:shd w:val="clear" w:color="auto" w:fill="1F3864"/>
          </w:tcPr>
          <w:p>
            <w:pPr>
              <w:spacing w:after="0" w:line="240" w:lineRule="auto"/>
              <w:jc w:val="left"/>
            </w:pPr>
            <w:r/>
            <w:r>
              <w:rPr>
                <w:rFonts w:ascii="Calibri" w:hAnsi="Calibri"/>
                <w:b/>
                <w:color w:val="FFFFFF"/>
                <w:sz w:val="15"/>
              </w:rPr>
              <w:t>Cited in Report Chapter 4</w:t>
            </w:r>
          </w:p>
        </w:tc>
        <w:tc>
          <w:tcPr>
            <w:tcW w:type="dxa" w:w="1928"/>
            <w:shd w:val="clear" w:color="auto" w:fill="1F3864"/>
          </w:tcPr>
          <w:p>
            <w:pPr>
              <w:spacing w:after="0" w:line="240" w:lineRule="auto"/>
              <w:jc w:val="left"/>
            </w:pPr>
            <w:r/>
            <w:r>
              <w:rPr>
                <w:rFonts w:ascii="Calibri" w:hAnsi="Calibri"/>
                <w:b/>
                <w:color w:val="FFFFFF"/>
                <w:sz w:val="15"/>
              </w:rPr>
              <w:t>Present in reference list?</w:t>
            </w:r>
          </w:p>
        </w:tc>
        <w:tc>
          <w:tcPr>
            <w:tcW w:type="dxa" w:w="2608"/>
            <w:shd w:val="clear" w:color="auto" w:fill="1F3864"/>
          </w:tcPr>
          <w:p>
            <w:pPr>
              <w:spacing w:after="0" w:line="240" w:lineRule="auto"/>
              <w:jc w:val="left"/>
            </w:pPr>
            <w:r/>
            <w:r>
              <w:rPr>
                <w:rFonts w:ascii="Calibri" w:hAnsi="Calibri"/>
                <w:b/>
                <w:color w:val="FFFFFF"/>
                <w:sz w:val="15"/>
              </w:rPr>
              <w:t>Note</w:t>
            </w:r>
          </w:p>
        </w:tc>
      </w:tr>
      <w:tr>
        <w:trPr>
          <w:cantSplit w:val="true"/>
        </w:trPr>
        <w:tc>
          <w:tcPr>
            <w:tcW w:type="dxa" w:w="4876"/>
          </w:tcPr>
          <w:p>
            <w:pPr>
              <w:spacing w:after="0" w:line="240" w:lineRule="auto"/>
              <w:jc w:val="left"/>
            </w:pPr>
            <w:r/>
            <w:r>
              <w:rPr>
                <w:rFonts w:ascii="Calibri" w:hAnsi="Calibri"/>
                <w:b w:val="0"/>
                <w:sz w:val="15"/>
              </w:rPr>
              <w:t>Longo et al. (2021)</w:t>
            </w:r>
          </w:p>
        </w:tc>
        <w:tc>
          <w:tcPr>
            <w:tcW w:type="dxa" w:w="1928"/>
          </w:tcPr>
          <w:p>
            <w:pPr>
              <w:spacing w:after="0" w:line="240" w:lineRule="auto"/>
              <w:jc w:val="left"/>
            </w:pPr>
            <w:r/>
            <w:r>
              <w:rPr>
                <w:rFonts w:ascii="Calibri" w:hAnsi="Calibri"/>
                <w:b w:val="0"/>
                <w:sz w:val="15"/>
              </w:rPr>
              <w:t>Yes</w:t>
            </w:r>
          </w:p>
        </w:tc>
        <w:tc>
          <w:tcPr>
            <w:tcW w:type="dxa" w:w="2608"/>
          </w:tcPr>
          <w:p>
            <w:pPr>
              <w:spacing w:after="0" w:line="240" w:lineRule="auto"/>
              <w:jc w:val="left"/>
            </w:pPr>
            <w:r/>
            <w:r>
              <w:rPr>
                <w:rFonts w:ascii="Calibri" w:hAnsi="Calibri"/>
                <w:b w:val="0"/>
                <w:sz w:val="15"/>
              </w:rPr>
              <w:t>Also cited in the paper — keep.</w:t>
            </w:r>
          </w:p>
        </w:tc>
      </w:tr>
      <w:tr>
        <w:trPr>
          <w:cantSplit w:val="true"/>
        </w:trPr>
        <w:tc>
          <w:tcPr>
            <w:tcW w:type="dxa" w:w="4876"/>
            <w:shd w:val="clear" w:color="auto" w:fill="EEF1F7"/>
          </w:tcPr>
          <w:p>
            <w:pPr>
              <w:spacing w:after="0" w:line="240" w:lineRule="auto"/>
              <w:jc w:val="left"/>
            </w:pPr>
            <w:r/>
            <w:r>
              <w:rPr>
                <w:rFonts w:ascii="Calibri" w:hAnsi="Calibri"/>
                <w:b w:val="0"/>
                <w:sz w:val="15"/>
              </w:rPr>
              <w:t>Zhao et al. (2022); Kumar and Singh (2020); Singh and Sharma (2020); Gyawali et al. (2020); Yu and Grammenos (2021)</w:t>
            </w:r>
          </w:p>
        </w:tc>
        <w:tc>
          <w:tcPr>
            <w:tcW w:type="dxa" w:w="1928"/>
            <w:shd w:val="clear" w:color="auto" w:fill="EEF1F7"/>
          </w:tcPr>
          <w:p>
            <w:pPr>
              <w:spacing w:after="0" w:line="240" w:lineRule="auto"/>
              <w:jc w:val="left"/>
            </w:pPr>
            <w:r/>
            <w:r>
              <w:rPr>
                <w:rFonts w:ascii="Calibri" w:hAnsi="Calibri"/>
                <w:b/>
                <w:color w:val="A61B1B"/>
                <w:sz w:val="15"/>
              </w:rPr>
              <w:t>No</w:t>
            </w:r>
          </w:p>
        </w:tc>
        <w:tc>
          <w:tcPr>
            <w:tcW w:type="dxa" w:w="2608"/>
            <w:shd w:val="clear" w:color="auto" w:fill="EEF1F7"/>
          </w:tcPr>
          <w:p>
            <w:pPr>
              <w:spacing w:after="0" w:line="240" w:lineRule="auto"/>
              <w:jc w:val="left"/>
            </w:pPr>
            <w:r/>
            <w:r>
              <w:rPr>
                <w:rFonts w:ascii="Calibri" w:hAnsi="Calibri"/>
                <w:b w:val="0"/>
                <w:sz w:val="15"/>
              </w:rPr>
              <w:t>Five works supporting the CNN claims; none traceable.</w:t>
            </w:r>
          </w:p>
        </w:tc>
      </w:tr>
      <w:tr>
        <w:trPr>
          <w:cantSplit w:val="true"/>
        </w:trPr>
        <w:tc>
          <w:tcPr>
            <w:tcW w:type="dxa" w:w="4876"/>
          </w:tcPr>
          <w:p>
            <w:pPr>
              <w:spacing w:after="0" w:line="240" w:lineRule="auto"/>
              <w:jc w:val="left"/>
            </w:pPr>
            <w:r/>
            <w:r>
              <w:rPr>
                <w:rFonts w:ascii="Calibri" w:hAnsi="Calibri"/>
                <w:b w:val="0"/>
                <w:sz w:val="15"/>
              </w:rPr>
              <w:t>Chen et al. (2021); Nafiz et al. (2023)</w:t>
            </w:r>
          </w:p>
        </w:tc>
        <w:tc>
          <w:tcPr>
            <w:tcW w:type="dxa" w:w="1928"/>
          </w:tcPr>
          <w:p>
            <w:pPr>
              <w:spacing w:after="0" w:line="240" w:lineRule="auto"/>
              <w:jc w:val="left"/>
            </w:pPr>
            <w:r/>
            <w:r>
              <w:rPr>
                <w:rFonts w:ascii="Calibri" w:hAnsi="Calibri"/>
                <w:b w:val="0"/>
                <w:sz w:val="15"/>
              </w:rPr>
              <w:t>Yes</w:t>
            </w:r>
          </w:p>
        </w:tc>
        <w:tc>
          <w:tcPr>
            <w:tcW w:type="dxa" w:w="2608"/>
          </w:tcPr>
          <w:p>
            <w:pPr>
              <w:spacing w:after="0" w:line="240" w:lineRule="auto"/>
              <w:jc w:val="left"/>
            </w:pPr>
            <w:r/>
            <w:r>
              <w:rPr>
                <w:rFonts w:ascii="Calibri" w:hAnsi="Calibri"/>
                <w:b w:val="0"/>
                <w:sz w:val="15"/>
              </w:rPr>
              <w:t>Both are in the list, but both were imported from the paper, not from this review.</w:t>
            </w:r>
          </w:p>
        </w:tc>
      </w:tr>
      <w:tr>
        <w:trPr>
          <w:cantSplit w:val="true"/>
        </w:trPr>
        <w:tc>
          <w:tcPr>
            <w:tcW w:type="dxa" w:w="4876"/>
            <w:shd w:val="clear" w:color="auto" w:fill="EEF1F7"/>
          </w:tcPr>
          <w:p>
            <w:pPr>
              <w:spacing w:after="0" w:line="240" w:lineRule="auto"/>
              <w:jc w:val="left"/>
            </w:pPr>
            <w:r/>
            <w:r>
              <w:rPr>
                <w:rFonts w:ascii="Calibri" w:hAnsi="Calibri"/>
                <w:b w:val="0"/>
                <w:sz w:val="15"/>
              </w:rPr>
              <w:t>White et al. (2020)</w:t>
            </w:r>
          </w:p>
        </w:tc>
        <w:tc>
          <w:tcPr>
            <w:tcW w:type="dxa" w:w="1928"/>
            <w:shd w:val="clear" w:color="auto" w:fill="EEF1F7"/>
          </w:tcPr>
          <w:p>
            <w:pPr>
              <w:spacing w:after="0" w:line="240" w:lineRule="auto"/>
              <w:jc w:val="left"/>
            </w:pPr>
            <w:r/>
            <w:r>
              <w:rPr>
                <w:rFonts w:ascii="Calibri" w:hAnsi="Calibri"/>
                <w:b/>
                <w:color w:val="A61B1B"/>
                <w:sz w:val="15"/>
              </w:rPr>
              <w:t>No</w:t>
            </w:r>
          </w:p>
        </w:tc>
        <w:tc>
          <w:tcPr>
            <w:tcW w:type="dxa" w:w="2608"/>
            <w:shd w:val="clear" w:color="auto" w:fill="EEF1F7"/>
          </w:tcPr>
          <w:p>
            <w:pPr>
              <w:spacing w:after="0" w:line="240" w:lineRule="auto"/>
              <w:jc w:val="left"/>
            </w:pPr>
            <w:r/>
            <w:r>
              <w:rPr>
                <w:rFonts w:ascii="Calibri" w:hAnsi="Calibri"/>
                <w:b w:val="0"/>
                <w:sz w:val="15"/>
              </w:rPr>
              <w:t>WasteNet 97% claim — this is the closest prior art to the project and must be cited properly.</w:t>
            </w:r>
          </w:p>
        </w:tc>
      </w:tr>
      <w:tr>
        <w:trPr>
          <w:cantSplit w:val="true"/>
        </w:trPr>
        <w:tc>
          <w:tcPr>
            <w:tcW w:type="dxa" w:w="4876"/>
          </w:tcPr>
          <w:p>
            <w:pPr>
              <w:spacing w:after="0" w:line="240" w:lineRule="auto"/>
              <w:jc w:val="left"/>
            </w:pPr>
            <w:r/>
            <w:r>
              <w:rPr>
                <w:rFonts w:ascii="Calibri" w:hAnsi="Calibri"/>
                <w:b w:val="0"/>
                <w:sz w:val="15"/>
              </w:rPr>
              <w:t>Patel et al. (2020); Alqahtani et al. (2019); Kumar et al. (2021)</w:t>
            </w:r>
          </w:p>
        </w:tc>
        <w:tc>
          <w:tcPr>
            <w:tcW w:type="dxa" w:w="1928"/>
          </w:tcPr>
          <w:p>
            <w:pPr>
              <w:spacing w:after="0" w:line="240" w:lineRule="auto"/>
              <w:jc w:val="left"/>
            </w:pPr>
            <w:r/>
            <w:r>
              <w:rPr>
                <w:rFonts w:ascii="Calibri" w:hAnsi="Calibri"/>
                <w:b/>
                <w:color w:val="A61B1B"/>
                <w:sz w:val="15"/>
              </w:rPr>
              <w:t>No</w:t>
            </w:r>
          </w:p>
        </w:tc>
        <w:tc>
          <w:tcPr>
            <w:tcW w:type="dxa" w:w="2608"/>
          </w:tcPr>
          <w:p>
            <w:pPr>
              <w:spacing w:after="0" w:line="240" w:lineRule="auto"/>
              <w:jc w:val="left"/>
            </w:pPr>
            <w:r/>
            <w:r>
              <w:rPr>
                <w:rFonts w:ascii="Calibri" w:hAnsi="Calibri"/>
                <w:b w:val="0"/>
                <w:sz w:val="15"/>
              </w:rPr>
              <w:t>Three IoT monitoring works.</w:t>
            </w:r>
          </w:p>
        </w:tc>
      </w:tr>
      <w:tr>
        <w:trPr>
          <w:cantSplit w:val="true"/>
        </w:trPr>
        <w:tc>
          <w:tcPr>
            <w:tcW w:type="dxa" w:w="4876"/>
            <w:shd w:val="clear" w:color="auto" w:fill="EEF1F7"/>
          </w:tcPr>
          <w:p>
            <w:pPr>
              <w:spacing w:after="0" w:line="240" w:lineRule="auto"/>
              <w:jc w:val="left"/>
            </w:pPr>
            <w:r/>
            <w:r>
              <w:rPr>
                <w:rFonts w:ascii="Calibri" w:hAnsi="Calibri"/>
                <w:b w:val="0"/>
                <w:sz w:val="15"/>
              </w:rPr>
              <w:t>Nguyen et al. (2021); Dasaklis et al. (2020)</w:t>
            </w:r>
          </w:p>
        </w:tc>
        <w:tc>
          <w:tcPr>
            <w:tcW w:type="dxa" w:w="1928"/>
            <w:shd w:val="clear" w:color="auto" w:fill="EEF1F7"/>
          </w:tcPr>
          <w:p>
            <w:pPr>
              <w:spacing w:after="0" w:line="240" w:lineRule="auto"/>
              <w:jc w:val="left"/>
            </w:pPr>
            <w:r/>
            <w:r>
              <w:rPr>
                <w:rFonts w:ascii="Calibri" w:hAnsi="Calibri"/>
                <w:b/>
                <w:color w:val="A61B1B"/>
                <w:sz w:val="15"/>
              </w:rPr>
              <w:t>No</w:t>
            </w:r>
          </w:p>
        </w:tc>
        <w:tc>
          <w:tcPr>
            <w:tcW w:type="dxa" w:w="2608"/>
            <w:shd w:val="clear" w:color="auto" w:fill="EEF1F7"/>
          </w:tcPr>
          <w:p>
            <w:pPr>
              <w:spacing w:after="0" w:line="240" w:lineRule="auto"/>
              <w:jc w:val="left"/>
            </w:pPr>
            <w:r/>
            <w:r>
              <w:rPr>
                <w:rFonts w:ascii="Calibri" w:hAnsi="Calibri"/>
                <w:b w:val="0"/>
                <w:sz w:val="15"/>
              </w:rPr>
              <w:t>Blockchain works — also largely irrelevant to this project's scope.</w:t>
            </w:r>
          </w:p>
        </w:tc>
      </w:tr>
      <w:tr>
        <w:trPr>
          <w:cantSplit w:val="true"/>
        </w:trPr>
        <w:tc>
          <w:tcPr>
            <w:tcW w:type="dxa" w:w="4876"/>
          </w:tcPr>
          <w:p>
            <w:pPr>
              <w:spacing w:after="0" w:line="240" w:lineRule="auto"/>
              <w:jc w:val="left"/>
            </w:pPr>
            <w:r/>
            <w:r>
              <w:rPr>
                <w:rFonts w:ascii="Calibri" w:hAnsi="Calibri"/>
                <w:b w:val="0"/>
                <w:sz w:val="15"/>
              </w:rPr>
              <w:t>Lopez et al. (2022); Patil and Deshpande (2021); Garcia and Lopez (2022)</w:t>
            </w:r>
          </w:p>
        </w:tc>
        <w:tc>
          <w:tcPr>
            <w:tcW w:type="dxa" w:w="1928"/>
          </w:tcPr>
          <w:p>
            <w:pPr>
              <w:spacing w:after="0" w:line="240" w:lineRule="auto"/>
              <w:jc w:val="left"/>
            </w:pPr>
            <w:r/>
            <w:r>
              <w:rPr>
                <w:rFonts w:ascii="Calibri" w:hAnsi="Calibri"/>
                <w:b/>
                <w:color w:val="A61B1B"/>
                <w:sz w:val="15"/>
              </w:rPr>
              <w:t>No</w:t>
            </w:r>
          </w:p>
        </w:tc>
        <w:tc>
          <w:tcPr>
            <w:tcW w:type="dxa" w:w="2608"/>
          </w:tcPr>
          <w:p>
            <w:pPr>
              <w:spacing w:after="0" w:line="240" w:lineRule="auto"/>
              <w:jc w:val="left"/>
            </w:pPr>
            <w:r/>
            <w:r>
              <w:rPr>
                <w:rFonts w:ascii="Calibri" w:hAnsi="Calibri"/>
                <w:b w:val="0"/>
                <w:sz w:val="15"/>
              </w:rPr>
              <w:t>Solar bin, urban analytics, anaerobic digestion.</w:t>
            </w:r>
          </w:p>
        </w:tc>
      </w:tr>
    </w:tbl>
    <w:p>
      <w:pPr>
        <w:keepNext/>
        <w:spacing w:before="160" w:after="60"/>
        <w:jc w:val="left"/>
      </w:pPr>
      <w:r>
        <w:rPr>
          <w:rFonts w:ascii="Calibri" w:hAnsi="Calibri"/>
          <w:b/>
          <w:color w:val="1F3864"/>
          <w:sz w:val="18"/>
        </w:rPr>
        <w:t>Table 8.2 — Citation traceability.</w:t>
      </w:r>
    </w:p>
    <w:p>
      <w:pPr>
        <w:spacing w:after="120"/>
        <w:ind w:left="0"/>
        <w:jc w:val="both"/>
      </w:pPr>
      <w:r>
        <w:rPr>
          <w:b w:val="0"/>
          <w:i w:val="0"/>
          <w:sz w:val="22"/>
        </w:rPr>
        <w:t>Two further problems with the literature review as written: (i) the paper's own 20 references are almost entirely absent from the report's Chapter 4, so the report reviews a different body of work than the paper it is based on; and (ii) the formatting mixes two styles — Chapter 4 uses author–year, the reference list uses a numbered-free IEEE-like style. The new report should pick one (IEEE numeric is the usual template default) and apply it to both.</w:t>
      </w:r>
    </w:p>
    <w:p>
      <w:r>
        <w:br w:type="page"/>
      </w:r>
    </w:p>
    <w:p>
      <w:pPr>
        <w:keepNext/>
        <w:spacing w:before="200" w:after="120"/>
        <w:jc w:val="left"/>
        <w:pBdr>
          <w:bottom w:val="single" w:sz="8" w:space="2" w:color="1F3864"/>
        </w:pBdr>
      </w:pPr>
      <w:r>
        <w:rPr>
          <w:rFonts w:ascii="Times New Roman" w:hAnsi="Times New Roman"/>
          <w:b/>
          <w:color w:val="1F3864"/>
          <w:sz w:val="26"/>
        </w:rPr>
        <w:t>9. EVIDENCE AND APPENDIX GAPS THAT THE NEW REPORT MUST CLOSE</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453"/>
        <w:gridCol w:w="2494"/>
        <w:gridCol w:w="4139"/>
        <w:gridCol w:w="2324"/>
      </w:tblGrid>
      <w:tr>
        <w:trPr>
          <w:tblHeader w:val="true"/>
          <w:cantSplit w:val="true"/>
        </w:trPr>
        <w:tc>
          <w:tcPr>
            <w:tcW w:type="dxa" w:w="454"/>
            <w:shd w:val="clear" w:color="auto" w:fill="1F3864"/>
          </w:tcPr>
          <w:p>
            <w:pPr>
              <w:spacing w:after="0" w:line="240" w:lineRule="auto"/>
              <w:jc w:val="left"/>
            </w:pPr>
            <w:r/>
            <w:r>
              <w:rPr>
                <w:rFonts w:ascii="Calibri" w:hAnsi="Calibri"/>
                <w:b/>
                <w:color w:val="FFFFFF"/>
                <w:sz w:val="15"/>
              </w:rPr>
              <w:t>#</w:t>
            </w:r>
          </w:p>
        </w:tc>
        <w:tc>
          <w:tcPr>
            <w:tcW w:type="dxa" w:w="2494"/>
            <w:shd w:val="clear" w:color="auto" w:fill="1F3864"/>
          </w:tcPr>
          <w:p>
            <w:pPr>
              <w:spacing w:after="0" w:line="240" w:lineRule="auto"/>
              <w:jc w:val="left"/>
            </w:pPr>
            <w:r/>
            <w:r>
              <w:rPr>
                <w:rFonts w:ascii="Calibri" w:hAnsi="Calibri"/>
                <w:b/>
                <w:color w:val="FFFFFF"/>
                <w:sz w:val="15"/>
              </w:rPr>
              <w:t>Missing artefact</w:t>
            </w:r>
          </w:p>
        </w:tc>
        <w:tc>
          <w:tcPr>
            <w:tcW w:type="dxa" w:w="4139"/>
            <w:shd w:val="clear" w:color="auto" w:fill="1F3864"/>
          </w:tcPr>
          <w:p>
            <w:pPr>
              <w:spacing w:after="0" w:line="240" w:lineRule="auto"/>
              <w:jc w:val="left"/>
            </w:pPr>
            <w:r/>
            <w:r>
              <w:rPr>
                <w:rFonts w:ascii="Calibri" w:hAnsi="Calibri"/>
                <w:b/>
                <w:color w:val="FFFFFF"/>
                <w:sz w:val="15"/>
              </w:rPr>
              <w:t>Why it is needed</w:t>
            </w:r>
          </w:p>
        </w:tc>
        <w:tc>
          <w:tcPr>
            <w:tcW w:type="dxa" w:w="2324"/>
            <w:shd w:val="clear" w:color="auto" w:fill="1F3864"/>
          </w:tcPr>
          <w:p>
            <w:pPr>
              <w:spacing w:after="0" w:line="240" w:lineRule="auto"/>
              <w:jc w:val="left"/>
            </w:pPr>
            <w:r/>
            <w:r>
              <w:rPr>
                <w:rFonts w:ascii="Calibri" w:hAnsi="Calibri"/>
                <w:b/>
                <w:color w:val="FFFFFF"/>
                <w:sz w:val="15"/>
              </w:rPr>
              <w:t>Where it goes</w:t>
            </w:r>
          </w:p>
        </w:tc>
      </w:tr>
      <w:tr>
        <w:trPr>
          <w:cantSplit w:val="true"/>
        </w:trPr>
        <w:tc>
          <w:tcPr>
            <w:tcW w:type="dxa" w:w="454"/>
          </w:tcPr>
          <w:p>
            <w:pPr>
              <w:spacing w:after="0" w:line="240" w:lineRule="auto"/>
              <w:jc w:val="left"/>
            </w:pPr>
            <w:r/>
            <w:r>
              <w:rPr>
                <w:rFonts w:ascii="Calibri" w:hAnsi="Calibri"/>
                <w:b w:val="0"/>
                <w:sz w:val="15"/>
              </w:rPr>
              <w:t>1</w:t>
            </w:r>
          </w:p>
        </w:tc>
        <w:tc>
          <w:tcPr>
            <w:tcW w:type="dxa" w:w="2494"/>
          </w:tcPr>
          <w:p>
            <w:pPr>
              <w:spacing w:after="0" w:line="240" w:lineRule="auto"/>
              <w:jc w:val="left"/>
            </w:pPr>
            <w:r/>
            <w:r>
              <w:rPr>
                <w:rFonts w:ascii="Calibri" w:hAnsi="Calibri"/>
                <w:b w:val="0"/>
                <w:sz w:val="15"/>
              </w:rPr>
              <w:t>Dataset provenance table: source, licence, raw count, classes, images kept after cleaning, per class</w:t>
            </w:r>
          </w:p>
        </w:tc>
        <w:tc>
          <w:tcPr>
            <w:tcW w:type="dxa" w:w="4139"/>
          </w:tcPr>
          <w:p>
            <w:pPr>
              <w:spacing w:after="0" w:line="240" w:lineRule="auto"/>
              <w:jc w:val="left"/>
            </w:pPr>
            <w:r/>
            <w:r>
              <w:rPr>
                <w:rFonts w:ascii="Calibri" w:hAnsi="Calibri"/>
                <w:b w:val="0"/>
                <w:sz w:val="15"/>
              </w:rPr>
              <w:t>The current claim (TrashNet + Kaggle + TACO, 1,800 per class) cannot be reconciled: TrashNet holds 2,527 images in total and has no Organic or E-waste class.</w:t>
            </w:r>
          </w:p>
        </w:tc>
        <w:tc>
          <w:tcPr>
            <w:tcW w:type="dxa" w:w="2324"/>
          </w:tcPr>
          <w:p>
            <w:pPr>
              <w:spacing w:after="0" w:line="240" w:lineRule="auto"/>
              <w:jc w:val="left"/>
            </w:pPr>
            <w:r/>
            <w:r>
              <w:rPr>
                <w:rFonts w:ascii="Calibri" w:hAnsi="Calibri"/>
                <w:b w:val="0"/>
                <w:sz w:val="15"/>
              </w:rPr>
              <w:t>Chapter 7, before Table 7.1</w:t>
            </w:r>
          </w:p>
        </w:tc>
      </w:tr>
      <w:tr>
        <w:trPr>
          <w:cantSplit w:val="true"/>
        </w:trPr>
        <w:tc>
          <w:tcPr>
            <w:tcW w:type="dxa" w:w="454"/>
            <w:shd w:val="clear" w:color="auto" w:fill="EEF1F7"/>
          </w:tcPr>
          <w:p>
            <w:pPr>
              <w:spacing w:after="0" w:line="240" w:lineRule="auto"/>
              <w:jc w:val="left"/>
            </w:pPr>
            <w:r/>
            <w:r>
              <w:rPr>
                <w:rFonts w:ascii="Calibri" w:hAnsi="Calibri"/>
                <w:b w:val="0"/>
                <w:sz w:val="15"/>
              </w:rPr>
              <w:t>2</w:t>
            </w:r>
          </w:p>
        </w:tc>
        <w:tc>
          <w:tcPr>
            <w:tcW w:type="dxa" w:w="2494"/>
            <w:shd w:val="clear" w:color="auto" w:fill="EEF1F7"/>
          </w:tcPr>
          <w:p>
            <w:pPr>
              <w:spacing w:after="0" w:line="240" w:lineRule="auto"/>
              <w:jc w:val="left"/>
            </w:pPr>
            <w:r/>
            <w:r>
              <w:rPr>
                <w:rFonts w:ascii="Calibri" w:hAnsi="Calibri"/>
                <w:b w:val="0"/>
                <w:sz w:val="15"/>
              </w:rPr>
              <w:t>One experiment sheet: date, model file hash, TFLite version, quantisation, Pi power mode, test-set count</w:t>
            </w:r>
          </w:p>
        </w:tc>
        <w:tc>
          <w:tcPr>
            <w:tcW w:type="dxa" w:w="4139"/>
            <w:shd w:val="clear" w:color="auto" w:fill="EEF1F7"/>
          </w:tcPr>
          <w:p>
            <w:pPr>
              <w:spacing w:after="0" w:line="240" w:lineRule="auto"/>
              <w:jc w:val="left"/>
            </w:pPr>
            <w:r/>
            <w:r>
              <w:rPr>
                <w:rFonts w:ascii="Calibri" w:hAnsi="Calibri"/>
                <w:b w:val="0"/>
                <w:sz w:val="15"/>
              </w:rPr>
              <w:t>Makes the single reported accuracy reproducible and defensible.</w:t>
            </w:r>
          </w:p>
        </w:tc>
        <w:tc>
          <w:tcPr>
            <w:tcW w:type="dxa" w:w="2324"/>
            <w:shd w:val="clear" w:color="auto" w:fill="EEF1F7"/>
          </w:tcPr>
          <w:p>
            <w:pPr>
              <w:spacing w:after="0" w:line="240" w:lineRule="auto"/>
              <w:jc w:val="left"/>
            </w:pPr>
            <w:r/>
            <w:r>
              <w:rPr>
                <w:rFonts w:ascii="Calibri" w:hAnsi="Calibri"/>
                <w:b w:val="0"/>
                <w:sz w:val="15"/>
              </w:rPr>
              <w:t>Appendix</w:t>
            </w:r>
          </w:p>
        </w:tc>
      </w:tr>
      <w:tr>
        <w:trPr>
          <w:cantSplit w:val="true"/>
        </w:trPr>
        <w:tc>
          <w:tcPr>
            <w:tcW w:type="dxa" w:w="454"/>
          </w:tcPr>
          <w:p>
            <w:pPr>
              <w:spacing w:after="0" w:line="240" w:lineRule="auto"/>
              <w:jc w:val="left"/>
            </w:pPr>
            <w:r/>
            <w:r>
              <w:rPr>
                <w:rFonts w:ascii="Calibri" w:hAnsi="Calibri"/>
                <w:b w:val="0"/>
                <w:sz w:val="15"/>
              </w:rPr>
              <w:t>3</w:t>
            </w:r>
          </w:p>
        </w:tc>
        <w:tc>
          <w:tcPr>
            <w:tcW w:type="dxa" w:w="2494"/>
          </w:tcPr>
          <w:p>
            <w:pPr>
              <w:spacing w:after="0" w:line="240" w:lineRule="auto"/>
              <w:jc w:val="left"/>
            </w:pPr>
            <w:r/>
            <w:r>
              <w:rPr>
                <w:rFonts w:ascii="Calibri" w:hAnsi="Calibri"/>
                <w:b w:val="0"/>
                <w:sz w:val="15"/>
              </w:rPr>
              <w:t>Confusion matrix printed once, with support column and macro-F1</w:t>
            </w:r>
          </w:p>
        </w:tc>
        <w:tc>
          <w:tcPr>
            <w:tcW w:type="dxa" w:w="4139"/>
          </w:tcPr>
          <w:p>
            <w:pPr>
              <w:spacing w:after="0" w:line="240" w:lineRule="auto"/>
              <w:jc w:val="left"/>
            </w:pPr>
            <w:r/>
            <w:r>
              <w:rPr>
                <w:rFonts w:ascii="Calibri" w:hAnsi="Calibri"/>
                <w:b w:val="0"/>
                <w:sz w:val="15"/>
              </w:rPr>
              <w:t>Replaces three incompatible matrices with one auditable one.</w:t>
            </w:r>
          </w:p>
        </w:tc>
        <w:tc>
          <w:tcPr>
            <w:tcW w:type="dxa" w:w="2324"/>
          </w:tcPr>
          <w:p>
            <w:pPr>
              <w:spacing w:after="0" w:line="240" w:lineRule="auto"/>
              <w:jc w:val="left"/>
            </w:pPr>
            <w:r/>
            <w:r>
              <w:rPr>
                <w:rFonts w:ascii="Calibri" w:hAnsi="Calibri"/>
                <w:b w:val="0"/>
                <w:sz w:val="15"/>
              </w:rPr>
              <w:t>Chapter 7 / Results</w:t>
            </w:r>
          </w:p>
        </w:tc>
      </w:tr>
      <w:tr>
        <w:trPr>
          <w:cantSplit w:val="true"/>
        </w:trPr>
        <w:tc>
          <w:tcPr>
            <w:tcW w:type="dxa" w:w="454"/>
            <w:shd w:val="clear" w:color="auto" w:fill="EEF1F7"/>
          </w:tcPr>
          <w:p>
            <w:pPr>
              <w:spacing w:after="0" w:line="240" w:lineRule="auto"/>
              <w:jc w:val="left"/>
            </w:pPr>
            <w:r/>
            <w:r>
              <w:rPr>
                <w:rFonts w:ascii="Calibri" w:hAnsi="Calibri"/>
                <w:b w:val="0"/>
                <w:sz w:val="15"/>
              </w:rPr>
              <w:t>4</w:t>
            </w:r>
          </w:p>
        </w:tc>
        <w:tc>
          <w:tcPr>
            <w:tcW w:type="dxa" w:w="2494"/>
            <w:shd w:val="clear" w:color="auto" w:fill="EEF1F7"/>
          </w:tcPr>
          <w:p>
            <w:pPr>
              <w:spacing w:after="0" w:line="240" w:lineRule="auto"/>
              <w:jc w:val="left"/>
            </w:pPr>
            <w:r/>
            <w:r>
              <w:rPr>
                <w:rFonts w:ascii="Calibri" w:hAnsi="Calibri"/>
                <w:b w:val="0"/>
                <w:sz w:val="15"/>
              </w:rPr>
              <w:t>BOM with unit costs and vendors</w:t>
            </w:r>
          </w:p>
        </w:tc>
        <w:tc>
          <w:tcPr>
            <w:tcW w:type="dxa" w:w="4139"/>
            <w:shd w:val="clear" w:color="auto" w:fill="EEF1F7"/>
          </w:tcPr>
          <w:p>
            <w:pPr>
              <w:spacing w:after="0" w:line="240" w:lineRule="auto"/>
              <w:jc w:val="left"/>
            </w:pPr>
            <w:r/>
            <w:r>
              <w:rPr>
                <w:rFonts w:ascii="Calibri" w:hAnsi="Calibri"/>
                <w:b w:val="0"/>
                <w:sz w:val="15"/>
              </w:rPr>
              <w:t>Backs the price and the gross margin.</w:t>
            </w:r>
          </w:p>
        </w:tc>
        <w:tc>
          <w:tcPr>
            <w:tcW w:type="dxa" w:w="2324"/>
            <w:shd w:val="clear" w:color="auto" w:fill="EEF1F7"/>
          </w:tcPr>
          <w:p>
            <w:pPr>
              <w:spacing w:after="0" w:line="240" w:lineRule="auto"/>
              <w:jc w:val="left"/>
            </w:pPr>
            <w:r/>
            <w:r>
              <w:rPr>
                <w:rFonts w:ascii="Calibri" w:hAnsi="Calibri"/>
                <w:b w:val="0"/>
                <w:sz w:val="15"/>
              </w:rPr>
              <w:t>Chapter 9</w:t>
            </w:r>
          </w:p>
        </w:tc>
      </w:tr>
      <w:tr>
        <w:trPr>
          <w:cantSplit w:val="true"/>
        </w:trPr>
        <w:tc>
          <w:tcPr>
            <w:tcW w:type="dxa" w:w="454"/>
          </w:tcPr>
          <w:p>
            <w:pPr>
              <w:spacing w:after="0" w:line="240" w:lineRule="auto"/>
              <w:jc w:val="left"/>
            </w:pPr>
            <w:r/>
            <w:r>
              <w:rPr>
                <w:rFonts w:ascii="Calibri" w:hAnsi="Calibri"/>
                <w:b w:val="0"/>
                <w:sz w:val="15"/>
              </w:rPr>
              <w:t>5</w:t>
            </w:r>
          </w:p>
        </w:tc>
        <w:tc>
          <w:tcPr>
            <w:tcW w:type="dxa" w:w="2494"/>
          </w:tcPr>
          <w:p>
            <w:pPr>
              <w:spacing w:after="0" w:line="240" w:lineRule="auto"/>
              <w:jc w:val="left"/>
            </w:pPr>
            <w:r/>
            <w:r>
              <w:rPr>
                <w:rFonts w:ascii="Calibri" w:hAnsi="Calibri"/>
                <w:b w:val="0"/>
                <w:sz w:val="15"/>
              </w:rPr>
              <w:t>Survey instrument + n + sampling method</w:t>
            </w:r>
          </w:p>
        </w:tc>
        <w:tc>
          <w:tcPr>
            <w:tcW w:type="dxa" w:w="4139"/>
          </w:tcPr>
          <w:p>
            <w:pPr>
              <w:spacing w:after="0" w:line="240" w:lineRule="auto"/>
              <w:jc w:val="left"/>
            </w:pPr>
            <w:r/>
            <w:r>
              <w:rPr>
                <w:rFonts w:ascii="Calibri" w:hAnsi="Calibri"/>
                <w:b w:val="0"/>
                <w:sz w:val="15"/>
              </w:rPr>
              <w:t>Backs every survey percentage used in Chapter 2 and in the TAM/SAM/SOM penetration assumption.</w:t>
            </w:r>
          </w:p>
        </w:tc>
        <w:tc>
          <w:tcPr>
            <w:tcW w:type="dxa" w:w="2324"/>
          </w:tcPr>
          <w:p>
            <w:pPr>
              <w:spacing w:after="0" w:line="240" w:lineRule="auto"/>
              <w:jc w:val="left"/>
            </w:pPr>
            <w:r/>
            <w:r>
              <w:rPr>
                <w:rFonts w:ascii="Calibri" w:hAnsi="Calibri"/>
                <w:b w:val="0"/>
                <w:sz w:val="15"/>
              </w:rPr>
              <w:t>Appendix</w:t>
            </w:r>
          </w:p>
        </w:tc>
      </w:tr>
      <w:tr>
        <w:trPr>
          <w:cantSplit w:val="true"/>
        </w:trPr>
        <w:tc>
          <w:tcPr>
            <w:tcW w:type="dxa" w:w="454"/>
            <w:shd w:val="clear" w:color="auto" w:fill="EEF1F7"/>
          </w:tcPr>
          <w:p>
            <w:pPr>
              <w:spacing w:after="0" w:line="240" w:lineRule="auto"/>
              <w:jc w:val="left"/>
            </w:pPr>
            <w:r/>
            <w:r>
              <w:rPr>
                <w:rFonts w:ascii="Calibri" w:hAnsi="Calibri"/>
                <w:b w:val="0"/>
                <w:sz w:val="15"/>
              </w:rPr>
              <w:t>6</w:t>
            </w:r>
          </w:p>
        </w:tc>
        <w:tc>
          <w:tcPr>
            <w:tcW w:type="dxa" w:w="2494"/>
            <w:shd w:val="clear" w:color="auto" w:fill="EEF1F7"/>
          </w:tcPr>
          <w:p>
            <w:pPr>
              <w:spacing w:after="0" w:line="240" w:lineRule="auto"/>
              <w:jc w:val="left"/>
            </w:pPr>
            <w:r/>
            <w:r>
              <w:rPr>
                <w:rFonts w:ascii="Calibri" w:hAnsi="Calibri"/>
                <w:b w:val="0"/>
                <w:sz w:val="15"/>
              </w:rPr>
              <w:t>Motor index-position log (encoder ticks vs commanded angle, 100 cycles)</w:t>
            </w:r>
          </w:p>
        </w:tc>
        <w:tc>
          <w:tcPr>
            <w:tcW w:type="dxa" w:w="4139"/>
            <w:shd w:val="clear" w:color="auto" w:fill="EEF1F7"/>
          </w:tcPr>
          <w:p>
            <w:pPr>
              <w:spacing w:after="0" w:line="240" w:lineRule="auto"/>
              <w:jc w:val="left"/>
            </w:pPr>
            <w:r/>
            <w:r>
              <w:rPr>
                <w:rFonts w:ascii="Calibri" w:hAnsi="Calibri"/>
                <w:b w:val="0"/>
                <w:sz w:val="15"/>
              </w:rPr>
              <w:t>Converts the ±1.8° claim into a measured distribution and closes C-6 and §4.4.</w:t>
            </w:r>
          </w:p>
        </w:tc>
        <w:tc>
          <w:tcPr>
            <w:tcW w:type="dxa" w:w="2324"/>
            <w:shd w:val="clear" w:color="auto" w:fill="EEF1F7"/>
          </w:tcPr>
          <w:p>
            <w:pPr>
              <w:spacing w:after="0" w:line="240" w:lineRule="auto"/>
              <w:jc w:val="left"/>
            </w:pPr>
            <w:r/>
            <w:r>
              <w:rPr>
                <w:rFonts w:ascii="Calibri" w:hAnsi="Calibri"/>
                <w:b w:val="0"/>
                <w:sz w:val="15"/>
              </w:rPr>
              <w:t>Chapter 7 / Validation</w:t>
            </w:r>
          </w:p>
        </w:tc>
      </w:tr>
      <w:tr>
        <w:trPr>
          <w:cantSplit w:val="true"/>
        </w:trPr>
        <w:tc>
          <w:tcPr>
            <w:tcW w:type="dxa" w:w="454"/>
          </w:tcPr>
          <w:p>
            <w:pPr>
              <w:spacing w:after="0" w:line="240" w:lineRule="auto"/>
              <w:jc w:val="left"/>
            </w:pPr>
            <w:r/>
            <w:r>
              <w:rPr>
                <w:rFonts w:ascii="Calibri" w:hAnsi="Calibri"/>
                <w:b w:val="0"/>
                <w:sz w:val="15"/>
              </w:rPr>
              <w:t>7</w:t>
            </w:r>
          </w:p>
        </w:tc>
        <w:tc>
          <w:tcPr>
            <w:tcW w:type="dxa" w:w="2494"/>
          </w:tcPr>
          <w:p>
            <w:pPr>
              <w:spacing w:after="0" w:line="240" w:lineRule="auto"/>
              <w:jc w:val="left"/>
            </w:pPr>
            <w:r/>
            <w:r>
              <w:rPr>
                <w:rFonts w:ascii="Calibri" w:hAnsi="Calibri"/>
                <w:b w:val="0"/>
                <w:sz w:val="15"/>
              </w:rPr>
              <w:t>Power log (V, I, W at idle / inference / actuation) and duty cycle</w:t>
            </w:r>
          </w:p>
        </w:tc>
        <w:tc>
          <w:tcPr>
            <w:tcW w:type="dxa" w:w="4139"/>
          </w:tcPr>
          <w:p>
            <w:pPr>
              <w:spacing w:after="0" w:line="240" w:lineRule="auto"/>
              <w:jc w:val="left"/>
            </w:pPr>
            <w:r/>
            <w:r>
              <w:rPr>
                <w:rFonts w:ascii="Calibri" w:hAnsi="Calibri"/>
                <w:b w:val="0"/>
                <w:sz w:val="15"/>
              </w:rPr>
              <w:t>Converts the 6–8 h claim into a computed runtime.</w:t>
            </w:r>
          </w:p>
        </w:tc>
        <w:tc>
          <w:tcPr>
            <w:tcW w:type="dxa" w:w="2324"/>
          </w:tcPr>
          <w:p>
            <w:pPr>
              <w:spacing w:after="0" w:line="240" w:lineRule="auto"/>
              <w:jc w:val="left"/>
            </w:pPr>
            <w:r/>
            <w:r>
              <w:rPr>
                <w:rFonts w:ascii="Calibri" w:hAnsi="Calibri"/>
                <w:b w:val="0"/>
                <w:sz w:val="15"/>
              </w:rPr>
              <w:t>Chapter 7 / Validation</w:t>
            </w:r>
          </w:p>
        </w:tc>
      </w:tr>
      <w:tr>
        <w:trPr>
          <w:cantSplit w:val="true"/>
        </w:trPr>
        <w:tc>
          <w:tcPr>
            <w:tcW w:type="dxa" w:w="454"/>
            <w:shd w:val="clear" w:color="auto" w:fill="EEF1F7"/>
          </w:tcPr>
          <w:p>
            <w:pPr>
              <w:spacing w:after="0" w:line="240" w:lineRule="auto"/>
              <w:jc w:val="left"/>
            </w:pPr>
            <w:r/>
            <w:r>
              <w:rPr>
                <w:rFonts w:ascii="Calibri" w:hAnsi="Calibri"/>
                <w:b w:val="0"/>
                <w:sz w:val="15"/>
              </w:rPr>
              <w:t>8</w:t>
            </w:r>
          </w:p>
        </w:tc>
        <w:tc>
          <w:tcPr>
            <w:tcW w:type="dxa" w:w="2494"/>
            <w:shd w:val="clear" w:color="auto" w:fill="EEF1F7"/>
          </w:tcPr>
          <w:p>
            <w:pPr>
              <w:spacing w:after="0" w:line="240" w:lineRule="auto"/>
              <w:jc w:val="left"/>
            </w:pPr>
            <w:r/>
            <w:r>
              <w:rPr>
                <w:rFonts w:ascii="Calibri" w:hAnsi="Calibri"/>
                <w:b w:val="0"/>
                <w:sz w:val="15"/>
              </w:rPr>
              <w:t>Patent/prior-art or novelty statement</w:t>
            </w:r>
          </w:p>
        </w:tc>
        <w:tc>
          <w:tcPr>
            <w:tcW w:type="dxa" w:w="4139"/>
            <w:shd w:val="clear" w:color="auto" w:fill="EEF1F7"/>
          </w:tcPr>
          <w:p>
            <w:pPr>
              <w:spacing w:after="0" w:line="240" w:lineRule="auto"/>
              <w:jc w:val="left"/>
            </w:pPr>
            <w:r/>
            <w:r>
              <w:rPr>
                <w:rFonts w:ascii="Calibri" w:hAnsi="Calibri"/>
                <w:b w:val="0"/>
                <w:sz w:val="15"/>
              </w:rPr>
              <w:t>The claim “novelty lies in hybrid integration” is asserted; one paragraph of prior-art comparison would defend it.</w:t>
            </w:r>
          </w:p>
        </w:tc>
        <w:tc>
          <w:tcPr>
            <w:tcW w:type="dxa" w:w="2324"/>
            <w:shd w:val="clear" w:color="auto" w:fill="EEF1F7"/>
          </w:tcPr>
          <w:p>
            <w:pPr>
              <w:spacing w:after="0" w:line="240" w:lineRule="auto"/>
              <w:jc w:val="left"/>
            </w:pPr>
            <w:r/>
            <w:r>
              <w:rPr>
                <w:rFonts w:ascii="Calibri" w:hAnsi="Calibri"/>
                <w:b w:val="0"/>
                <w:sz w:val="15"/>
              </w:rPr>
              <w:t>Chapter 4 or 1</w:t>
            </w:r>
          </w:p>
        </w:tc>
      </w:tr>
      <w:tr>
        <w:trPr>
          <w:cantSplit w:val="true"/>
        </w:trPr>
        <w:tc>
          <w:tcPr>
            <w:tcW w:type="dxa" w:w="454"/>
          </w:tcPr>
          <w:p>
            <w:pPr>
              <w:spacing w:after="0" w:line="240" w:lineRule="auto"/>
              <w:jc w:val="left"/>
            </w:pPr>
            <w:r/>
            <w:r>
              <w:rPr>
                <w:rFonts w:ascii="Calibri" w:hAnsi="Calibri"/>
                <w:b w:val="0"/>
                <w:sz w:val="15"/>
              </w:rPr>
              <w:t>9</w:t>
            </w:r>
          </w:p>
        </w:tc>
        <w:tc>
          <w:tcPr>
            <w:tcW w:type="dxa" w:w="2494"/>
          </w:tcPr>
          <w:p>
            <w:pPr>
              <w:spacing w:after="0" w:line="240" w:lineRule="auto"/>
              <w:jc w:val="left"/>
            </w:pPr>
            <w:r/>
            <w:r>
              <w:rPr>
                <w:rFonts w:ascii="Calibri" w:hAnsi="Calibri"/>
                <w:b w:val="0"/>
                <w:sz w:val="15"/>
              </w:rPr>
              <w:t>Plagiarism / AI-use declaration, if the template requires it</w:t>
            </w:r>
          </w:p>
        </w:tc>
        <w:tc>
          <w:tcPr>
            <w:tcW w:type="dxa" w:w="4139"/>
          </w:tcPr>
          <w:p>
            <w:pPr>
              <w:spacing w:after="0" w:line="240" w:lineRule="auto"/>
              <w:jc w:val="left"/>
            </w:pPr>
            <w:r/>
            <w:r>
              <w:rPr>
                <w:rFonts w:ascii="Calibri" w:hAnsi="Calibri"/>
                <w:b w:val="0"/>
                <w:sz w:val="15"/>
              </w:rPr>
              <w:t>Standard submission requirement in most autonomous-institution templates.</w:t>
            </w:r>
          </w:p>
        </w:tc>
        <w:tc>
          <w:tcPr>
            <w:tcW w:type="dxa" w:w="2324"/>
          </w:tcPr>
          <w:p>
            <w:pPr>
              <w:spacing w:after="0" w:line="240" w:lineRule="auto"/>
              <w:jc w:val="left"/>
            </w:pPr>
            <w:r/>
            <w:r>
              <w:rPr>
                <w:rFonts w:ascii="Calibri" w:hAnsi="Calibri"/>
                <w:b w:val="0"/>
                <w:sz w:val="15"/>
              </w:rPr>
              <w:t>Front matter</w:t>
            </w:r>
          </w:p>
        </w:tc>
      </w:tr>
      <w:tr>
        <w:trPr>
          <w:cantSplit w:val="true"/>
        </w:trPr>
        <w:tc>
          <w:tcPr>
            <w:tcW w:type="dxa" w:w="454"/>
            <w:shd w:val="clear" w:color="auto" w:fill="EEF1F7"/>
          </w:tcPr>
          <w:p>
            <w:pPr>
              <w:spacing w:after="0" w:line="240" w:lineRule="auto"/>
              <w:jc w:val="left"/>
            </w:pPr>
            <w:r/>
            <w:r>
              <w:rPr>
                <w:rFonts w:ascii="Calibri" w:hAnsi="Calibri"/>
                <w:b w:val="0"/>
                <w:sz w:val="15"/>
              </w:rPr>
              <w:t>10</w:t>
            </w:r>
          </w:p>
        </w:tc>
        <w:tc>
          <w:tcPr>
            <w:tcW w:type="dxa" w:w="2494"/>
            <w:shd w:val="clear" w:color="auto" w:fill="EEF1F7"/>
          </w:tcPr>
          <w:p>
            <w:pPr>
              <w:spacing w:after="0" w:line="240" w:lineRule="auto"/>
              <w:jc w:val="left"/>
            </w:pPr>
            <w:r/>
            <w:r>
              <w:rPr>
                <w:rFonts w:ascii="Calibri" w:hAnsi="Calibri"/>
                <w:b w:val="0"/>
                <w:sz w:val="15"/>
              </w:rPr>
              <w:t>List of abbreviations and symbols</w:t>
            </w:r>
          </w:p>
        </w:tc>
        <w:tc>
          <w:tcPr>
            <w:tcW w:type="dxa" w:w="4139"/>
            <w:shd w:val="clear" w:color="auto" w:fill="EEF1F7"/>
          </w:tcPr>
          <w:p>
            <w:pPr>
              <w:spacing w:after="0" w:line="240" w:lineRule="auto"/>
              <w:jc w:val="left"/>
            </w:pPr>
            <w:r/>
            <w:r>
              <w:rPr>
                <w:rFonts w:ascii="Calibri" w:hAnsi="Calibri"/>
                <w:b w:val="0"/>
                <w:sz w:val="15"/>
              </w:rPr>
              <w:t>The document uses ToF, MEC, BMS, HDPE, ABS, PWM, CSI, GPIO, TFLite without a key.</w:t>
            </w:r>
          </w:p>
        </w:tc>
        <w:tc>
          <w:tcPr>
            <w:tcW w:type="dxa" w:w="2324"/>
            <w:shd w:val="clear" w:color="auto" w:fill="EEF1F7"/>
          </w:tcPr>
          <w:p>
            <w:pPr>
              <w:spacing w:after="0" w:line="240" w:lineRule="auto"/>
              <w:jc w:val="left"/>
            </w:pPr>
            <w:r/>
            <w:r>
              <w:rPr>
                <w:rFonts w:ascii="Calibri" w:hAnsi="Calibri"/>
                <w:b w:val="0"/>
                <w:sz w:val="15"/>
              </w:rPr>
              <w:t>Front matter</w:t>
            </w:r>
          </w:p>
        </w:tc>
      </w:tr>
    </w:tbl>
    <w:p>
      <w:pPr>
        <w:keepNext/>
        <w:spacing w:before="160" w:after="60"/>
        <w:jc w:val="left"/>
      </w:pPr>
      <w:r>
        <w:rPr>
          <w:rFonts w:ascii="Calibri" w:hAnsi="Calibri"/>
          <w:b/>
          <w:color w:val="1F3864"/>
          <w:sz w:val="18"/>
        </w:rPr>
        <w:t>Table 9.1 — Evidence register.</w:t>
      </w:r>
    </w:p>
    <w:p>
      <w:r>
        <w:br w:type="page"/>
      </w:r>
    </w:p>
    <w:p>
      <w:pPr>
        <w:keepNext/>
        <w:spacing w:before="200" w:after="120"/>
        <w:jc w:val="left"/>
        <w:pBdr>
          <w:bottom w:val="single" w:sz="8" w:space="2" w:color="1F3864"/>
        </w:pBdr>
      </w:pPr>
      <w:r>
        <w:rPr>
          <w:rFonts w:ascii="Times New Roman" w:hAnsi="Times New Roman"/>
          <w:b/>
          <w:color w:val="1F3864"/>
          <w:sz w:val="26"/>
        </w:rPr>
        <w:t>10. MASTER VALUE LEDGER — THE SINGLE SET OF NUMBERS FOR THE NEW REPORT</w:t>
      </w:r>
    </w:p>
    <w:p>
      <w:pPr>
        <w:spacing w:after="120"/>
        <w:ind w:left="0"/>
        <w:jc w:val="both"/>
      </w:pPr>
      <w:r>
        <w:rPr>
          <w:b w:val="0"/>
          <w:i w:val="0"/>
          <w:sz w:val="22"/>
        </w:rPr>
        <w:t xml:space="preserve">This is the operative table. </w:t>
      </w:r>
      <w:r>
        <w:rPr>
          <w:b/>
          <w:i w:val="0"/>
          <w:sz w:val="22"/>
        </w:rPr>
        <w:t>Every number that appears anywhere in the new report must come from the right-hand column of this table, and nowhere else.</w:t>
      </w:r>
      <w:r>
        <w:rPr>
          <w:b w:val="0"/>
          <w:i w:val="0"/>
          <w:sz w:val="22"/>
        </w:rPr>
        <w:t xml:space="preserve"> Fill the “Confirmed value” column once, then treat it as the only source — that is what prevents the same 29× and 4-accuracy problems from reappearing.</w:t>
      </w:r>
    </w:p>
    <w:tbl>
      <w:tblPr>
        <w:tblStyle w:val="TableGrid"/>
        <w:jc w:val="center"/>
        <w:tblLook w:firstColumn="1" w:firstRow="1" w:lastColumn="0" w:lastRow="0" w:noHBand="0" w:noVBand="1" w:val="04A0"/>
        <w:tblCellMar>
          <w:top w:w="40" w:type="dxa"/>
          <w:left w:w="70" w:type="dxa"/>
          <w:bottom w:w="40" w:type="dxa"/>
          <w:right w:w="70" w:type="dxa"/>
        </w:tblCellMar>
        <w:tblLayout w:type="fixed"/>
        <w:tblW w:type="dxa" w:w="9412"/>
      </w:tblPr>
      <w:tblGrid>
        <w:gridCol w:w="396"/>
        <w:gridCol w:w="2268"/>
        <w:gridCol w:w="2381"/>
        <w:gridCol w:w="1020"/>
        <w:gridCol w:w="3345"/>
      </w:tblGrid>
      <w:tr>
        <w:trPr>
          <w:tblHeader w:val="true"/>
          <w:cantSplit w:val="true"/>
        </w:trPr>
        <w:tc>
          <w:tcPr>
            <w:tcW w:type="dxa" w:w="397"/>
            <w:shd w:val="clear" w:color="auto" w:fill="1F3864"/>
          </w:tcPr>
          <w:p>
            <w:pPr>
              <w:spacing w:after="0" w:line="240" w:lineRule="auto"/>
              <w:jc w:val="left"/>
            </w:pPr>
            <w:r/>
            <w:r>
              <w:rPr>
                <w:rFonts w:ascii="Calibri" w:hAnsi="Calibri"/>
                <w:b/>
                <w:color w:val="FFFFFF"/>
                <w:sz w:val="14"/>
              </w:rPr>
              <w:t>#</w:t>
            </w:r>
          </w:p>
        </w:tc>
        <w:tc>
          <w:tcPr>
            <w:tcW w:type="dxa" w:w="2268"/>
            <w:shd w:val="clear" w:color="auto" w:fill="1F3864"/>
          </w:tcPr>
          <w:p>
            <w:pPr>
              <w:spacing w:after="0" w:line="240" w:lineRule="auto"/>
              <w:jc w:val="left"/>
            </w:pPr>
            <w:r/>
            <w:r>
              <w:rPr>
                <w:rFonts w:ascii="Calibri" w:hAnsi="Calibri"/>
                <w:b/>
                <w:color w:val="FFFFFF"/>
                <w:sz w:val="14"/>
              </w:rPr>
              <w:t>Quantity</w:t>
            </w:r>
          </w:p>
        </w:tc>
        <w:tc>
          <w:tcPr>
            <w:tcW w:type="dxa" w:w="2381"/>
            <w:shd w:val="clear" w:color="auto" w:fill="1F3864"/>
          </w:tcPr>
          <w:p>
            <w:pPr>
              <w:spacing w:after="0" w:line="240" w:lineRule="auto"/>
              <w:jc w:val="left"/>
            </w:pPr>
            <w:r/>
            <w:r>
              <w:rPr>
                <w:rFonts w:ascii="Calibri" w:hAnsi="Calibri"/>
                <w:b/>
                <w:color w:val="FFFFFF"/>
                <w:sz w:val="14"/>
              </w:rPr>
              <w:t>Old value(s) in the documents</w:t>
            </w:r>
          </w:p>
        </w:tc>
        <w:tc>
          <w:tcPr>
            <w:tcW w:type="dxa" w:w="1020"/>
            <w:shd w:val="clear" w:color="auto" w:fill="1F3864"/>
          </w:tcPr>
          <w:p>
            <w:pPr>
              <w:spacing w:after="0" w:line="240" w:lineRule="auto"/>
              <w:jc w:val="left"/>
            </w:pPr>
            <w:r/>
            <w:r>
              <w:rPr>
                <w:rFonts w:ascii="Calibri" w:hAnsi="Calibri"/>
                <w:b/>
                <w:color w:val="FFFFFF"/>
                <w:sz w:val="14"/>
              </w:rPr>
              <w:t>Status</w:t>
            </w:r>
          </w:p>
        </w:tc>
        <w:tc>
          <w:tcPr>
            <w:tcW w:type="dxa" w:w="3345"/>
            <w:shd w:val="clear" w:color="auto" w:fill="1F3864"/>
          </w:tcPr>
          <w:p>
            <w:pPr>
              <w:spacing w:after="0" w:line="240" w:lineRule="auto"/>
              <w:jc w:val="left"/>
            </w:pPr>
            <w:r/>
            <w:r>
              <w:rPr>
                <w:rFonts w:ascii="Calibri" w:hAnsi="Calibri"/>
                <w:b/>
                <w:color w:val="FFFFFF"/>
                <w:sz w:val="14"/>
              </w:rPr>
              <w:t>Value to use in the new report</w:t>
            </w:r>
          </w:p>
        </w:tc>
      </w:tr>
      <w:tr>
        <w:trPr>
          <w:cantSplit w:val="true"/>
        </w:trPr>
        <w:tc>
          <w:tcPr>
            <w:tcW w:type="dxa" w:w="397"/>
          </w:tcPr>
          <w:p>
            <w:pPr>
              <w:spacing w:after="0" w:line="240" w:lineRule="auto"/>
              <w:jc w:val="left"/>
            </w:pPr>
            <w:r/>
            <w:r>
              <w:rPr>
                <w:rFonts w:ascii="Calibri" w:hAnsi="Calibri"/>
                <w:b w:val="0"/>
                <w:sz w:val="14"/>
              </w:rPr>
              <w:t>1</w:t>
            </w:r>
          </w:p>
        </w:tc>
        <w:tc>
          <w:tcPr>
            <w:tcW w:type="dxa" w:w="2268"/>
          </w:tcPr>
          <w:p>
            <w:pPr>
              <w:spacing w:after="0" w:line="240" w:lineRule="auto"/>
              <w:jc w:val="left"/>
            </w:pPr>
            <w:r/>
            <w:r>
              <w:rPr>
                <w:rFonts w:ascii="Calibri" w:hAnsi="Calibri"/>
                <w:b w:val="0"/>
                <w:sz w:val="14"/>
              </w:rPr>
              <w:t>Headline classification accuracy</w:t>
            </w:r>
          </w:p>
        </w:tc>
        <w:tc>
          <w:tcPr>
            <w:tcW w:type="dxa" w:w="2381"/>
          </w:tcPr>
          <w:p>
            <w:pPr>
              <w:spacing w:after="0" w:line="240" w:lineRule="auto"/>
              <w:jc w:val="left"/>
            </w:pPr>
            <w:r/>
            <w:r>
              <w:rPr>
                <w:rFonts w:ascii="Calibri" w:hAnsi="Calibri"/>
                <w:b w:val="0"/>
                <w:sz w:val="14"/>
              </w:rPr>
              <w:t>95.41% / 97.7% / 98.3% / 93.8% / 94.04%</w:t>
            </w:r>
          </w:p>
        </w:tc>
        <w:tc>
          <w:tcPr>
            <w:tcW w:type="dxa" w:w="1020"/>
          </w:tcPr>
          <w:p>
            <w:pPr>
              <w:spacing w:after="0" w:line="240" w:lineRule="auto"/>
              <w:jc w:val="left"/>
            </w:pPr>
            <w:r/>
            <w:r>
              <w:rPr>
                <w:rFonts w:ascii="Calibri" w:hAnsi="Calibri"/>
                <w:b/>
                <w:color w:val="A61B1B"/>
                <w:sz w:val="14"/>
              </w:rPr>
              <w:t>BLOCKER</w:t>
            </w:r>
          </w:p>
        </w:tc>
        <w:tc>
          <w:tcPr>
            <w:tcW w:type="dxa" w:w="3345"/>
          </w:tcPr>
          <w:p>
            <w:pPr>
              <w:spacing w:after="0" w:line="240" w:lineRule="auto"/>
              <w:jc w:val="left"/>
            </w:pPr>
            <w:r/>
            <w:r>
              <w:rPr>
                <w:rFonts w:ascii="Calibri" w:hAnsi="Calibri"/>
                <w:b w:val="0"/>
                <w:sz w:val="14"/>
              </w:rPr>
              <w:t>One value, from one test run, with the denominator printed: “__% (n = __)”.</w:t>
            </w:r>
          </w:p>
        </w:tc>
      </w:tr>
      <w:tr>
        <w:trPr>
          <w:cantSplit w:val="true"/>
        </w:trPr>
        <w:tc>
          <w:tcPr>
            <w:tcW w:type="dxa" w:w="397"/>
            <w:shd w:val="clear" w:color="auto" w:fill="EEF1F7"/>
          </w:tcPr>
          <w:p>
            <w:pPr>
              <w:spacing w:after="0" w:line="240" w:lineRule="auto"/>
              <w:jc w:val="left"/>
            </w:pPr>
            <w:r/>
            <w:r>
              <w:rPr>
                <w:rFonts w:ascii="Calibri" w:hAnsi="Calibri"/>
                <w:b w:val="0"/>
                <w:sz w:val="14"/>
              </w:rPr>
              <w:t>2</w:t>
            </w:r>
          </w:p>
        </w:tc>
        <w:tc>
          <w:tcPr>
            <w:tcW w:type="dxa" w:w="2268"/>
            <w:shd w:val="clear" w:color="auto" w:fill="EEF1F7"/>
          </w:tcPr>
          <w:p>
            <w:pPr>
              <w:spacing w:after="0" w:line="240" w:lineRule="auto"/>
              <w:jc w:val="left"/>
            </w:pPr>
            <w:r/>
            <w:r>
              <w:rPr>
                <w:rFonts w:ascii="Calibri" w:hAnsi="Calibri"/>
                <w:b w:val="0"/>
                <w:sz w:val="14"/>
              </w:rPr>
              <w:t>Test-set size and split</w:t>
            </w:r>
          </w:p>
        </w:tc>
        <w:tc>
          <w:tcPr>
            <w:tcW w:type="dxa" w:w="2381"/>
            <w:shd w:val="clear" w:color="auto" w:fill="EEF1F7"/>
          </w:tcPr>
          <w:p>
            <w:pPr>
              <w:spacing w:after="0" w:line="240" w:lineRule="auto"/>
              <w:jc w:val="left"/>
            </w:pPr>
            <w:r/>
            <w:r>
              <w:rPr>
                <w:rFonts w:ascii="Calibri" w:hAnsi="Calibri"/>
                <w:b w:val="0"/>
                <w:sz w:val="14"/>
              </w:rPr>
              <w:t>80/class, 100/class, 2,000 total, 80:20, 3,390</w:t>
            </w:r>
          </w:p>
        </w:tc>
        <w:tc>
          <w:tcPr>
            <w:tcW w:type="dxa" w:w="1020"/>
            <w:shd w:val="clear" w:color="auto" w:fill="EEF1F7"/>
          </w:tcPr>
          <w:p>
            <w:pPr>
              <w:spacing w:after="0" w:line="240" w:lineRule="auto"/>
              <w:jc w:val="left"/>
            </w:pPr>
            <w:r/>
            <w:r>
              <w:rPr>
                <w:rFonts w:ascii="Calibri" w:hAnsi="Calibri"/>
                <w:b/>
                <w:color w:val="A61B1B"/>
                <w:sz w:val="14"/>
              </w:rPr>
              <w:t>BLOCKER</w:t>
            </w:r>
          </w:p>
        </w:tc>
        <w:tc>
          <w:tcPr>
            <w:tcW w:type="dxa" w:w="3345"/>
            <w:shd w:val="clear" w:color="auto" w:fill="EEF1F7"/>
          </w:tcPr>
          <w:p>
            <w:pPr>
              <w:spacing w:after="0" w:line="240" w:lineRule="auto"/>
              <w:jc w:val="left"/>
            </w:pPr>
            <w:r/>
            <w:r>
              <w:rPr>
                <w:rFonts w:ascii="Calibri" w:hAnsi="Calibri"/>
                <w:b w:val="0"/>
                <w:sz w:val="14"/>
              </w:rPr>
              <w:t>State the split once: __% train / __% validation / __% test, and n per class.</w:t>
            </w:r>
          </w:p>
        </w:tc>
      </w:tr>
      <w:tr>
        <w:trPr>
          <w:cantSplit w:val="true"/>
        </w:trPr>
        <w:tc>
          <w:tcPr>
            <w:tcW w:type="dxa" w:w="397"/>
          </w:tcPr>
          <w:p>
            <w:pPr>
              <w:spacing w:after="0" w:line="240" w:lineRule="auto"/>
              <w:jc w:val="left"/>
            </w:pPr>
            <w:r/>
            <w:r>
              <w:rPr>
                <w:rFonts w:ascii="Calibri" w:hAnsi="Calibri"/>
                <w:b w:val="0"/>
                <w:sz w:val="14"/>
              </w:rPr>
              <w:t>3</w:t>
            </w:r>
          </w:p>
        </w:tc>
        <w:tc>
          <w:tcPr>
            <w:tcW w:type="dxa" w:w="2268"/>
          </w:tcPr>
          <w:p>
            <w:pPr>
              <w:spacing w:after="0" w:line="240" w:lineRule="auto"/>
              <w:jc w:val="left"/>
            </w:pPr>
            <w:r/>
            <w:r>
              <w:rPr>
                <w:rFonts w:ascii="Calibri" w:hAnsi="Calibri"/>
                <w:b w:val="0"/>
                <w:sz w:val="14"/>
              </w:rPr>
              <w:t>Per-class precision / recall / F1 + support</w:t>
            </w:r>
          </w:p>
        </w:tc>
        <w:tc>
          <w:tcPr>
            <w:tcW w:type="dxa" w:w="2381"/>
          </w:tcPr>
          <w:p>
            <w:pPr>
              <w:spacing w:after="0" w:line="240" w:lineRule="auto"/>
              <w:jc w:val="left"/>
            </w:pPr>
            <w:r/>
            <w:r>
              <w:rPr>
                <w:rFonts w:ascii="Calibri" w:hAnsi="Calibri"/>
                <w:b w:val="0"/>
                <w:sz w:val="14"/>
              </w:rPr>
              <w:t>Table 7.2 (5 classes, no support)</w:t>
            </w:r>
          </w:p>
        </w:tc>
        <w:tc>
          <w:tcPr>
            <w:tcW w:type="dxa" w:w="1020"/>
          </w:tcPr>
          <w:p>
            <w:pPr>
              <w:spacing w:after="0" w:line="240" w:lineRule="auto"/>
              <w:jc w:val="left"/>
            </w:pPr>
            <w:r/>
            <w:r>
              <w:rPr>
                <w:rFonts w:ascii="Calibri" w:hAnsi="Calibri"/>
                <w:b/>
                <w:color w:val="A61B1B"/>
                <w:sz w:val="14"/>
              </w:rPr>
              <w:t>BLOCKER</w:t>
            </w:r>
          </w:p>
        </w:tc>
        <w:tc>
          <w:tcPr>
            <w:tcW w:type="dxa" w:w="3345"/>
          </w:tcPr>
          <w:p>
            <w:pPr>
              <w:spacing w:after="0" w:line="240" w:lineRule="auto"/>
              <w:jc w:val="left"/>
            </w:pPr>
            <w:r/>
            <w:r>
              <w:rPr>
                <w:rFonts w:ascii="Calibri" w:hAnsi="Calibri"/>
                <w:b w:val="0"/>
                <w:sz w:val="14"/>
              </w:rPr>
              <w:t>Six (or four) classes, each with support, macro-F1 and the matrix it came from.</w:t>
            </w:r>
          </w:p>
        </w:tc>
      </w:tr>
      <w:tr>
        <w:trPr>
          <w:cantSplit w:val="true"/>
        </w:trPr>
        <w:tc>
          <w:tcPr>
            <w:tcW w:type="dxa" w:w="397"/>
            <w:shd w:val="clear" w:color="auto" w:fill="EEF1F7"/>
          </w:tcPr>
          <w:p>
            <w:pPr>
              <w:spacing w:after="0" w:line="240" w:lineRule="auto"/>
              <w:jc w:val="left"/>
            </w:pPr>
            <w:r/>
            <w:r>
              <w:rPr>
                <w:rFonts w:ascii="Calibri" w:hAnsi="Calibri"/>
                <w:b w:val="0"/>
                <w:sz w:val="14"/>
              </w:rPr>
              <w:t>4</w:t>
            </w:r>
          </w:p>
        </w:tc>
        <w:tc>
          <w:tcPr>
            <w:tcW w:type="dxa" w:w="2268"/>
            <w:shd w:val="clear" w:color="auto" w:fill="EEF1F7"/>
          </w:tcPr>
          <w:p>
            <w:pPr>
              <w:spacing w:after="0" w:line="240" w:lineRule="auto"/>
              <w:jc w:val="left"/>
            </w:pPr>
            <w:r/>
            <w:r>
              <w:rPr>
                <w:rFonts w:ascii="Calibri" w:hAnsi="Calibri"/>
                <w:b w:val="0"/>
                <w:sz w:val="14"/>
              </w:rPr>
              <w:t>Class taxonomy</w:t>
            </w:r>
          </w:p>
        </w:tc>
        <w:tc>
          <w:tcPr>
            <w:tcW w:type="dxa" w:w="2381"/>
            <w:shd w:val="clear" w:color="auto" w:fill="EEF1F7"/>
          </w:tcPr>
          <w:p>
            <w:pPr>
              <w:spacing w:after="0" w:line="240" w:lineRule="auto"/>
              <w:jc w:val="left"/>
            </w:pPr>
            <w:r/>
            <w:r>
              <w:rPr>
                <w:rFonts w:ascii="Calibri" w:hAnsi="Calibri"/>
                <w:b w:val="0"/>
                <w:sz w:val="14"/>
              </w:rPr>
              <w:t>6 trained classes vs 4 compartments</w:t>
            </w:r>
          </w:p>
        </w:tc>
        <w:tc>
          <w:tcPr>
            <w:tcW w:type="dxa" w:w="1020"/>
            <w:shd w:val="clear" w:color="auto" w:fill="EEF1F7"/>
          </w:tcPr>
          <w:p>
            <w:pPr>
              <w:spacing w:after="0" w:line="240" w:lineRule="auto"/>
              <w:jc w:val="left"/>
            </w:pPr>
            <w:r/>
            <w:r>
              <w:rPr>
                <w:rFonts w:ascii="Calibri" w:hAnsi="Calibri"/>
                <w:b/>
                <w:color w:val="A61B1B"/>
                <w:sz w:val="14"/>
              </w:rPr>
              <w:t>BLOCKER</w:t>
            </w:r>
          </w:p>
        </w:tc>
        <w:tc>
          <w:tcPr>
            <w:tcW w:type="dxa" w:w="3345"/>
            <w:shd w:val="clear" w:color="auto" w:fill="EEF1F7"/>
          </w:tcPr>
          <w:p>
            <w:pPr>
              <w:spacing w:after="0" w:line="240" w:lineRule="auto"/>
              <w:jc w:val="left"/>
            </w:pPr>
            <w:r/>
            <w:r>
              <w:rPr>
                <w:rFonts w:ascii="Calibri" w:hAnsi="Calibri"/>
                <w:b w:val="0"/>
                <w:sz w:val="14"/>
              </w:rPr>
              <w:t>Add the mapping table; state which accuracy is 6-class and which is 4-stream.</w:t>
            </w:r>
          </w:p>
        </w:tc>
      </w:tr>
      <w:tr>
        <w:trPr>
          <w:cantSplit w:val="true"/>
        </w:trPr>
        <w:tc>
          <w:tcPr>
            <w:tcW w:type="dxa" w:w="397"/>
          </w:tcPr>
          <w:p>
            <w:pPr>
              <w:spacing w:after="0" w:line="240" w:lineRule="auto"/>
              <w:jc w:val="left"/>
            </w:pPr>
            <w:r/>
            <w:r>
              <w:rPr>
                <w:rFonts w:ascii="Calibri" w:hAnsi="Calibri"/>
                <w:b w:val="0"/>
                <w:sz w:val="14"/>
              </w:rPr>
              <w:t>5</w:t>
            </w:r>
          </w:p>
        </w:tc>
        <w:tc>
          <w:tcPr>
            <w:tcW w:type="dxa" w:w="2268"/>
          </w:tcPr>
          <w:p>
            <w:pPr>
              <w:spacing w:after="0" w:line="240" w:lineRule="auto"/>
              <w:jc w:val="left"/>
            </w:pPr>
            <w:r/>
            <w:r>
              <w:rPr>
                <w:rFonts w:ascii="Calibri" w:hAnsi="Calibri"/>
                <w:b w:val="0"/>
                <w:sz w:val="14"/>
              </w:rPr>
              <w:t>Inference time</w:t>
            </w:r>
          </w:p>
        </w:tc>
        <w:tc>
          <w:tcPr>
            <w:tcW w:type="dxa" w:w="2381"/>
          </w:tcPr>
          <w:p>
            <w:pPr>
              <w:spacing w:after="0" w:line="240" w:lineRule="auto"/>
              <w:jc w:val="left"/>
            </w:pPr>
            <w:r/>
            <w:r>
              <w:rPr>
                <w:rFonts w:ascii="Calibri" w:hAnsi="Calibri"/>
                <w:b w:val="0"/>
                <w:sz w:val="14"/>
              </w:rPr>
              <w:t>3–7 s / 1.92 s / 65 ms</w:t>
            </w:r>
          </w:p>
        </w:tc>
        <w:tc>
          <w:tcPr>
            <w:tcW w:type="dxa" w:w="1020"/>
          </w:tcPr>
          <w:p>
            <w:pPr>
              <w:spacing w:after="0" w:line="240" w:lineRule="auto"/>
              <w:jc w:val="left"/>
            </w:pPr>
            <w:r/>
            <w:r>
              <w:rPr>
                <w:rFonts w:ascii="Calibri" w:hAnsi="Calibri"/>
                <w:b/>
                <w:color w:val="A61B1B"/>
                <w:sz w:val="14"/>
              </w:rPr>
              <w:t>BLOCKER</w:t>
            </w:r>
          </w:p>
        </w:tc>
        <w:tc>
          <w:tcPr>
            <w:tcW w:type="dxa" w:w="3345"/>
          </w:tcPr>
          <w:p>
            <w:pPr>
              <w:spacing w:after="0" w:line="240" w:lineRule="auto"/>
              <w:jc w:val="left"/>
            </w:pPr>
            <w:r/>
            <w:r>
              <w:rPr>
                <w:rFonts w:ascii="Calibri" w:hAnsi="Calibri"/>
                <w:b w:val="0"/>
                <w:sz w:val="14"/>
              </w:rPr>
              <w:t>One measured median with hardware, quantisation and batch size stated.</w:t>
            </w:r>
          </w:p>
        </w:tc>
      </w:tr>
      <w:tr>
        <w:trPr>
          <w:cantSplit w:val="true"/>
        </w:trPr>
        <w:tc>
          <w:tcPr>
            <w:tcW w:type="dxa" w:w="397"/>
            <w:shd w:val="clear" w:color="auto" w:fill="EEF1F7"/>
          </w:tcPr>
          <w:p>
            <w:pPr>
              <w:spacing w:after="0" w:line="240" w:lineRule="auto"/>
              <w:jc w:val="left"/>
            </w:pPr>
            <w:r/>
            <w:r>
              <w:rPr>
                <w:rFonts w:ascii="Calibri" w:hAnsi="Calibri"/>
                <w:b w:val="0"/>
                <w:sz w:val="14"/>
              </w:rPr>
              <w:t>6</w:t>
            </w:r>
          </w:p>
        </w:tc>
        <w:tc>
          <w:tcPr>
            <w:tcW w:type="dxa" w:w="2268"/>
            <w:shd w:val="clear" w:color="auto" w:fill="EEF1F7"/>
          </w:tcPr>
          <w:p>
            <w:pPr>
              <w:spacing w:after="0" w:line="240" w:lineRule="auto"/>
              <w:jc w:val="left"/>
            </w:pPr>
            <w:r/>
            <w:r>
              <w:rPr>
                <w:rFonts w:ascii="Calibri" w:hAnsi="Calibri"/>
                <w:b w:val="0"/>
                <w:sz w:val="14"/>
              </w:rPr>
              <w:t>Model</w:t>
            </w:r>
          </w:p>
        </w:tc>
        <w:tc>
          <w:tcPr>
            <w:tcW w:type="dxa" w:w="2381"/>
            <w:shd w:val="clear" w:color="auto" w:fill="EEF1F7"/>
          </w:tcPr>
          <w:p>
            <w:pPr>
              <w:spacing w:after="0" w:line="240" w:lineRule="auto"/>
              <w:jc w:val="left"/>
            </w:pPr>
            <w:r/>
            <w:r>
              <w:rPr>
                <w:rFonts w:ascii="Calibri" w:hAnsi="Calibri"/>
                <w:b w:val="0"/>
                <w:sz w:val="14"/>
              </w:rPr>
              <w:t>EfficientNet-B3</w:t>
            </w:r>
          </w:p>
        </w:tc>
        <w:tc>
          <w:tcPr>
            <w:tcW w:type="dxa" w:w="1020"/>
            <w:shd w:val="clear" w:color="auto" w:fill="EEF1F7"/>
          </w:tcPr>
          <w:p>
            <w:pPr>
              <w:spacing w:after="0" w:line="240" w:lineRule="auto"/>
              <w:jc w:val="left"/>
            </w:pPr>
            <w:r/>
            <w:r>
              <w:rPr>
                <w:rFonts w:ascii="Calibri" w:hAnsi="Calibri"/>
                <w:b w:val="0"/>
                <w:sz w:val="14"/>
              </w:rPr>
              <w:t>OK</w:t>
            </w:r>
          </w:p>
        </w:tc>
        <w:tc>
          <w:tcPr>
            <w:tcW w:type="dxa" w:w="3345"/>
            <w:shd w:val="clear" w:color="auto" w:fill="EEF1F7"/>
          </w:tcPr>
          <w:p>
            <w:pPr>
              <w:spacing w:after="0" w:line="240" w:lineRule="auto"/>
              <w:jc w:val="left"/>
            </w:pPr>
            <w:r/>
            <w:r>
              <w:rPr>
                <w:rFonts w:ascii="Calibri" w:hAnsi="Calibri"/>
                <w:b w:val="0"/>
                <w:sz w:val="14"/>
              </w:rPr>
              <w:t>Keep. Add input size (224×224) and parameter count (≈12 M).</w:t>
            </w:r>
          </w:p>
        </w:tc>
      </w:tr>
      <w:tr>
        <w:trPr>
          <w:cantSplit w:val="true"/>
        </w:trPr>
        <w:tc>
          <w:tcPr>
            <w:tcW w:type="dxa" w:w="397"/>
          </w:tcPr>
          <w:p>
            <w:pPr>
              <w:spacing w:after="0" w:line="240" w:lineRule="auto"/>
              <w:jc w:val="left"/>
            </w:pPr>
            <w:r/>
            <w:r>
              <w:rPr>
                <w:rFonts w:ascii="Calibri" w:hAnsi="Calibri"/>
                <w:b w:val="0"/>
                <w:sz w:val="14"/>
              </w:rPr>
              <w:t>7</w:t>
            </w:r>
          </w:p>
        </w:tc>
        <w:tc>
          <w:tcPr>
            <w:tcW w:type="dxa" w:w="2268"/>
          </w:tcPr>
          <w:p>
            <w:pPr>
              <w:spacing w:after="0" w:line="240" w:lineRule="auto"/>
              <w:jc w:val="left"/>
            </w:pPr>
            <w:r/>
            <w:r>
              <w:rPr>
                <w:rFonts w:ascii="Calibri" w:hAnsi="Calibri"/>
                <w:b w:val="0"/>
                <w:sz w:val="14"/>
              </w:rPr>
              <w:t>Global market</w:t>
            </w:r>
          </w:p>
        </w:tc>
        <w:tc>
          <w:tcPr>
            <w:tcW w:type="dxa" w:w="2381"/>
          </w:tcPr>
          <w:p>
            <w:pPr>
              <w:spacing w:after="0" w:line="240" w:lineRule="auto"/>
              <w:jc w:val="left"/>
            </w:pPr>
            <w:r/>
            <w:r>
              <w:rPr>
                <w:rFonts w:ascii="Calibri" w:hAnsi="Calibri"/>
                <w:b w:val="0"/>
                <w:sz w:val="14"/>
              </w:rPr>
              <w:t>$2.5 bn 2023 → $4.2 bn 2030, 15.8%</w:t>
            </w:r>
          </w:p>
        </w:tc>
        <w:tc>
          <w:tcPr>
            <w:tcW w:type="dxa" w:w="1020"/>
          </w:tcPr>
          <w:p>
            <w:pPr>
              <w:spacing w:after="0" w:line="240" w:lineRule="auto"/>
              <w:jc w:val="left"/>
            </w:pPr>
            <w:r/>
            <w:r>
              <w:rPr>
                <w:rFonts w:ascii="Calibri" w:hAnsi="Calibri"/>
                <w:b/>
                <w:color w:val="A61B1B"/>
                <w:sz w:val="14"/>
              </w:rPr>
              <w:t>BLOCKER</w:t>
            </w:r>
          </w:p>
        </w:tc>
        <w:tc>
          <w:tcPr>
            <w:tcW w:type="dxa" w:w="3345"/>
          </w:tcPr>
          <w:p>
            <w:pPr>
              <w:spacing w:after="0" w:line="240" w:lineRule="auto"/>
              <w:jc w:val="left"/>
            </w:pPr>
            <w:r/>
            <w:r>
              <w:rPr>
                <w:rFonts w:ascii="Calibri" w:hAnsi="Calibri"/>
                <w:b w:val="0"/>
                <w:sz w:val="14"/>
              </w:rPr>
              <w:t>$2.2 bn 2023 → $8.3 bn 2032, 15.6% (Allied) — or Mordor $3.54 bn 2025 → $7.15 bn 2030, 15.1%.</w:t>
            </w:r>
          </w:p>
        </w:tc>
      </w:tr>
      <w:tr>
        <w:trPr>
          <w:cantSplit w:val="true"/>
        </w:trPr>
        <w:tc>
          <w:tcPr>
            <w:tcW w:type="dxa" w:w="397"/>
            <w:shd w:val="clear" w:color="auto" w:fill="EEF1F7"/>
          </w:tcPr>
          <w:p>
            <w:pPr>
              <w:spacing w:after="0" w:line="240" w:lineRule="auto"/>
              <w:jc w:val="left"/>
            </w:pPr>
            <w:r/>
            <w:r>
              <w:rPr>
                <w:rFonts w:ascii="Calibri" w:hAnsi="Calibri"/>
                <w:b w:val="0"/>
                <w:sz w:val="14"/>
              </w:rPr>
              <w:t>8</w:t>
            </w:r>
          </w:p>
        </w:tc>
        <w:tc>
          <w:tcPr>
            <w:tcW w:type="dxa" w:w="2268"/>
            <w:shd w:val="clear" w:color="auto" w:fill="EEF1F7"/>
          </w:tcPr>
          <w:p>
            <w:pPr>
              <w:spacing w:after="0" w:line="240" w:lineRule="auto"/>
              <w:jc w:val="left"/>
            </w:pPr>
            <w:r/>
            <w:r>
              <w:rPr>
                <w:rFonts w:ascii="Calibri" w:hAnsi="Calibri"/>
                <w:b w:val="0"/>
                <w:sz w:val="14"/>
              </w:rPr>
              <w:t>India population / urban share</w:t>
            </w:r>
          </w:p>
        </w:tc>
        <w:tc>
          <w:tcPr>
            <w:tcW w:type="dxa" w:w="2381"/>
            <w:shd w:val="clear" w:color="auto" w:fill="EEF1F7"/>
          </w:tcPr>
          <w:p>
            <w:pPr>
              <w:spacing w:after="0" w:line="240" w:lineRule="auto"/>
              <w:jc w:val="left"/>
            </w:pPr>
            <w:r/>
            <w:r>
              <w:rPr>
                <w:rFonts w:ascii="Calibri" w:hAnsi="Calibri"/>
                <w:b w:val="0"/>
                <w:sz w:val="14"/>
              </w:rPr>
              <w:t>1.4 bn × 35%</w:t>
            </w:r>
          </w:p>
        </w:tc>
        <w:tc>
          <w:tcPr>
            <w:tcW w:type="dxa" w:w="1020"/>
            <w:shd w:val="clear" w:color="auto" w:fill="EEF1F7"/>
          </w:tcPr>
          <w:p>
            <w:pPr>
              <w:spacing w:after="0" w:line="240" w:lineRule="auto"/>
              <w:jc w:val="left"/>
            </w:pPr>
            <w:r/>
            <w:r>
              <w:rPr>
                <w:rFonts w:ascii="Calibri" w:hAnsi="Calibri"/>
                <w:b w:val="0"/>
                <w:sz w:val="14"/>
              </w:rPr>
              <w:t>MAJOR</w:t>
            </w:r>
          </w:p>
        </w:tc>
        <w:tc>
          <w:tcPr>
            <w:tcW w:type="dxa" w:w="3345"/>
            <w:shd w:val="clear" w:color="auto" w:fill="EEF1F7"/>
          </w:tcPr>
          <w:p>
            <w:pPr>
              <w:spacing w:after="0" w:line="240" w:lineRule="auto"/>
              <w:jc w:val="left"/>
            </w:pPr>
            <w:r/>
            <w:r>
              <w:rPr>
                <w:rFonts w:ascii="Calibri" w:hAnsi="Calibri"/>
                <w:b w:val="0"/>
                <w:sz w:val="14"/>
              </w:rPr>
              <w:t>1.46 bn (2026) × 36% urban ≈ 525 M, or cite the 2011 census 31.2% explicitly. State the year of every population figure.</w:t>
            </w:r>
          </w:p>
        </w:tc>
      </w:tr>
      <w:tr>
        <w:trPr>
          <w:cantSplit w:val="true"/>
        </w:trPr>
        <w:tc>
          <w:tcPr>
            <w:tcW w:type="dxa" w:w="397"/>
          </w:tcPr>
          <w:p>
            <w:pPr>
              <w:spacing w:after="0" w:line="240" w:lineRule="auto"/>
              <w:jc w:val="left"/>
            </w:pPr>
            <w:r/>
            <w:r>
              <w:rPr>
                <w:rFonts w:ascii="Calibri" w:hAnsi="Calibri"/>
                <w:b w:val="0"/>
                <w:sz w:val="14"/>
              </w:rPr>
              <w:t>9</w:t>
            </w:r>
          </w:p>
        </w:tc>
        <w:tc>
          <w:tcPr>
            <w:tcW w:type="dxa" w:w="2268"/>
          </w:tcPr>
          <w:p>
            <w:pPr>
              <w:spacing w:after="0" w:line="240" w:lineRule="auto"/>
              <w:jc w:val="left"/>
            </w:pPr>
            <w:r/>
            <w:r>
              <w:rPr>
                <w:rFonts w:ascii="Calibri" w:hAnsi="Calibri"/>
                <w:b w:val="0"/>
                <w:sz w:val="14"/>
              </w:rPr>
              <w:t>Tamil Nadu population / urban share</w:t>
            </w:r>
          </w:p>
        </w:tc>
        <w:tc>
          <w:tcPr>
            <w:tcW w:type="dxa" w:w="2381"/>
          </w:tcPr>
          <w:p>
            <w:pPr>
              <w:spacing w:after="0" w:line="240" w:lineRule="auto"/>
              <w:jc w:val="left"/>
            </w:pPr>
            <w:r/>
            <w:r>
              <w:rPr>
                <w:rFonts w:ascii="Calibri" w:hAnsi="Calibri"/>
                <w:b w:val="0"/>
                <w:sz w:val="14"/>
              </w:rPr>
              <w:t>30 M × 37.5%</w:t>
            </w:r>
          </w:p>
        </w:tc>
        <w:tc>
          <w:tcPr>
            <w:tcW w:type="dxa" w:w="1020"/>
          </w:tcPr>
          <w:p>
            <w:pPr>
              <w:spacing w:after="0" w:line="240" w:lineRule="auto"/>
              <w:jc w:val="left"/>
            </w:pPr>
            <w:r/>
            <w:r>
              <w:rPr>
                <w:rFonts w:ascii="Calibri" w:hAnsi="Calibri"/>
                <w:b/>
                <w:color w:val="A61B1B"/>
                <w:sz w:val="14"/>
              </w:rPr>
              <w:t>BLOCKER</w:t>
            </w:r>
          </w:p>
        </w:tc>
        <w:tc>
          <w:tcPr>
            <w:tcW w:type="dxa" w:w="3345"/>
          </w:tcPr>
          <w:p>
            <w:pPr>
              <w:spacing w:after="0" w:line="240" w:lineRule="auto"/>
              <w:jc w:val="left"/>
            </w:pPr>
            <w:r/>
            <w:r>
              <w:rPr>
                <w:rFonts w:ascii="Calibri" w:hAnsi="Calibri"/>
                <w:b w:val="0"/>
                <w:sz w:val="14"/>
              </w:rPr>
              <w:t>72.1 M (2011 census) or ≈77.5 M (2026 projection) × 48.4% urban.</w:t>
            </w:r>
          </w:p>
        </w:tc>
      </w:tr>
      <w:tr>
        <w:trPr>
          <w:cantSplit w:val="true"/>
        </w:trPr>
        <w:tc>
          <w:tcPr>
            <w:tcW w:type="dxa" w:w="397"/>
            <w:shd w:val="clear" w:color="auto" w:fill="EEF1F7"/>
          </w:tcPr>
          <w:p>
            <w:pPr>
              <w:spacing w:after="0" w:line="240" w:lineRule="auto"/>
              <w:jc w:val="left"/>
            </w:pPr>
            <w:r/>
            <w:r>
              <w:rPr>
                <w:rFonts w:ascii="Calibri" w:hAnsi="Calibri"/>
                <w:b w:val="0"/>
                <w:sz w:val="14"/>
              </w:rPr>
              <w:t>10</w:t>
            </w:r>
          </w:p>
        </w:tc>
        <w:tc>
          <w:tcPr>
            <w:tcW w:type="dxa" w:w="2268"/>
            <w:shd w:val="clear" w:color="auto" w:fill="EEF1F7"/>
          </w:tcPr>
          <w:p>
            <w:pPr>
              <w:spacing w:after="0" w:line="240" w:lineRule="auto"/>
              <w:jc w:val="left"/>
            </w:pPr>
            <w:r/>
            <w:r>
              <w:rPr>
                <w:rFonts w:ascii="Calibri" w:hAnsi="Calibri"/>
                <w:b w:val="0"/>
                <w:sz w:val="14"/>
              </w:rPr>
              <w:t>Chennai population</w:t>
            </w:r>
          </w:p>
        </w:tc>
        <w:tc>
          <w:tcPr>
            <w:tcW w:type="dxa" w:w="2381"/>
            <w:shd w:val="clear" w:color="auto" w:fill="EEF1F7"/>
          </w:tcPr>
          <w:p>
            <w:pPr>
              <w:spacing w:after="0" w:line="240" w:lineRule="auto"/>
              <w:jc w:val="left"/>
            </w:pPr>
            <w:r/>
            <w:r>
              <w:rPr>
                <w:rFonts w:ascii="Calibri" w:hAnsi="Calibri"/>
                <w:b w:val="0"/>
                <w:sz w:val="14"/>
              </w:rPr>
              <w:t>250,000</w:t>
            </w:r>
          </w:p>
        </w:tc>
        <w:tc>
          <w:tcPr>
            <w:tcW w:type="dxa" w:w="1020"/>
            <w:shd w:val="clear" w:color="auto" w:fill="EEF1F7"/>
          </w:tcPr>
          <w:p>
            <w:pPr>
              <w:spacing w:after="0" w:line="240" w:lineRule="auto"/>
              <w:jc w:val="left"/>
            </w:pPr>
            <w:r/>
            <w:r>
              <w:rPr>
                <w:rFonts w:ascii="Calibri" w:hAnsi="Calibri"/>
                <w:b/>
                <w:color w:val="A61B1B"/>
                <w:sz w:val="14"/>
              </w:rPr>
              <w:t>BLOCKER</w:t>
            </w:r>
          </w:p>
        </w:tc>
        <w:tc>
          <w:tcPr>
            <w:tcW w:type="dxa" w:w="3345"/>
            <w:shd w:val="clear" w:color="auto" w:fill="EEF1F7"/>
          </w:tcPr>
          <w:p>
            <w:pPr>
              <w:spacing w:after="0" w:line="240" w:lineRule="auto"/>
              <w:jc w:val="left"/>
            </w:pPr>
            <w:r/>
            <w:r>
              <w:rPr>
                <w:rFonts w:ascii="Calibri" w:hAnsi="Calibri"/>
                <w:b w:val="0"/>
                <w:sz w:val="14"/>
              </w:rPr>
              <w:t>4,646,732 (2011 census, Corporation) or ≈5.39 M (2025 est.); metropolitan area 8.65 M (2011).</w:t>
            </w:r>
          </w:p>
        </w:tc>
      </w:tr>
      <w:tr>
        <w:trPr>
          <w:cantSplit w:val="true"/>
        </w:trPr>
        <w:tc>
          <w:tcPr>
            <w:tcW w:type="dxa" w:w="397"/>
          </w:tcPr>
          <w:p>
            <w:pPr>
              <w:spacing w:after="0" w:line="240" w:lineRule="auto"/>
              <w:jc w:val="left"/>
            </w:pPr>
            <w:r/>
            <w:r>
              <w:rPr>
                <w:rFonts w:ascii="Calibri" w:hAnsi="Calibri"/>
                <w:b w:val="0"/>
                <w:sz w:val="14"/>
              </w:rPr>
              <w:t>11</w:t>
            </w:r>
          </w:p>
        </w:tc>
        <w:tc>
          <w:tcPr>
            <w:tcW w:type="dxa" w:w="2268"/>
          </w:tcPr>
          <w:p>
            <w:pPr>
              <w:spacing w:after="0" w:line="240" w:lineRule="auto"/>
              <w:jc w:val="left"/>
            </w:pPr>
            <w:r/>
            <w:r>
              <w:rPr>
                <w:rFonts w:ascii="Calibri" w:hAnsi="Calibri"/>
                <w:b w:val="0"/>
                <w:sz w:val="14"/>
              </w:rPr>
              <w:t>Market sizing unit</w:t>
            </w:r>
          </w:p>
        </w:tc>
        <w:tc>
          <w:tcPr>
            <w:tcW w:type="dxa" w:w="2381"/>
          </w:tcPr>
          <w:p>
            <w:pPr>
              <w:spacing w:after="0" w:line="240" w:lineRule="auto"/>
              <w:jc w:val="left"/>
            </w:pPr>
            <w:r/>
            <w:r>
              <w:rPr>
                <w:rFonts w:ascii="Calibri" w:hAnsi="Calibri"/>
                <w:b w:val="0"/>
                <w:sz w:val="14"/>
              </w:rPr>
              <w:t>Individuals</w:t>
            </w:r>
          </w:p>
        </w:tc>
        <w:tc>
          <w:tcPr>
            <w:tcW w:type="dxa" w:w="1020"/>
          </w:tcPr>
          <w:p>
            <w:pPr>
              <w:spacing w:after="0" w:line="240" w:lineRule="auto"/>
              <w:jc w:val="left"/>
            </w:pPr>
            <w:r/>
            <w:r>
              <w:rPr>
                <w:rFonts w:ascii="Calibri" w:hAnsi="Calibri"/>
                <w:b/>
                <w:color w:val="A61B1B"/>
                <w:sz w:val="14"/>
              </w:rPr>
              <w:t>BLOCKER</w:t>
            </w:r>
          </w:p>
        </w:tc>
        <w:tc>
          <w:tcPr>
            <w:tcW w:type="dxa" w:w="3345"/>
          </w:tcPr>
          <w:p>
            <w:pPr>
              <w:spacing w:after="0" w:line="240" w:lineRule="auto"/>
              <w:jc w:val="left"/>
            </w:pPr>
            <w:r/>
            <w:r>
              <w:rPr>
                <w:rFonts w:ascii="Calibri" w:hAnsi="Calibri"/>
                <w:b w:val="0"/>
                <w:sz w:val="14"/>
              </w:rPr>
              <w:t>Households / institutions, and value in ₹ crore.</w:t>
            </w:r>
          </w:p>
        </w:tc>
      </w:tr>
      <w:tr>
        <w:trPr>
          <w:cantSplit w:val="true"/>
        </w:trPr>
        <w:tc>
          <w:tcPr>
            <w:tcW w:type="dxa" w:w="397"/>
            <w:shd w:val="clear" w:color="auto" w:fill="EEF1F7"/>
          </w:tcPr>
          <w:p>
            <w:pPr>
              <w:spacing w:after="0" w:line="240" w:lineRule="auto"/>
              <w:jc w:val="left"/>
            </w:pPr>
            <w:r/>
            <w:r>
              <w:rPr>
                <w:rFonts w:ascii="Calibri" w:hAnsi="Calibri"/>
                <w:b w:val="0"/>
                <w:sz w:val="14"/>
              </w:rPr>
              <w:t>12</w:t>
            </w:r>
          </w:p>
        </w:tc>
        <w:tc>
          <w:tcPr>
            <w:tcW w:type="dxa" w:w="2268"/>
            <w:shd w:val="clear" w:color="auto" w:fill="EEF1F7"/>
          </w:tcPr>
          <w:p>
            <w:pPr>
              <w:spacing w:after="0" w:line="240" w:lineRule="auto"/>
              <w:jc w:val="left"/>
            </w:pPr>
            <w:r/>
            <w:r>
              <w:rPr>
                <w:rFonts w:ascii="Calibri" w:hAnsi="Calibri"/>
                <w:b w:val="0"/>
                <w:sz w:val="14"/>
              </w:rPr>
              <w:t>Survey findings</w:t>
            </w:r>
          </w:p>
        </w:tc>
        <w:tc>
          <w:tcPr>
            <w:tcW w:type="dxa" w:w="2381"/>
            <w:shd w:val="clear" w:color="auto" w:fill="EEF1F7"/>
          </w:tcPr>
          <w:p>
            <w:pPr>
              <w:spacing w:after="0" w:line="240" w:lineRule="auto"/>
              <w:jc w:val="left"/>
            </w:pPr>
            <w:r/>
            <w:r>
              <w:rPr>
                <w:rFonts w:ascii="Calibri" w:hAnsi="Calibri"/>
                <w:b w:val="0"/>
                <w:sz w:val="14"/>
              </w:rPr>
              <w:t>82 / 68 / 90 / 85% with no n</w:t>
            </w:r>
          </w:p>
        </w:tc>
        <w:tc>
          <w:tcPr>
            <w:tcW w:type="dxa" w:w="1020"/>
            <w:shd w:val="clear" w:color="auto" w:fill="EEF1F7"/>
          </w:tcPr>
          <w:p>
            <w:pPr>
              <w:spacing w:after="0" w:line="240" w:lineRule="auto"/>
              <w:jc w:val="left"/>
            </w:pPr>
            <w:r/>
            <w:r>
              <w:rPr>
                <w:rFonts w:ascii="Calibri" w:hAnsi="Calibri"/>
                <w:b w:val="0"/>
                <w:sz w:val="14"/>
              </w:rPr>
              <w:t>MAJOR</w:t>
            </w:r>
          </w:p>
        </w:tc>
        <w:tc>
          <w:tcPr>
            <w:tcW w:type="dxa" w:w="3345"/>
            <w:shd w:val="clear" w:color="auto" w:fill="EEF1F7"/>
          </w:tcPr>
          <w:p>
            <w:pPr>
              <w:spacing w:after="0" w:line="240" w:lineRule="auto"/>
              <w:jc w:val="left"/>
            </w:pPr>
            <w:r/>
            <w:r>
              <w:rPr>
                <w:rFonts w:ascii="Calibri" w:hAnsi="Calibri"/>
                <w:b w:val="0"/>
                <w:sz w:val="14"/>
              </w:rPr>
              <w:t>n, method, location, date + questionnaire in appendix.</w:t>
            </w:r>
          </w:p>
        </w:tc>
      </w:tr>
      <w:tr>
        <w:trPr>
          <w:cantSplit w:val="true"/>
        </w:trPr>
        <w:tc>
          <w:tcPr>
            <w:tcW w:type="dxa" w:w="397"/>
          </w:tcPr>
          <w:p>
            <w:pPr>
              <w:spacing w:after="0" w:line="240" w:lineRule="auto"/>
              <w:jc w:val="left"/>
            </w:pPr>
            <w:r/>
            <w:r>
              <w:rPr>
                <w:rFonts w:ascii="Calibri" w:hAnsi="Calibri"/>
                <w:b w:val="0"/>
                <w:sz w:val="14"/>
              </w:rPr>
              <w:t>13</w:t>
            </w:r>
          </w:p>
        </w:tc>
        <w:tc>
          <w:tcPr>
            <w:tcW w:type="dxa" w:w="2268"/>
          </w:tcPr>
          <w:p>
            <w:pPr>
              <w:spacing w:after="0" w:line="240" w:lineRule="auto"/>
              <w:jc w:val="left"/>
            </w:pPr>
            <w:r/>
            <w:r>
              <w:rPr>
                <w:rFonts w:ascii="Calibri" w:hAnsi="Calibri"/>
                <w:b w:val="0"/>
                <w:sz w:val="14"/>
              </w:rPr>
              <w:t>Year-1 revenue</w:t>
            </w:r>
          </w:p>
        </w:tc>
        <w:tc>
          <w:tcPr>
            <w:tcW w:type="dxa" w:w="2381"/>
          </w:tcPr>
          <w:p>
            <w:pPr>
              <w:spacing w:after="0" w:line="240" w:lineRule="auto"/>
              <w:jc w:val="left"/>
            </w:pPr>
            <w:r/>
            <w:r>
              <w:rPr>
                <w:rFonts w:ascii="Calibri" w:hAnsi="Calibri"/>
                <w:b w:val="0"/>
                <w:sz w:val="14"/>
              </w:rPr>
              <w:t>₹6,90,000 vs ₹2,01,50,000</w:t>
            </w:r>
          </w:p>
        </w:tc>
        <w:tc>
          <w:tcPr>
            <w:tcW w:type="dxa" w:w="1020"/>
          </w:tcPr>
          <w:p>
            <w:pPr>
              <w:spacing w:after="0" w:line="240" w:lineRule="auto"/>
              <w:jc w:val="left"/>
            </w:pPr>
            <w:r/>
            <w:r>
              <w:rPr>
                <w:rFonts w:ascii="Calibri" w:hAnsi="Calibri"/>
                <w:b/>
                <w:color w:val="A61B1B"/>
                <w:sz w:val="14"/>
              </w:rPr>
              <w:t>BLOCKER</w:t>
            </w:r>
          </w:p>
        </w:tc>
        <w:tc>
          <w:tcPr>
            <w:tcW w:type="dxa" w:w="3345"/>
          </w:tcPr>
          <w:p>
            <w:pPr>
              <w:spacing w:after="0" w:line="240" w:lineRule="auto"/>
              <w:jc w:val="left"/>
            </w:pPr>
            <w:r/>
            <w:r>
              <w:rPr>
                <w:rFonts w:ascii="Calibri" w:hAnsi="Calibri"/>
                <w:b w:val="0"/>
                <w:sz w:val="14"/>
              </w:rPr>
              <w:t>One series, derived from units × price.</w:t>
            </w:r>
          </w:p>
        </w:tc>
      </w:tr>
      <w:tr>
        <w:trPr>
          <w:cantSplit w:val="true"/>
        </w:trPr>
        <w:tc>
          <w:tcPr>
            <w:tcW w:type="dxa" w:w="397"/>
            <w:shd w:val="clear" w:color="auto" w:fill="EEF1F7"/>
          </w:tcPr>
          <w:p>
            <w:pPr>
              <w:spacing w:after="0" w:line="240" w:lineRule="auto"/>
              <w:jc w:val="left"/>
            </w:pPr>
            <w:r/>
            <w:r>
              <w:rPr>
                <w:rFonts w:ascii="Calibri" w:hAnsi="Calibri"/>
                <w:b w:val="0"/>
                <w:sz w:val="14"/>
              </w:rPr>
              <w:t>14</w:t>
            </w:r>
          </w:p>
        </w:tc>
        <w:tc>
          <w:tcPr>
            <w:tcW w:type="dxa" w:w="2268"/>
            <w:shd w:val="clear" w:color="auto" w:fill="EEF1F7"/>
          </w:tcPr>
          <w:p>
            <w:pPr>
              <w:spacing w:after="0" w:line="240" w:lineRule="auto"/>
              <w:jc w:val="left"/>
            </w:pPr>
            <w:r/>
            <w:r>
              <w:rPr>
                <w:rFonts w:ascii="Calibri" w:hAnsi="Calibri"/>
                <w:b w:val="0"/>
                <w:sz w:val="14"/>
              </w:rPr>
              <w:t>5-year revenue and PAT</w:t>
            </w:r>
          </w:p>
        </w:tc>
        <w:tc>
          <w:tcPr>
            <w:tcW w:type="dxa" w:w="2381"/>
            <w:shd w:val="clear" w:color="auto" w:fill="EEF1F7"/>
          </w:tcPr>
          <w:p>
            <w:pPr>
              <w:spacing w:after="0" w:line="240" w:lineRule="auto"/>
              <w:jc w:val="left"/>
            </w:pPr>
            <w:r/>
            <w:r>
              <w:rPr>
                <w:rFonts w:ascii="Calibri" w:hAnsi="Calibri"/>
                <w:b w:val="0"/>
                <w:sz w:val="14"/>
              </w:rPr>
              <w:t>Y1, Y2, then Y5 &lt; Y2</w:t>
            </w:r>
          </w:p>
        </w:tc>
        <w:tc>
          <w:tcPr>
            <w:tcW w:type="dxa" w:w="1020"/>
            <w:shd w:val="clear" w:color="auto" w:fill="EEF1F7"/>
          </w:tcPr>
          <w:p>
            <w:pPr>
              <w:spacing w:after="0" w:line="240" w:lineRule="auto"/>
              <w:jc w:val="left"/>
            </w:pPr>
            <w:r/>
            <w:r>
              <w:rPr>
                <w:rFonts w:ascii="Calibri" w:hAnsi="Calibri"/>
                <w:b/>
                <w:color w:val="A61B1B"/>
                <w:sz w:val="14"/>
              </w:rPr>
              <w:t>BLOCKER</w:t>
            </w:r>
          </w:p>
        </w:tc>
        <w:tc>
          <w:tcPr>
            <w:tcW w:type="dxa" w:w="3345"/>
            <w:shd w:val="clear" w:color="auto" w:fill="EEF1F7"/>
          </w:tcPr>
          <w:p>
            <w:pPr>
              <w:spacing w:after="0" w:line="240" w:lineRule="auto"/>
              <w:jc w:val="left"/>
            </w:pPr>
            <w:r/>
            <w:r>
              <w:rPr>
                <w:rFonts w:ascii="Calibri" w:hAnsi="Calibri"/>
                <w:b w:val="0"/>
                <w:sz w:val="14"/>
              </w:rPr>
              <w:t>Monotone series with COGS, opex, EBITDA, PAT.</w:t>
            </w:r>
          </w:p>
        </w:tc>
      </w:tr>
      <w:tr>
        <w:trPr>
          <w:cantSplit w:val="true"/>
        </w:trPr>
        <w:tc>
          <w:tcPr>
            <w:tcW w:type="dxa" w:w="397"/>
          </w:tcPr>
          <w:p>
            <w:pPr>
              <w:spacing w:after="0" w:line="240" w:lineRule="auto"/>
              <w:jc w:val="left"/>
            </w:pPr>
            <w:r/>
            <w:r>
              <w:rPr>
                <w:rFonts w:ascii="Calibri" w:hAnsi="Calibri"/>
                <w:b w:val="0"/>
                <w:sz w:val="14"/>
              </w:rPr>
              <w:t>15</w:t>
            </w:r>
          </w:p>
        </w:tc>
        <w:tc>
          <w:tcPr>
            <w:tcW w:type="dxa" w:w="2268"/>
          </w:tcPr>
          <w:p>
            <w:pPr>
              <w:spacing w:after="0" w:line="240" w:lineRule="auto"/>
              <w:jc w:val="left"/>
            </w:pPr>
            <w:r/>
            <w:r>
              <w:rPr>
                <w:rFonts w:ascii="Calibri" w:hAnsi="Calibri"/>
                <w:b w:val="0"/>
                <w:sz w:val="14"/>
              </w:rPr>
              <w:t>Break-even</w:t>
            </w:r>
          </w:p>
        </w:tc>
        <w:tc>
          <w:tcPr>
            <w:tcW w:type="dxa" w:w="2381"/>
          </w:tcPr>
          <w:p>
            <w:pPr>
              <w:spacing w:after="0" w:line="240" w:lineRule="auto"/>
              <w:jc w:val="left"/>
            </w:pPr>
            <w:r/>
            <w:r>
              <w:rPr>
                <w:rFonts w:ascii="Calibri" w:hAnsi="Calibri"/>
                <w:b w:val="0"/>
                <w:sz w:val="14"/>
              </w:rPr>
              <w:t>“Year 2” (after two profitable years)</w:t>
            </w:r>
          </w:p>
        </w:tc>
        <w:tc>
          <w:tcPr>
            <w:tcW w:type="dxa" w:w="1020"/>
          </w:tcPr>
          <w:p>
            <w:pPr>
              <w:spacing w:after="0" w:line="240" w:lineRule="auto"/>
              <w:jc w:val="left"/>
            </w:pPr>
            <w:r/>
            <w:r>
              <w:rPr>
                <w:rFonts w:ascii="Calibri" w:hAnsi="Calibri"/>
                <w:b/>
                <w:color w:val="A61B1B"/>
                <w:sz w:val="14"/>
              </w:rPr>
              <w:t>BLOCKER</w:t>
            </w:r>
          </w:p>
        </w:tc>
        <w:tc>
          <w:tcPr>
            <w:tcW w:type="dxa" w:w="3345"/>
          </w:tcPr>
          <w:p>
            <w:pPr>
              <w:spacing w:after="0" w:line="240" w:lineRule="auto"/>
              <w:jc w:val="left"/>
            </w:pPr>
            <w:r/>
            <w:r>
              <w:rPr>
                <w:rFonts w:ascii="Calibri" w:hAnsi="Calibri"/>
                <w:b w:val="0"/>
                <w:sz w:val="14"/>
              </w:rPr>
              <w:t>Month of positive cumulative cash flow.</w:t>
            </w:r>
          </w:p>
        </w:tc>
      </w:tr>
      <w:tr>
        <w:trPr>
          <w:cantSplit w:val="true"/>
        </w:trPr>
        <w:tc>
          <w:tcPr>
            <w:tcW w:type="dxa" w:w="397"/>
            <w:shd w:val="clear" w:color="auto" w:fill="EEF1F7"/>
          </w:tcPr>
          <w:p>
            <w:pPr>
              <w:spacing w:after="0" w:line="240" w:lineRule="auto"/>
              <w:jc w:val="left"/>
            </w:pPr>
            <w:r/>
            <w:r>
              <w:rPr>
                <w:rFonts w:ascii="Calibri" w:hAnsi="Calibri"/>
                <w:b w:val="0"/>
                <w:sz w:val="14"/>
              </w:rPr>
              <w:t>16</w:t>
            </w:r>
          </w:p>
        </w:tc>
        <w:tc>
          <w:tcPr>
            <w:tcW w:type="dxa" w:w="2268"/>
            <w:shd w:val="clear" w:color="auto" w:fill="EEF1F7"/>
          </w:tcPr>
          <w:p>
            <w:pPr>
              <w:spacing w:after="0" w:line="240" w:lineRule="auto"/>
              <w:jc w:val="left"/>
            </w:pPr>
            <w:r/>
            <w:r>
              <w:rPr>
                <w:rFonts w:ascii="Calibri" w:hAnsi="Calibri"/>
                <w:b w:val="0"/>
                <w:sz w:val="14"/>
              </w:rPr>
              <w:t>Seed ask</w:t>
            </w:r>
          </w:p>
        </w:tc>
        <w:tc>
          <w:tcPr>
            <w:tcW w:type="dxa" w:w="2381"/>
            <w:shd w:val="clear" w:color="auto" w:fill="EEF1F7"/>
          </w:tcPr>
          <w:p>
            <w:pPr>
              <w:spacing w:after="0" w:line="240" w:lineRule="auto"/>
              <w:jc w:val="left"/>
            </w:pPr>
            <w:r/>
            <w:r>
              <w:rPr>
                <w:rFonts w:ascii="Calibri" w:hAnsi="Calibri"/>
                <w:b w:val="0"/>
                <w:sz w:val="14"/>
              </w:rPr>
              <w:t>₹5,00,000 for 18 months vs ₹8,00,000 startup cost</w:t>
            </w:r>
          </w:p>
        </w:tc>
        <w:tc>
          <w:tcPr>
            <w:tcW w:type="dxa" w:w="1020"/>
            <w:shd w:val="clear" w:color="auto" w:fill="EEF1F7"/>
          </w:tcPr>
          <w:p>
            <w:pPr>
              <w:spacing w:after="0" w:line="240" w:lineRule="auto"/>
              <w:jc w:val="left"/>
            </w:pPr>
            <w:r/>
            <w:r>
              <w:rPr>
                <w:rFonts w:ascii="Calibri" w:hAnsi="Calibri"/>
                <w:b/>
                <w:color w:val="A61B1B"/>
                <w:sz w:val="14"/>
              </w:rPr>
              <w:t>BLOCKER</w:t>
            </w:r>
          </w:p>
        </w:tc>
        <w:tc>
          <w:tcPr>
            <w:tcW w:type="dxa" w:w="3345"/>
            <w:shd w:val="clear" w:color="auto" w:fill="EEF1F7"/>
          </w:tcPr>
          <w:p>
            <w:pPr>
              <w:spacing w:after="0" w:line="240" w:lineRule="auto"/>
              <w:jc w:val="left"/>
            </w:pPr>
            <w:r/>
            <w:r>
              <w:rPr>
                <w:rFonts w:ascii="Calibri" w:hAnsi="Calibri"/>
                <w:b w:val="0"/>
                <w:sz w:val="14"/>
              </w:rPr>
              <w:t>Ask ≥ cost; monthly cash flow for 18 months.</w:t>
            </w:r>
          </w:p>
        </w:tc>
      </w:tr>
      <w:tr>
        <w:trPr>
          <w:cantSplit w:val="true"/>
        </w:trPr>
        <w:tc>
          <w:tcPr>
            <w:tcW w:type="dxa" w:w="397"/>
          </w:tcPr>
          <w:p>
            <w:pPr>
              <w:spacing w:after="0" w:line="240" w:lineRule="auto"/>
              <w:jc w:val="left"/>
            </w:pPr>
            <w:r/>
            <w:r>
              <w:rPr>
                <w:rFonts w:ascii="Calibri" w:hAnsi="Calibri"/>
                <w:b w:val="0"/>
                <w:sz w:val="14"/>
              </w:rPr>
              <w:t>17</w:t>
            </w:r>
          </w:p>
        </w:tc>
        <w:tc>
          <w:tcPr>
            <w:tcW w:type="dxa" w:w="2268"/>
          </w:tcPr>
          <w:p>
            <w:pPr>
              <w:spacing w:after="0" w:line="240" w:lineRule="auto"/>
              <w:jc w:val="left"/>
            </w:pPr>
            <w:r/>
            <w:r>
              <w:rPr>
                <w:rFonts w:ascii="Calibri" w:hAnsi="Calibri"/>
                <w:b w:val="0"/>
                <w:sz w:val="14"/>
              </w:rPr>
              <w:t>CAC / CLV / payback</w:t>
            </w:r>
          </w:p>
        </w:tc>
        <w:tc>
          <w:tcPr>
            <w:tcW w:type="dxa" w:w="2381"/>
          </w:tcPr>
          <w:p>
            <w:pPr>
              <w:spacing w:after="0" w:line="240" w:lineRule="auto"/>
              <w:jc w:val="left"/>
            </w:pPr>
            <w:r/>
            <w:r>
              <w:rPr>
                <w:rFonts w:ascii="Calibri" w:hAnsi="Calibri"/>
                <w:b w:val="0"/>
                <w:sz w:val="14"/>
              </w:rPr>
              <w:t>₹3,871 / ₹6,200 / 6 months (ratio 1.60)</w:t>
            </w:r>
          </w:p>
        </w:tc>
        <w:tc>
          <w:tcPr>
            <w:tcW w:type="dxa" w:w="1020"/>
          </w:tcPr>
          <w:p>
            <w:pPr>
              <w:spacing w:after="0" w:line="240" w:lineRule="auto"/>
              <w:jc w:val="left"/>
            </w:pPr>
            <w:r/>
            <w:r>
              <w:rPr>
                <w:rFonts w:ascii="Calibri" w:hAnsi="Calibri"/>
                <w:b w:val="0"/>
                <w:sz w:val="14"/>
              </w:rPr>
              <w:t>MAJOR</w:t>
            </w:r>
          </w:p>
        </w:tc>
        <w:tc>
          <w:tcPr>
            <w:tcW w:type="dxa" w:w="3345"/>
          </w:tcPr>
          <w:p>
            <w:pPr>
              <w:spacing w:after="0" w:line="240" w:lineRule="auto"/>
              <w:jc w:val="left"/>
            </w:pPr>
            <w:r/>
            <w:r>
              <w:rPr>
                <w:rFonts w:ascii="Calibri" w:hAnsi="Calibri"/>
                <w:b w:val="0"/>
                <w:sz w:val="14"/>
              </w:rPr>
              <w:t>Derivation shown; ratio ≥3.0 or justified; payback = CAC ÷ (ARPU × gross margin).</w:t>
            </w:r>
          </w:p>
        </w:tc>
      </w:tr>
      <w:tr>
        <w:trPr>
          <w:cantSplit w:val="true"/>
        </w:trPr>
        <w:tc>
          <w:tcPr>
            <w:tcW w:type="dxa" w:w="397"/>
            <w:shd w:val="clear" w:color="auto" w:fill="EEF1F7"/>
          </w:tcPr>
          <w:p>
            <w:pPr>
              <w:spacing w:after="0" w:line="240" w:lineRule="auto"/>
              <w:jc w:val="left"/>
            </w:pPr>
            <w:r/>
            <w:r>
              <w:rPr>
                <w:rFonts w:ascii="Calibri" w:hAnsi="Calibri"/>
                <w:b w:val="0"/>
                <w:sz w:val="14"/>
              </w:rPr>
              <w:t>18</w:t>
            </w:r>
          </w:p>
        </w:tc>
        <w:tc>
          <w:tcPr>
            <w:tcW w:type="dxa" w:w="2268"/>
            <w:shd w:val="clear" w:color="auto" w:fill="EEF1F7"/>
          </w:tcPr>
          <w:p>
            <w:pPr>
              <w:spacing w:after="0" w:line="240" w:lineRule="auto"/>
              <w:jc w:val="left"/>
            </w:pPr>
            <w:r/>
            <w:r>
              <w:rPr>
                <w:rFonts w:ascii="Calibri" w:hAnsi="Calibri"/>
                <w:b w:val="0"/>
                <w:sz w:val="14"/>
              </w:rPr>
              <w:t>Selling price</w:t>
            </w:r>
          </w:p>
        </w:tc>
        <w:tc>
          <w:tcPr>
            <w:tcW w:type="dxa" w:w="2381"/>
            <w:shd w:val="clear" w:color="auto" w:fill="EEF1F7"/>
          </w:tcPr>
          <w:p>
            <w:pPr>
              <w:spacing w:after="0" w:line="240" w:lineRule="auto"/>
              <w:jc w:val="left"/>
            </w:pPr>
            <w:r/>
            <w:r>
              <w:rPr>
                <w:rFonts w:ascii="Calibri" w:hAnsi="Calibri"/>
                <w:b w:val="0"/>
                <w:sz w:val="14"/>
              </w:rPr>
              <w:t>$300 / $5 / $15</w:t>
            </w:r>
          </w:p>
        </w:tc>
        <w:tc>
          <w:tcPr>
            <w:tcW w:type="dxa" w:w="1020"/>
            <w:shd w:val="clear" w:color="auto" w:fill="EEF1F7"/>
          </w:tcPr>
          <w:p>
            <w:pPr>
              <w:spacing w:after="0" w:line="240" w:lineRule="auto"/>
              <w:jc w:val="left"/>
            </w:pPr>
            <w:r/>
            <w:r>
              <w:rPr>
                <w:rFonts w:ascii="Calibri" w:hAnsi="Calibri"/>
                <w:b w:val="0"/>
                <w:sz w:val="14"/>
              </w:rPr>
              <w:t>MAJOR</w:t>
            </w:r>
          </w:p>
        </w:tc>
        <w:tc>
          <w:tcPr>
            <w:tcW w:type="dxa" w:w="3345"/>
            <w:shd w:val="clear" w:color="auto" w:fill="EEF1F7"/>
          </w:tcPr>
          <w:p>
            <w:pPr>
              <w:spacing w:after="0" w:line="240" w:lineRule="auto"/>
              <w:jc w:val="left"/>
            </w:pPr>
            <w:r/>
            <w:r>
              <w:rPr>
                <w:rFonts w:ascii="Calibri" w:hAnsi="Calibri"/>
                <w:b w:val="0"/>
                <w:sz w:val="14"/>
              </w:rPr>
              <w:t>₹ price with BOM and gross margin; state any USD conversion rate.</w:t>
            </w:r>
          </w:p>
        </w:tc>
      </w:tr>
      <w:tr>
        <w:trPr>
          <w:cantSplit w:val="true"/>
        </w:trPr>
        <w:tc>
          <w:tcPr>
            <w:tcW w:type="dxa" w:w="397"/>
          </w:tcPr>
          <w:p>
            <w:pPr>
              <w:spacing w:after="0" w:line="240" w:lineRule="auto"/>
              <w:jc w:val="left"/>
            </w:pPr>
            <w:r/>
            <w:r>
              <w:rPr>
                <w:rFonts w:ascii="Calibri" w:hAnsi="Calibri"/>
                <w:b w:val="0"/>
                <w:sz w:val="14"/>
              </w:rPr>
              <w:t>19</w:t>
            </w:r>
          </w:p>
        </w:tc>
        <w:tc>
          <w:tcPr>
            <w:tcW w:type="dxa" w:w="2268"/>
          </w:tcPr>
          <w:p>
            <w:pPr>
              <w:spacing w:after="0" w:line="240" w:lineRule="auto"/>
              <w:jc w:val="left"/>
            </w:pPr>
            <w:r/>
            <w:r>
              <w:rPr>
                <w:rFonts w:ascii="Calibri" w:hAnsi="Calibri"/>
                <w:b w:val="0"/>
                <w:sz w:val="14"/>
              </w:rPr>
              <w:t>Angular accuracy</w:t>
            </w:r>
          </w:p>
        </w:tc>
        <w:tc>
          <w:tcPr>
            <w:tcW w:type="dxa" w:w="2381"/>
          </w:tcPr>
          <w:p>
            <w:pPr>
              <w:spacing w:after="0" w:line="240" w:lineRule="auto"/>
              <w:jc w:val="left"/>
            </w:pPr>
            <w:r/>
            <w:r>
              <w:rPr>
                <w:rFonts w:ascii="Calibri" w:hAnsi="Calibri"/>
                <w:b w:val="0"/>
                <w:sz w:val="14"/>
              </w:rPr>
              <w:t>±1.8° achieved; ±2° proposed as improvement</w:t>
            </w:r>
          </w:p>
        </w:tc>
        <w:tc>
          <w:tcPr>
            <w:tcW w:type="dxa" w:w="1020"/>
          </w:tcPr>
          <w:p>
            <w:pPr>
              <w:spacing w:after="0" w:line="240" w:lineRule="auto"/>
              <w:jc w:val="left"/>
            </w:pPr>
            <w:r/>
            <w:r>
              <w:rPr>
                <w:rFonts w:ascii="Calibri" w:hAnsi="Calibri"/>
                <w:b w:val="0"/>
                <w:sz w:val="14"/>
              </w:rPr>
              <w:t>MAJOR</w:t>
            </w:r>
          </w:p>
        </w:tc>
        <w:tc>
          <w:tcPr>
            <w:tcW w:type="dxa" w:w="3345"/>
          </w:tcPr>
          <w:p>
            <w:pPr>
              <w:spacing w:after="0" w:line="240" w:lineRule="auto"/>
              <w:jc w:val="left"/>
            </w:pPr>
            <w:r/>
            <w:r>
              <w:rPr>
                <w:rFonts w:ascii="Calibri" w:hAnsi="Calibri"/>
                <w:b w:val="0"/>
                <w:sz w:val="14"/>
              </w:rPr>
              <w:t>≤0.5° specified (see Table 4.3) and measured; delete the ±2° “improvement”.</w:t>
            </w:r>
          </w:p>
        </w:tc>
      </w:tr>
      <w:tr>
        <w:trPr>
          <w:cantSplit w:val="true"/>
        </w:trPr>
        <w:tc>
          <w:tcPr>
            <w:tcW w:type="dxa" w:w="397"/>
            <w:shd w:val="clear" w:color="auto" w:fill="EEF1F7"/>
          </w:tcPr>
          <w:p>
            <w:pPr>
              <w:spacing w:after="0" w:line="240" w:lineRule="auto"/>
              <w:jc w:val="left"/>
            </w:pPr>
            <w:r/>
            <w:r>
              <w:rPr>
                <w:rFonts w:ascii="Calibri" w:hAnsi="Calibri"/>
                <w:b w:val="0"/>
                <w:sz w:val="14"/>
              </w:rPr>
              <w:t>20</w:t>
            </w:r>
          </w:p>
        </w:tc>
        <w:tc>
          <w:tcPr>
            <w:tcW w:type="dxa" w:w="2268"/>
            <w:shd w:val="clear" w:color="auto" w:fill="EEF1F7"/>
          </w:tcPr>
          <w:p>
            <w:pPr>
              <w:spacing w:after="0" w:line="240" w:lineRule="auto"/>
              <w:jc w:val="left"/>
            </w:pPr>
            <w:r/>
            <w:r>
              <w:rPr>
                <w:rFonts w:ascii="Calibri" w:hAnsi="Calibri"/>
                <w:b w:val="0"/>
                <w:sz w:val="14"/>
              </w:rPr>
              <w:t>Battery runtime</w:t>
            </w:r>
          </w:p>
        </w:tc>
        <w:tc>
          <w:tcPr>
            <w:tcW w:type="dxa" w:w="2381"/>
            <w:shd w:val="clear" w:color="auto" w:fill="EEF1F7"/>
          </w:tcPr>
          <w:p>
            <w:pPr>
              <w:spacing w:after="0" w:line="240" w:lineRule="auto"/>
              <w:jc w:val="left"/>
            </w:pPr>
            <w:r/>
            <w:r>
              <w:rPr>
                <w:rFonts w:ascii="Calibri" w:hAnsi="Calibri"/>
                <w:b w:val="0"/>
                <w:sz w:val="14"/>
              </w:rPr>
              <w:t>6–8 h from 12 V 7 Ah</w:t>
            </w:r>
          </w:p>
        </w:tc>
        <w:tc>
          <w:tcPr>
            <w:tcW w:type="dxa" w:w="1020"/>
            <w:shd w:val="clear" w:color="auto" w:fill="EEF1F7"/>
          </w:tcPr>
          <w:p>
            <w:pPr>
              <w:spacing w:after="0" w:line="240" w:lineRule="auto"/>
              <w:jc w:val="left"/>
            </w:pPr>
            <w:r/>
            <w:r>
              <w:rPr>
                <w:rFonts w:ascii="Calibri" w:hAnsi="Calibri"/>
                <w:b w:val="0"/>
                <w:sz w:val="14"/>
              </w:rPr>
              <w:t>MAJOR</w:t>
            </w:r>
          </w:p>
        </w:tc>
        <w:tc>
          <w:tcPr>
            <w:tcW w:type="dxa" w:w="3345"/>
            <w:shd w:val="clear" w:color="auto" w:fill="EEF1F7"/>
          </w:tcPr>
          <w:p>
            <w:pPr>
              <w:spacing w:after="0" w:line="240" w:lineRule="auto"/>
              <w:jc w:val="left"/>
            </w:pPr>
            <w:r/>
            <w:r>
              <w:rPr>
                <w:rFonts w:ascii="Calibri" w:hAnsi="Calibri"/>
                <w:b w:val="0"/>
                <w:sz w:val="14"/>
              </w:rPr>
              <w:t>Measured W × duty cycle → h; or upsize to 12 V 12–18 Ah.</w:t>
            </w:r>
          </w:p>
        </w:tc>
      </w:tr>
      <w:tr>
        <w:trPr>
          <w:cantSplit w:val="true"/>
        </w:trPr>
        <w:tc>
          <w:tcPr>
            <w:tcW w:type="dxa" w:w="397"/>
          </w:tcPr>
          <w:p>
            <w:pPr>
              <w:spacing w:after="0" w:line="240" w:lineRule="auto"/>
              <w:jc w:val="left"/>
            </w:pPr>
            <w:r/>
            <w:r>
              <w:rPr>
                <w:rFonts w:ascii="Calibri" w:hAnsi="Calibri"/>
                <w:b w:val="0"/>
                <w:sz w:val="14"/>
              </w:rPr>
              <w:t>21</w:t>
            </w:r>
          </w:p>
        </w:tc>
        <w:tc>
          <w:tcPr>
            <w:tcW w:type="dxa" w:w="2268"/>
          </w:tcPr>
          <w:p>
            <w:pPr>
              <w:spacing w:after="0" w:line="240" w:lineRule="auto"/>
              <w:jc w:val="left"/>
            </w:pPr>
            <w:r/>
            <w:r>
              <w:rPr>
                <w:rFonts w:ascii="Calibri" w:hAnsi="Calibri"/>
                <w:b w:val="0"/>
                <w:sz w:val="14"/>
              </w:rPr>
              <w:t>Cycle time / throughput</w:t>
            </w:r>
          </w:p>
        </w:tc>
        <w:tc>
          <w:tcPr>
            <w:tcW w:type="dxa" w:w="2381"/>
          </w:tcPr>
          <w:p>
            <w:pPr>
              <w:spacing w:after="0" w:line="240" w:lineRule="auto"/>
              <w:jc w:val="left"/>
            </w:pPr>
            <w:r/>
            <w:r>
              <w:rPr>
                <w:rFonts w:ascii="Calibri" w:hAnsi="Calibri"/>
                <w:b w:val="0"/>
                <w:sz w:val="14"/>
              </w:rPr>
              <w:t>3.2 s average; 3–4 s cycle</w:t>
            </w:r>
          </w:p>
        </w:tc>
        <w:tc>
          <w:tcPr>
            <w:tcW w:type="dxa" w:w="1020"/>
          </w:tcPr>
          <w:p>
            <w:pPr>
              <w:spacing w:after="0" w:line="240" w:lineRule="auto"/>
              <w:jc w:val="left"/>
            </w:pPr>
            <w:r/>
            <w:r>
              <w:rPr>
                <w:rFonts w:ascii="Calibri" w:hAnsi="Calibri"/>
                <w:b w:val="0"/>
                <w:sz w:val="14"/>
              </w:rPr>
              <w:t>OK</w:t>
            </w:r>
          </w:p>
        </w:tc>
        <w:tc>
          <w:tcPr>
            <w:tcW w:type="dxa" w:w="3345"/>
          </w:tcPr>
          <w:p>
            <w:pPr>
              <w:spacing w:after="0" w:line="240" w:lineRule="auto"/>
              <w:jc w:val="left"/>
            </w:pPr>
            <w:r/>
            <w:r>
              <w:rPr>
                <w:rFonts w:ascii="Calibri" w:hAnsi="Calibri"/>
                <w:b w:val="0"/>
                <w:sz w:val="14"/>
              </w:rPr>
              <w:t>Keep, and add “≈1,125 items/h theoretical”.</w:t>
            </w:r>
          </w:p>
        </w:tc>
      </w:tr>
      <w:tr>
        <w:trPr>
          <w:cantSplit w:val="true"/>
        </w:trPr>
        <w:tc>
          <w:tcPr>
            <w:tcW w:type="dxa" w:w="397"/>
            <w:shd w:val="clear" w:color="auto" w:fill="EEF1F7"/>
          </w:tcPr>
          <w:p>
            <w:pPr>
              <w:spacing w:after="0" w:line="240" w:lineRule="auto"/>
              <w:jc w:val="left"/>
            </w:pPr>
            <w:r/>
            <w:r>
              <w:rPr>
                <w:rFonts w:ascii="Calibri" w:hAnsi="Calibri"/>
                <w:b w:val="0"/>
                <w:sz w:val="14"/>
              </w:rPr>
              <w:t>22</w:t>
            </w:r>
          </w:p>
        </w:tc>
        <w:tc>
          <w:tcPr>
            <w:tcW w:type="dxa" w:w="2268"/>
            <w:shd w:val="clear" w:color="auto" w:fill="EEF1F7"/>
          </w:tcPr>
          <w:p>
            <w:pPr>
              <w:spacing w:after="0" w:line="240" w:lineRule="auto"/>
              <w:jc w:val="left"/>
            </w:pPr>
            <w:r/>
            <w:r>
              <w:rPr>
                <w:rFonts w:ascii="Calibri" w:hAnsi="Calibri"/>
                <w:b w:val="0"/>
                <w:sz w:val="14"/>
              </w:rPr>
              <w:t>IoT latency and uptime</w:t>
            </w:r>
          </w:p>
        </w:tc>
        <w:tc>
          <w:tcPr>
            <w:tcW w:type="dxa" w:w="2381"/>
            <w:shd w:val="clear" w:color="auto" w:fill="EEF1F7"/>
          </w:tcPr>
          <w:p>
            <w:pPr>
              <w:spacing w:after="0" w:line="240" w:lineRule="auto"/>
              <w:jc w:val="left"/>
            </w:pPr>
            <w:r/>
            <w:r>
              <w:rPr>
                <w:rFonts w:ascii="Calibri" w:hAnsi="Calibri"/>
                <w:b w:val="0"/>
                <w:sz w:val="14"/>
              </w:rPr>
              <w:t>300 ms; &gt;98%</w:t>
            </w:r>
          </w:p>
        </w:tc>
        <w:tc>
          <w:tcPr>
            <w:tcW w:type="dxa" w:w="1020"/>
            <w:shd w:val="clear" w:color="auto" w:fill="EEF1F7"/>
          </w:tcPr>
          <w:p>
            <w:pPr>
              <w:spacing w:after="0" w:line="240" w:lineRule="auto"/>
              <w:jc w:val="left"/>
            </w:pPr>
            <w:r/>
            <w:r>
              <w:rPr>
                <w:rFonts w:ascii="Calibri" w:hAnsi="Calibri"/>
                <w:b w:val="0"/>
                <w:sz w:val="14"/>
              </w:rPr>
              <w:t>MAJOR</w:t>
            </w:r>
          </w:p>
        </w:tc>
        <w:tc>
          <w:tcPr>
            <w:tcW w:type="dxa" w:w="3345"/>
            <w:shd w:val="clear" w:color="auto" w:fill="EEF1F7"/>
          </w:tcPr>
          <w:p>
            <w:pPr>
              <w:spacing w:after="0" w:line="240" w:lineRule="auto"/>
              <w:jc w:val="left"/>
            </w:pPr>
            <w:r/>
            <w:r>
              <w:rPr>
                <w:rFonts w:ascii="Calibri" w:hAnsi="Calibri"/>
                <w:b w:val="0"/>
                <w:sz w:val="14"/>
              </w:rPr>
              <w:t>Median + p95 over a stated period; uptime over ≥72 h or drop the claim.</w:t>
            </w:r>
          </w:p>
        </w:tc>
      </w:tr>
      <w:tr>
        <w:trPr>
          <w:cantSplit w:val="true"/>
        </w:trPr>
        <w:tc>
          <w:tcPr>
            <w:tcW w:type="dxa" w:w="397"/>
          </w:tcPr>
          <w:p>
            <w:pPr>
              <w:spacing w:after="0" w:line="240" w:lineRule="auto"/>
              <w:jc w:val="left"/>
            </w:pPr>
            <w:r/>
            <w:r>
              <w:rPr>
                <w:rFonts w:ascii="Calibri" w:hAnsi="Calibri"/>
                <w:b w:val="0"/>
                <w:sz w:val="14"/>
              </w:rPr>
              <w:t>23</w:t>
            </w:r>
          </w:p>
        </w:tc>
        <w:tc>
          <w:tcPr>
            <w:tcW w:type="dxa" w:w="2268"/>
          </w:tcPr>
          <w:p>
            <w:pPr>
              <w:spacing w:after="0" w:line="240" w:lineRule="auto"/>
              <w:jc w:val="left"/>
            </w:pPr>
            <w:r/>
            <w:r>
              <w:rPr>
                <w:rFonts w:ascii="Calibri" w:hAnsi="Calibri"/>
                <w:b w:val="0"/>
                <w:sz w:val="14"/>
              </w:rPr>
              <w:t>Impact metrics (60–80%, 70%, 30%, 20%)</w:t>
            </w:r>
          </w:p>
        </w:tc>
        <w:tc>
          <w:tcPr>
            <w:tcW w:type="dxa" w:w="2381"/>
          </w:tcPr>
          <w:p>
            <w:pPr>
              <w:spacing w:after="0" w:line="240" w:lineRule="auto"/>
              <w:jc w:val="left"/>
            </w:pPr>
            <w:r/>
            <w:r>
              <w:rPr>
                <w:rFonts w:ascii="Calibri" w:hAnsi="Calibri"/>
                <w:b w:val="0"/>
                <w:sz w:val="14"/>
              </w:rPr>
              <w:t>Presented as achievements</w:t>
            </w:r>
          </w:p>
        </w:tc>
        <w:tc>
          <w:tcPr>
            <w:tcW w:type="dxa" w:w="1020"/>
          </w:tcPr>
          <w:p>
            <w:pPr>
              <w:spacing w:after="0" w:line="240" w:lineRule="auto"/>
              <w:jc w:val="left"/>
            </w:pPr>
            <w:r/>
            <w:r>
              <w:rPr>
                <w:rFonts w:ascii="Calibri" w:hAnsi="Calibri"/>
                <w:b/>
                <w:color w:val="A61B1B"/>
                <w:sz w:val="14"/>
              </w:rPr>
              <w:t>BLOCKER</w:t>
            </w:r>
          </w:p>
        </w:tc>
        <w:tc>
          <w:tcPr>
            <w:tcW w:type="dxa" w:w="3345"/>
          </w:tcPr>
          <w:p>
            <w:pPr>
              <w:spacing w:after="0" w:line="240" w:lineRule="auto"/>
              <w:jc w:val="left"/>
            </w:pPr>
            <w:r/>
            <w:r>
              <w:rPr>
                <w:rFonts w:ascii="Calibri" w:hAnsi="Calibri"/>
                <w:b w:val="0"/>
                <w:sz w:val="14"/>
              </w:rPr>
              <w:t>Relabel as “Design targets”, each with a defined measurement method.</w:t>
            </w:r>
          </w:p>
        </w:tc>
      </w:tr>
      <w:tr>
        <w:trPr>
          <w:cantSplit w:val="true"/>
        </w:trPr>
        <w:tc>
          <w:tcPr>
            <w:tcW w:type="dxa" w:w="397"/>
            <w:shd w:val="clear" w:color="auto" w:fill="EEF1F7"/>
          </w:tcPr>
          <w:p>
            <w:pPr>
              <w:spacing w:after="0" w:line="240" w:lineRule="auto"/>
              <w:jc w:val="left"/>
            </w:pPr>
            <w:r/>
            <w:r>
              <w:rPr>
                <w:rFonts w:ascii="Calibri" w:hAnsi="Calibri"/>
                <w:b w:val="0"/>
                <w:sz w:val="14"/>
              </w:rPr>
              <w:t>24</w:t>
            </w:r>
          </w:p>
        </w:tc>
        <w:tc>
          <w:tcPr>
            <w:tcW w:type="dxa" w:w="2268"/>
            <w:shd w:val="clear" w:color="auto" w:fill="EEF1F7"/>
          </w:tcPr>
          <w:p>
            <w:pPr>
              <w:spacing w:after="0" w:line="240" w:lineRule="auto"/>
              <w:jc w:val="left"/>
            </w:pPr>
            <w:r/>
            <w:r>
              <w:rPr>
                <w:rFonts w:ascii="Calibri" w:hAnsi="Calibri"/>
                <w:b w:val="0"/>
                <w:sz w:val="14"/>
              </w:rPr>
              <w:t>Bin dimensions</w:t>
            </w:r>
          </w:p>
        </w:tc>
        <w:tc>
          <w:tcPr>
            <w:tcW w:type="dxa" w:w="2381"/>
            <w:shd w:val="clear" w:color="auto" w:fill="EEF1F7"/>
          </w:tcPr>
          <w:p>
            <w:pPr>
              <w:spacing w:after="0" w:line="240" w:lineRule="auto"/>
              <w:jc w:val="left"/>
            </w:pPr>
            <w:r/>
            <w:r>
              <w:rPr>
                <w:rFonts w:ascii="Calibri" w:hAnsi="Calibri"/>
                <w:b w:val="0"/>
                <w:sz w:val="14"/>
              </w:rPr>
              <w:t>750 mm H, 450 mm W; 4 × Ø156 × 370 mm; 2 × Ø380 × 18 mm</w:t>
            </w:r>
          </w:p>
        </w:tc>
        <w:tc>
          <w:tcPr>
            <w:tcW w:type="dxa" w:w="1020"/>
            <w:shd w:val="clear" w:color="auto" w:fill="EEF1F7"/>
          </w:tcPr>
          <w:p>
            <w:pPr>
              <w:spacing w:after="0" w:line="240" w:lineRule="auto"/>
              <w:jc w:val="left"/>
            </w:pPr>
            <w:r/>
            <w:r>
              <w:rPr>
                <w:rFonts w:ascii="Calibri" w:hAnsi="Calibri"/>
                <w:b w:val="0"/>
                <w:sz w:val="14"/>
              </w:rPr>
              <w:t>OK</w:t>
            </w:r>
          </w:p>
        </w:tc>
        <w:tc>
          <w:tcPr>
            <w:tcW w:type="dxa" w:w="3345"/>
            <w:shd w:val="clear" w:color="auto" w:fill="EEF1F7"/>
          </w:tcPr>
          <w:p>
            <w:pPr>
              <w:spacing w:after="0" w:line="240" w:lineRule="auto"/>
              <w:jc w:val="left"/>
            </w:pPr>
            <w:r/>
            <w:r>
              <w:rPr>
                <w:rFonts w:ascii="Calibri" w:hAnsi="Calibri"/>
                <w:b w:val="0"/>
                <w:sz w:val="14"/>
              </w:rPr>
              <w:t>Keep, and add the 2×2 arrangement and the 112 mm centre radius explicitly.</w:t>
            </w:r>
          </w:p>
        </w:tc>
      </w:tr>
      <w:tr>
        <w:trPr>
          <w:cantSplit w:val="true"/>
        </w:trPr>
        <w:tc>
          <w:tcPr>
            <w:tcW w:type="dxa" w:w="397"/>
          </w:tcPr>
          <w:p>
            <w:pPr>
              <w:spacing w:after="0" w:line="240" w:lineRule="auto"/>
              <w:jc w:val="left"/>
            </w:pPr>
            <w:r/>
            <w:r>
              <w:rPr>
                <w:rFonts w:ascii="Calibri" w:hAnsi="Calibri"/>
                <w:b w:val="0"/>
                <w:sz w:val="14"/>
              </w:rPr>
              <w:t>25</w:t>
            </w:r>
          </w:p>
        </w:tc>
        <w:tc>
          <w:tcPr>
            <w:tcW w:type="dxa" w:w="2268"/>
          </w:tcPr>
          <w:p>
            <w:pPr>
              <w:spacing w:after="0" w:line="240" w:lineRule="auto"/>
              <w:jc w:val="left"/>
            </w:pPr>
            <w:r/>
            <w:r>
              <w:rPr>
                <w:rFonts w:ascii="Calibri" w:hAnsi="Calibri"/>
                <w:b w:val="0"/>
                <w:sz w:val="14"/>
              </w:rPr>
              <w:t>Weight of the unit</w:t>
            </w:r>
          </w:p>
        </w:tc>
        <w:tc>
          <w:tcPr>
            <w:tcW w:type="dxa" w:w="2381"/>
          </w:tcPr>
          <w:p>
            <w:pPr>
              <w:spacing w:after="0" w:line="240" w:lineRule="auto"/>
              <w:jc w:val="left"/>
            </w:pPr>
            <w:r/>
            <w:r>
              <w:rPr>
                <w:rFonts w:ascii="Calibri" w:hAnsi="Calibri"/>
                <w:b w:val="0"/>
                <w:sz w:val="14"/>
              </w:rPr>
              <w:t>Not stated anywhere</w:t>
            </w:r>
          </w:p>
        </w:tc>
        <w:tc>
          <w:tcPr>
            <w:tcW w:type="dxa" w:w="1020"/>
          </w:tcPr>
          <w:p>
            <w:pPr>
              <w:spacing w:after="0" w:line="240" w:lineRule="auto"/>
              <w:jc w:val="left"/>
            </w:pPr>
            <w:r/>
            <w:r>
              <w:rPr>
                <w:rFonts w:ascii="Calibri" w:hAnsi="Calibri"/>
                <w:b w:val="0"/>
                <w:sz w:val="14"/>
              </w:rPr>
              <w:t>GAP</w:t>
            </w:r>
          </w:p>
        </w:tc>
        <w:tc>
          <w:tcPr>
            <w:tcW w:type="dxa" w:w="3345"/>
          </w:tcPr>
          <w:p>
            <w:pPr>
              <w:spacing w:after="0" w:line="240" w:lineRule="auto"/>
              <w:jc w:val="left"/>
            </w:pPr>
            <w:r/>
            <w:r>
              <w:rPr>
                <w:rFonts w:ascii="Calibri" w:hAnsi="Calibri"/>
                <w:b w:val="0"/>
                <w:sz w:val="14"/>
              </w:rPr>
              <w:t>Add — required for a bin that is meant to be portable.</w:t>
            </w:r>
          </w:p>
        </w:tc>
      </w:tr>
      <w:tr>
        <w:trPr>
          <w:cantSplit w:val="true"/>
        </w:trPr>
        <w:tc>
          <w:tcPr>
            <w:tcW w:type="dxa" w:w="397"/>
            <w:shd w:val="clear" w:color="auto" w:fill="EEF1F7"/>
          </w:tcPr>
          <w:p>
            <w:pPr>
              <w:spacing w:after="0" w:line="240" w:lineRule="auto"/>
              <w:jc w:val="left"/>
            </w:pPr>
            <w:r/>
            <w:r>
              <w:rPr>
                <w:rFonts w:ascii="Calibri" w:hAnsi="Calibri"/>
                <w:b w:val="0"/>
                <w:sz w:val="14"/>
              </w:rPr>
              <w:t>26</w:t>
            </w:r>
          </w:p>
        </w:tc>
        <w:tc>
          <w:tcPr>
            <w:tcW w:type="dxa" w:w="2268"/>
            <w:shd w:val="clear" w:color="auto" w:fill="EEF1F7"/>
          </w:tcPr>
          <w:p>
            <w:pPr>
              <w:spacing w:after="0" w:line="240" w:lineRule="auto"/>
              <w:jc w:val="left"/>
            </w:pPr>
            <w:r/>
            <w:r>
              <w:rPr>
                <w:rFonts w:ascii="Calibri" w:hAnsi="Calibri"/>
                <w:b w:val="0"/>
                <w:sz w:val="14"/>
              </w:rPr>
              <w:t>Cost per unit (prototype)</w:t>
            </w:r>
          </w:p>
        </w:tc>
        <w:tc>
          <w:tcPr>
            <w:tcW w:type="dxa" w:w="2381"/>
            <w:shd w:val="clear" w:color="auto" w:fill="EEF1F7"/>
          </w:tcPr>
          <w:p>
            <w:pPr>
              <w:spacing w:after="0" w:line="240" w:lineRule="auto"/>
              <w:jc w:val="left"/>
            </w:pPr>
            <w:r/>
            <w:r>
              <w:rPr>
                <w:rFonts w:ascii="Calibri" w:hAnsi="Calibri"/>
                <w:b w:val="0"/>
                <w:sz w:val="14"/>
              </w:rPr>
              <w:t>Not stated</w:t>
            </w:r>
          </w:p>
        </w:tc>
        <w:tc>
          <w:tcPr>
            <w:tcW w:type="dxa" w:w="1020"/>
            <w:shd w:val="clear" w:color="auto" w:fill="EEF1F7"/>
          </w:tcPr>
          <w:p>
            <w:pPr>
              <w:spacing w:after="0" w:line="240" w:lineRule="auto"/>
              <w:jc w:val="left"/>
            </w:pPr>
            <w:r/>
            <w:r>
              <w:rPr>
                <w:rFonts w:ascii="Calibri" w:hAnsi="Calibri"/>
                <w:b w:val="0"/>
                <w:sz w:val="14"/>
              </w:rPr>
              <w:t>GAP</w:t>
            </w:r>
          </w:p>
        </w:tc>
        <w:tc>
          <w:tcPr>
            <w:tcW w:type="dxa" w:w="3345"/>
            <w:shd w:val="clear" w:color="auto" w:fill="EEF1F7"/>
          </w:tcPr>
          <w:p>
            <w:pPr>
              <w:spacing w:after="0" w:line="240" w:lineRule="auto"/>
              <w:jc w:val="left"/>
            </w:pPr>
            <w:r/>
            <w:r>
              <w:rPr>
                <w:rFonts w:ascii="Calibri" w:hAnsi="Calibri"/>
                <w:b w:val="0"/>
                <w:sz w:val="14"/>
              </w:rPr>
              <w:t>Add actual prototype build cost — the single most requested figure in a viva.</w:t>
            </w:r>
          </w:p>
        </w:tc>
      </w:tr>
    </w:tbl>
    <w:p>
      <w:pPr>
        <w:keepNext/>
        <w:spacing w:before="160" w:after="60"/>
        <w:jc w:val="left"/>
      </w:pPr>
      <w:r>
        <w:rPr>
          <w:rFonts w:ascii="Calibri" w:hAnsi="Calibri"/>
          <w:b/>
          <w:color w:val="1F3864"/>
          <w:sz w:val="18"/>
        </w:rPr>
        <w:t>Table 10.1 — Master value ledger. Nothing outside this column should appear in the new report.</w:t>
      </w:r>
    </w:p>
    <w:p>
      <w:pPr>
        <w:spacing w:before="40" w:after="160"/>
        <w:jc w:val="left"/>
      </w:pPr>
      <w:r>
        <w:rPr>
          <w:rFonts w:ascii="Calibri" w:hAnsi="Calibri"/>
          <w:i/>
          <w:color w:val="404040"/>
          <w:sz w:val="16"/>
        </w:rPr>
        <w:t>Rows 25 and 26 are gaps rather than errors: neither document states the prototype's mass or its actual cost to build, and both are asked in every review.</w:t>
      </w:r>
    </w:p>
    <w:p>
      <w:r>
        <w:br w:type="page"/>
      </w:r>
    </w:p>
    <w:p>
      <w:pPr>
        <w:keepNext/>
        <w:spacing w:before="200" w:after="120"/>
        <w:jc w:val="left"/>
        <w:pBdr>
          <w:bottom w:val="single" w:sz="8" w:space="2" w:color="1F3864"/>
        </w:pBdr>
      </w:pPr>
      <w:r>
        <w:rPr>
          <w:rFonts w:ascii="Times New Roman" w:hAnsi="Times New Roman"/>
          <w:b/>
          <w:color w:val="1F3864"/>
          <w:sz w:val="26"/>
        </w:rPr>
        <w:t>11. PRE-SUBMISSION CHECKLIST FOR THE NEW REPORT</w:t>
      </w:r>
    </w:p>
    <w:p>
      <w:pPr>
        <w:spacing w:after="120"/>
        <w:ind w:left="0"/>
        <w:jc w:val="both"/>
      </w:pPr>
      <w:r>
        <w:rPr>
          <w:b w:val="0"/>
          <w:i w:val="0"/>
          <w:sz w:val="22"/>
        </w:rPr>
        <w:t>Run this list top to bottom after the template is filled. Each line is a single pass over the document.</w:t>
      </w:r>
    </w:p>
    <w:p>
      <w:pPr>
        <w:keepNext/>
        <w:spacing w:before="200" w:after="80"/>
        <w:jc w:val="left"/>
      </w:pPr>
      <w:r>
        <w:rPr>
          <w:b/>
          <w:color w:val="1F3864"/>
          <w:sz w:val="23"/>
        </w:rPr>
        <w:t>Numbers</w:t>
      </w:r>
    </w:p>
    <w:p>
      <w:pPr>
        <w:pStyle w:val="ListBullet"/>
        <w:spacing w:after="40"/>
        <w:ind w:left="425" w:hanging="255"/>
        <w:jc w:val="both"/>
      </w:pPr>
      <w:r>
        <w:rPr>
          <w:b w:val="0"/>
          <w:sz w:val="20"/>
        </w:rPr>
        <w:t>Every accuracy, percentage and time value appears once, and it appears identically in abstract, results, conclusion and appendix.</w:t>
      </w:r>
    </w:p>
    <w:p>
      <w:pPr>
        <w:pStyle w:val="ListBullet"/>
        <w:spacing w:after="40"/>
        <w:ind w:left="425" w:hanging="255"/>
        <w:jc w:val="both"/>
      </w:pPr>
      <w:r>
        <w:rPr>
          <w:b w:val="0"/>
          <w:sz w:val="20"/>
        </w:rPr>
        <w:t>Every percentage is recomputable from a printed numerator and denominator.</w:t>
      </w:r>
    </w:p>
    <w:p>
      <w:pPr>
        <w:pStyle w:val="ListBullet"/>
        <w:spacing w:after="40"/>
        <w:ind w:left="425" w:hanging="255"/>
        <w:jc w:val="both"/>
      </w:pPr>
      <w:r>
        <w:rPr>
          <w:b w:val="0"/>
          <w:sz w:val="20"/>
        </w:rPr>
        <w:t>Every table's rows and columns add to the stated total.</w:t>
      </w:r>
    </w:p>
    <w:p>
      <w:pPr>
        <w:pStyle w:val="ListBullet"/>
        <w:spacing w:after="40"/>
        <w:ind w:left="425" w:hanging="255"/>
        <w:jc w:val="both"/>
      </w:pPr>
      <w:r>
        <w:rPr>
          <w:b w:val="0"/>
          <w:sz w:val="20"/>
        </w:rPr>
        <w:t>Every population and market figure carries a year and a source.</w:t>
      </w:r>
    </w:p>
    <w:p>
      <w:pPr>
        <w:pStyle w:val="ListBullet"/>
        <w:spacing w:after="40"/>
        <w:ind w:left="425" w:hanging="255"/>
        <w:jc w:val="both"/>
      </w:pPr>
      <w:r>
        <w:rPr>
          <w:b w:val="0"/>
          <w:sz w:val="20"/>
        </w:rPr>
        <w:t>Every currency is one currency, or the exchange rate is stated once.</w:t>
      </w:r>
    </w:p>
    <w:p>
      <w:pPr>
        <w:pStyle w:val="ListBullet"/>
        <w:spacing w:after="40"/>
        <w:ind w:left="425" w:hanging="255"/>
        <w:jc w:val="both"/>
      </w:pPr>
      <w:r>
        <w:rPr>
          <w:b w:val="0"/>
          <w:sz w:val="20"/>
        </w:rPr>
        <w:t>The 5-year series is monotone or explains any decline.</w:t>
      </w:r>
    </w:p>
    <w:p>
      <w:pPr>
        <w:keepNext/>
        <w:spacing w:before="200" w:after="80"/>
        <w:jc w:val="left"/>
      </w:pPr>
      <w:r>
        <w:rPr>
          <w:b/>
          <w:color w:val="1F3864"/>
          <w:sz w:val="23"/>
        </w:rPr>
        <w:t>Claims</w:t>
      </w:r>
    </w:p>
    <w:p>
      <w:pPr>
        <w:pStyle w:val="ListBullet"/>
        <w:spacing w:after="40"/>
        <w:ind w:left="425" w:hanging="255"/>
        <w:jc w:val="both"/>
      </w:pPr>
      <w:r>
        <w:rPr>
          <w:b w:val="0"/>
          <w:sz w:val="20"/>
        </w:rPr>
        <w:t>No sentence claims a measured impact that has no measurement record behind it.</w:t>
      </w:r>
    </w:p>
    <w:p>
      <w:pPr>
        <w:pStyle w:val="ListBullet"/>
        <w:spacing w:after="40"/>
        <w:ind w:left="425" w:hanging="255"/>
        <w:jc w:val="both"/>
      </w:pPr>
      <w:r>
        <w:rPr>
          <w:b w:val="0"/>
          <w:sz w:val="20"/>
        </w:rPr>
        <w:t>Design targets are in a section titled as such, not scattered through Results.</w:t>
      </w:r>
    </w:p>
    <w:p>
      <w:pPr>
        <w:pStyle w:val="ListBullet"/>
        <w:spacing w:after="40"/>
        <w:ind w:left="425" w:hanging="255"/>
        <w:jc w:val="both"/>
      </w:pPr>
      <w:r>
        <w:rPr>
          <w:b w:val="0"/>
          <w:sz w:val="20"/>
        </w:rPr>
        <w:t>Every hardware number (W, h, mm, °, s) is traceable to an appendix log.</w:t>
      </w:r>
    </w:p>
    <w:p>
      <w:pPr>
        <w:pStyle w:val="ListBullet"/>
        <w:spacing w:after="40"/>
        <w:ind w:left="425" w:hanging="255"/>
        <w:jc w:val="both"/>
      </w:pPr>
      <w:r>
        <w:rPr>
          <w:b w:val="0"/>
          <w:sz w:val="20"/>
        </w:rPr>
        <w:t>The class taxonomy agrees between: dataset table, confusion matrix, decision logic, drawing, and SDG narrative.</w:t>
      </w:r>
    </w:p>
    <w:p>
      <w:pPr>
        <w:keepNext/>
        <w:spacing w:before="200" w:after="80"/>
        <w:jc w:val="left"/>
      </w:pPr>
      <w:r>
        <w:rPr>
          <w:b/>
          <w:color w:val="1F3864"/>
          <w:sz w:val="23"/>
        </w:rPr>
        <w:t>Text</w:t>
      </w:r>
    </w:p>
    <w:p>
      <w:pPr>
        <w:pStyle w:val="ListBullet"/>
        <w:spacing w:after="40"/>
        <w:ind w:left="425" w:hanging="255"/>
        <w:jc w:val="both"/>
      </w:pPr>
      <w:r>
        <w:rPr>
          <w:b w:val="0"/>
          <w:sz w:val="20"/>
        </w:rPr>
        <w:t>Contents, List of Figures and List of Tables regenerated after the final edit.</w:t>
      </w:r>
    </w:p>
    <w:p>
      <w:pPr>
        <w:pStyle w:val="ListBullet"/>
        <w:spacing w:after="40"/>
        <w:ind w:left="425" w:hanging="255"/>
        <w:jc w:val="both"/>
      </w:pPr>
      <w:r>
        <w:rPr>
          <w:b w:val="0"/>
          <w:sz w:val="20"/>
        </w:rPr>
        <w:t>No template instruction text and no blank rows anywhere.</w:t>
      </w:r>
    </w:p>
    <w:p>
      <w:pPr>
        <w:pStyle w:val="ListBullet"/>
        <w:spacing w:after="40"/>
        <w:ind w:left="425" w:hanging="255"/>
        <w:jc w:val="both"/>
      </w:pPr>
      <w:r>
        <w:rPr>
          <w:b w:val="0"/>
          <w:sz w:val="20"/>
        </w:rPr>
        <w:t>Figure and table numbering consistent; every caption matches its content.</w:t>
      </w:r>
    </w:p>
    <w:p>
      <w:pPr>
        <w:pStyle w:val="ListBullet"/>
        <w:spacing w:after="40"/>
        <w:ind w:left="425" w:hanging="255"/>
        <w:jc w:val="both"/>
      </w:pPr>
      <w:r>
        <w:rPr>
          <w:b w:val="0"/>
          <w:sz w:val="20"/>
        </w:rPr>
        <w:t>Every cross-reference resolves (“see Table __” points at the right table).</w:t>
      </w:r>
    </w:p>
    <w:p>
      <w:pPr>
        <w:pStyle w:val="ListBullet"/>
        <w:spacing w:after="40"/>
        <w:ind w:left="425" w:hanging="255"/>
        <w:jc w:val="both"/>
      </w:pPr>
      <w:r>
        <w:rPr>
          <w:b w:val="0"/>
          <w:sz w:val="20"/>
        </w:rPr>
        <w:t>Spelling: ARCHITECTURE, CUSTOMER PERSONA, BinGenie, Sri Sairam.</w:t>
      </w:r>
    </w:p>
    <w:p>
      <w:pPr>
        <w:pStyle w:val="ListBullet"/>
        <w:spacing w:after="40"/>
        <w:ind w:left="425" w:hanging="255"/>
        <w:jc w:val="both"/>
      </w:pPr>
      <w:r>
        <w:rPr>
          <w:b w:val="0"/>
          <w:sz w:val="20"/>
        </w:rPr>
        <w:t>Every in-text citation appears in the reference list, and vice versa.</w:t>
      </w:r>
    </w:p>
    <w:p>
      <w:pPr>
        <w:pStyle w:val="ListBullet"/>
        <w:spacing w:after="40"/>
        <w:ind w:left="425" w:hanging="255"/>
        <w:jc w:val="both"/>
      </w:pPr>
      <w:r>
        <w:rPr>
          <w:b w:val="0"/>
          <w:sz w:val="20"/>
        </w:rPr>
        <w:t>One citation style throughout.</w:t>
      </w:r>
    </w:p>
    <w:p>
      <w:pPr>
        <w:pStyle w:val="ListBullet"/>
        <w:spacing w:after="40"/>
        <w:ind w:left="425" w:hanging="255"/>
        <w:jc w:val="both"/>
      </w:pPr>
      <w:r>
        <w:rPr>
          <w:b w:val="0"/>
          <w:sz w:val="20"/>
        </w:rPr>
        <w:t>No residual financial-product text (persona, survey bullets).</w:t>
      </w:r>
    </w:p>
    <w:p>
      <w:pPr>
        <w:keepNext/>
        <w:spacing w:before="200" w:after="80"/>
        <w:jc w:val="left"/>
      </w:pPr>
      <w:r>
        <w:rPr>
          <w:b/>
          <w:color w:val="1F3864"/>
          <w:sz w:val="23"/>
        </w:rPr>
        <w:t>Format</w:t>
      </w:r>
    </w:p>
    <w:p>
      <w:pPr>
        <w:pStyle w:val="ListBullet"/>
        <w:spacing w:after="40"/>
        <w:ind w:left="425" w:hanging="255"/>
        <w:jc w:val="both"/>
      </w:pPr>
      <w:r>
        <w:rPr>
          <w:b w:val="0"/>
          <w:sz w:val="20"/>
        </w:rPr>
        <w:t>Headings are real heading styles, not bold body text, so the automatic contents works.</w:t>
      </w:r>
    </w:p>
    <w:p>
      <w:pPr>
        <w:pStyle w:val="ListBullet"/>
        <w:spacing w:after="40"/>
        <w:ind w:left="425" w:hanging="255"/>
        <w:jc w:val="both"/>
      </w:pPr>
      <w:r>
        <w:rPr>
          <w:b w:val="0"/>
          <w:sz w:val="20"/>
        </w:rPr>
        <w:t>All figures same width, same border treatment, captions below figures, table captions above tables.</w:t>
      </w:r>
    </w:p>
    <w:p>
      <w:pPr>
        <w:pStyle w:val="ListBullet"/>
        <w:spacing w:after="40"/>
        <w:ind w:left="425" w:hanging="255"/>
        <w:jc w:val="both"/>
      </w:pPr>
      <w:r>
        <w:rPr>
          <w:b w:val="0"/>
          <w:sz w:val="20"/>
        </w:rPr>
        <w:t>Justified body text with no rivers; hyphenation off.</w:t>
      </w:r>
    </w:p>
    <w:p>
      <w:pPr>
        <w:pStyle w:val="ListBullet"/>
        <w:spacing w:after="40"/>
        <w:ind w:left="425" w:hanging="255"/>
        <w:jc w:val="both"/>
      </w:pPr>
      <w:r>
        <w:rPr>
          <w:b w:val="0"/>
          <w:sz w:val="20"/>
        </w:rPr>
        <w:t>Page numbers in the footer; front matter in roman numerals if the template requires it.</w:t>
      </w:r>
    </w:p>
    <w:p>
      <w:pPr>
        <w:pStyle w:val="ListBullet"/>
        <w:spacing w:after="40"/>
        <w:ind w:left="425" w:hanging="255"/>
        <w:jc w:val="both"/>
      </w:pPr>
      <w:r>
        <w:rPr>
          <w:b w:val="0"/>
          <w:sz w:val="20"/>
        </w:rPr>
        <w:t>Plagiarism / AI-use declaration completed if required.</w:t>
      </w:r>
    </w:p>
    <w:p/>
    <w:p>
      <w:pPr>
        <w:spacing w:before="200"/>
        <w:jc w:val="left"/>
      </w:pPr>
      <w:r>
        <w:rPr>
          <w:b/>
          <w:color w:val="1F3864"/>
          <w:sz w:val="21"/>
        </w:rPr>
        <w:t xml:space="preserve">Bottom line. </w:t>
      </w:r>
      <w:r>
        <w:rPr>
          <w:sz w:val="21"/>
        </w:rPr>
        <w:t>Fourteen of the twenty-six ledger rows are blockers, and every one of them is fixed by arithmetic rather than by a new experiment — choose one accuracy, one test set, one taxonomy, one survey, one population series, one P&amp;L. The engineering is defensible; the numbers need to be made defensible with it. Once the current-semester template arrives, the report can be built directly from the right-hand column of Table 10.1.</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04040"/>
        <w:sz w:val="16"/>
      </w:rPr>
      <w:t xml:space="preserve">Technical Audit  |  BinGenie — Waste Segregating Smart Bin  |  Page </w:t>
    </w:r>
    <w:fldSimple w:instr="PAGE">
      <w:r>
        <w:rPr>
          <w:sz w:val="16"/>
        </w:rPr>
        <w:t>1</w:t>
      </w:r>
    </w:fldSimple>
    <w:r>
      <w:rPr>
        <w:rFonts w:ascii="Calibri" w:hAnsi="Calibri"/>
        <w:sz w:val="16"/>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