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4"/>
        </w:rPr>
        <w:t>WHAT WE CAN ACTUALLY USE</w:t>
      </w:r>
    </w:p>
    <w:p>
      <w:pPr>
        <w:jc w:val="center"/>
      </w:pPr>
      <w:r>
        <w:rPr>
          <w:i/>
          <w:color w:val="404040"/>
          <w:sz w:val="24"/>
        </w:rPr>
        <w:t>The carry-forward specification for the current-semester report</w:t>
      </w:r>
    </w:p>
    <w:p/>
    <w:p>
      <w:pPr>
        <w:jc w:val="center"/>
      </w:pPr>
      <w:r>
        <w:rPr>
          <w:b/>
          <w:color w:val="1F3864"/>
          <w:sz w:val="56"/>
        </w:rPr>
        <w:t>BIN GENIE</w:t>
      </w:r>
    </w:p>
    <w:p>
      <w:pPr>
        <w:jc w:val="center"/>
      </w:pPr>
      <w:r>
        <w:rPr>
          <w:color w:val="404040"/>
          <w:sz w:val="22"/>
        </w:rPr>
        <w:t>Waste Segregating Smart Bin</w:t>
        <w:br/>
        <w:t>IoT-Enabled Waste Segregation using a Carousel Disc Mechanism</w:t>
        <w:br/>
        <w:t>and AI-Driven Image Recognition</w:t>
      </w:r>
    </w:p>
    <w:p/>
    <w:tbl>
      <w:tblPr>
        <w:tblStyle w:val="TableGrid"/>
        <w:tblLook w:firstColumn="1" w:firstRow="1" w:lastColumn="0" w:lastRow="0" w:noHBand="0" w:noVBand="1" w:val="04A0"/>
        <w:tblCellMar>
          <w:top w:w="40" w:type="dxa"/>
          <w:left w:w="70" w:type="dxa"/>
          <w:bottom w:w="40" w:type="dxa"/>
          <w:right w:w="70" w:type="dxa"/>
        </w:tblCellMar>
        <w:tblLayout w:type="fixed"/>
        <w:tblW w:type="dxa" w:w="9412"/>
      </w:tblPr>
      <w:tblGrid>
        <w:gridCol w:w="4706"/>
        <w:gridCol w:w="4706"/>
      </w:tblGrid>
      <w:tr>
        <w:trPr>
          <w:cantSplit w:val="true"/>
        </w:trPr>
        <w:tc>
          <w:tcPr>
            <w:tcW w:type="dxa" w:w="1928"/>
            <w:shd w:val="clear" w:color="auto" w:fill="1F3864"/>
          </w:tcPr>
          <w:p>
            <w:pPr>
              <w:spacing w:after="0"/>
            </w:pPr>
            <w:r>
              <w:rPr>
                <w:rFonts w:ascii="Calibri" w:hAnsi="Calibri"/>
                <w:b/>
                <w:color w:val="FFFFFF"/>
                <w:sz w:val="18"/>
              </w:rPr>
              <w:t>Purpose</w:t>
            </w:r>
          </w:p>
        </w:tc>
        <w:tc>
          <w:tcPr>
            <w:tcW w:type="dxa" w:w="7483"/>
          </w:tcPr>
          <w:p>
            <w:pPr>
              <w:spacing w:after="0" w:line="240" w:lineRule="auto"/>
            </w:pPr>
            <w:r>
              <w:rPr>
                <w:rFonts w:ascii="Calibri" w:hAnsi="Calibri"/>
                <w:sz w:val="17"/>
              </w:rPr>
              <w:t>Separate the project's defensible content from the content that must be re-specified,</w:t>
              <w:br/>
              <w:t>so the new report is built on solid ground rather than on corrected guesses.</w:t>
            </w:r>
          </w:p>
        </w:tc>
      </w:tr>
      <w:tr>
        <w:trPr>
          <w:cantSplit w:val="true"/>
        </w:trPr>
        <w:tc>
          <w:tcPr>
            <w:tcW w:type="dxa" w:w="1928"/>
            <w:shd w:val="clear" w:color="auto" w:fill="1F3864"/>
          </w:tcPr>
          <w:p>
            <w:pPr>
              <w:spacing w:after="0"/>
            </w:pPr>
            <w:r>
              <w:rPr>
                <w:rFonts w:ascii="Calibri" w:hAnsi="Calibri"/>
                <w:b/>
                <w:color w:val="FFFFFF"/>
                <w:sz w:val="18"/>
              </w:rPr>
              <w:t>Companion</w:t>
            </w:r>
          </w:p>
        </w:tc>
        <w:tc>
          <w:tcPr>
            <w:tcW w:type="dxa" w:w="7483"/>
          </w:tcPr>
          <w:p>
            <w:pPr>
              <w:spacing w:after="0" w:line="240" w:lineRule="auto"/>
            </w:pPr>
            <w:r>
              <w:rPr>
                <w:rFonts w:ascii="Calibri" w:hAnsi="Calibri"/>
                <w:sz w:val="17"/>
              </w:rPr>
              <w:t>IDFP_BinGenie_Technical_Audit.docx — the issue register this document answers.</w:t>
              <w:br/>
              <w:t>Issue IDs (A-1, C-5, D-1 …) refer to that audit.</w:t>
            </w:r>
          </w:p>
        </w:tc>
      </w:tr>
      <w:tr>
        <w:trPr>
          <w:cantSplit w:val="true"/>
        </w:trPr>
        <w:tc>
          <w:tcPr>
            <w:tcW w:type="dxa" w:w="1928"/>
            <w:shd w:val="clear" w:color="auto" w:fill="1F3864"/>
          </w:tcPr>
          <w:p>
            <w:pPr>
              <w:spacing w:after="0"/>
            </w:pPr>
            <w:r>
              <w:rPr>
                <w:rFonts w:ascii="Calibri" w:hAnsi="Calibri"/>
                <w:b/>
                <w:color w:val="FFFFFF"/>
                <w:sz w:val="18"/>
              </w:rPr>
              <w:t>Verdict tags</w:t>
            </w:r>
          </w:p>
        </w:tc>
        <w:tc>
          <w:tcPr>
            <w:tcW w:type="dxa" w:w="7483"/>
          </w:tcPr>
          <w:p>
            <w:pPr>
              <w:spacing w:after="0" w:line="240" w:lineRule="auto"/>
            </w:pPr>
            <w:r>
              <w:rPr>
                <w:rFonts w:ascii="Calibri" w:hAnsi="Calibri"/>
                <w:sz w:val="17"/>
              </w:rPr>
              <w:t>USE = carry forward as it stands.   RESPECIFY = keep the concept, change the number or wording.</w:t>
              <w:br/>
              <w:t>DROP = remove.   MEASURE = keep, but it needs a logged measurement before it can be claimed.</w:t>
            </w:r>
          </w:p>
        </w:tc>
      </w:tr>
      <w:tr>
        <w:trPr>
          <w:cantSplit w:val="true"/>
        </w:trPr>
        <w:tc>
          <w:tcPr>
            <w:tcW w:type="dxa" w:w="1928"/>
            <w:shd w:val="clear" w:color="auto" w:fill="1F3864"/>
          </w:tcPr>
          <w:p>
            <w:pPr>
              <w:spacing w:after="0"/>
            </w:pPr>
            <w:r>
              <w:rPr>
                <w:rFonts w:ascii="Calibri" w:hAnsi="Calibri"/>
                <w:b/>
                <w:color w:val="FFFFFF"/>
                <w:sz w:val="18"/>
              </w:rPr>
              <w:t>Core finding</w:t>
            </w:r>
          </w:p>
        </w:tc>
        <w:tc>
          <w:tcPr>
            <w:tcW w:type="dxa" w:w="7483"/>
          </w:tcPr>
          <w:p>
            <w:pPr>
              <w:spacing w:after="0" w:line="240" w:lineRule="auto"/>
            </w:pPr>
            <w:r>
              <w:rPr>
                <w:rFonts w:ascii="Calibri" w:hAnsi="Calibri"/>
                <w:sz w:val="17"/>
              </w:rPr>
              <w:t>The mechanical architecture and the system concept are sound and are the strongest part of</w:t>
              <w:br/>
              <w:t>the project. The weak part is everything that is a claim rather than a design.</w:t>
              <w:br/>
              <w:t>So: design claims stay, performance claims get measured or relabelled.</w:t>
            </w:r>
          </w:p>
        </w:tc>
      </w:tr>
    </w:tbl>
    <w:p>
      <w:r>
        <w:br w:type="page"/>
      </w:r>
    </w:p>
    <w:p>
      <w:pPr>
        <w:keepNext/>
        <w:spacing w:before="200" w:after="120"/>
        <w:jc w:val="left"/>
        <w:pBdr>
          <w:bottom w:val="single" w:sz="8" w:space="2" w:color="1F3864"/>
        </w:pBdr>
      </w:pPr>
      <w:r>
        <w:rPr>
          <w:b/>
          <w:color w:val="1F3864"/>
          <w:sz w:val="26"/>
        </w:rPr>
        <w:t>1. THE ONE-LINE ANSWER</w:t>
      </w:r>
    </w:p>
    <w:p>
      <w:pPr>
        <w:spacing w:after="120"/>
        <w:ind w:left="0"/>
        <w:jc w:val="both"/>
      </w:pPr>
      <w:r>
        <w:rPr>
          <w:b/>
          <w:i w:val="0"/>
          <w:sz w:val="22"/>
        </w:rPr>
        <w:t>Use the machine. Re-decide the numbers.</w:t>
      </w:r>
      <w:r>
        <w:rPr>
          <w:b w:val="0"/>
          <w:i w:val="0"/>
          <w:sz w:val="22"/>
        </w:rPr>
        <w:t xml:space="preserve"> Your project has two halves, and they are in very different states. The physical system — the dual carousel disc, the four detachable compartments, the sensor set, the Raspberry Pi control loop, the 3.2 s cycle — is a genuine, buildable, defensible piece of engineering. Nothing about it needs to be invented or softened. The second half — every number that describes how well it performs — is currently a set of estimates that do not agree with each other, and that is the half a reviewer attacks.</w:t>
      </w:r>
    </w:p>
    <w:p>
      <w:pPr>
        <w:spacing w:after="120"/>
        <w:ind w:left="0"/>
        <w:jc w:val="both"/>
      </w:pPr>
      <w:r>
        <w:rPr>
          <w:b w:val="0"/>
          <w:i w:val="0"/>
          <w:sz w:val="22"/>
        </w:rPr>
        <w:t xml:space="preserve">So the rule for the new report is simple: </w:t>
      </w:r>
      <w:r>
        <w:rPr>
          <w:b/>
          <w:i w:val="0"/>
          <w:sz w:val="22"/>
        </w:rPr>
        <w:t>anything that is a design decision can be stated as fact; anything that is a performance claim must be either measured or explicitly labelled a target.</w:t>
      </w:r>
      <w:r>
        <w:rPr>
          <w:b w:val="0"/>
          <w:i w:val="0"/>
          <w:sz w:val="22"/>
        </w:rPr>
        <w:t xml:space="preserve"> Both documents already blur that line, which is why the same accuracy appears four times with four values.</w:t>
      </w:r>
    </w:p>
    <w:p>
      <w:pPr>
        <w:keepNext/>
        <w:spacing w:before="160" w:after="60"/>
        <w:jc w:val="left"/>
      </w:pPr>
      <w:r>
        <w:rPr>
          <w:rFonts w:ascii="Calibri" w:hAnsi="Calibri"/>
          <w:b/>
          <w:color w:val="1F3864"/>
          <w:sz w:val="18"/>
        </w:rPr>
        <w:t>Table 1.1 — The project at a glance: what survives, what must be re-decided.</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1927"/>
        <w:gridCol w:w="2608"/>
        <w:gridCol w:w="1134"/>
        <w:gridCol w:w="3742"/>
      </w:tblGrid>
      <w:tr>
        <w:trPr>
          <w:cantSplit w:val="true"/>
          <w:tblHeader w:val="true"/>
        </w:trPr>
        <w:tc>
          <w:tcPr>
            <w:tcW w:type="dxa" w:w="1928"/>
            <w:shd w:val="clear" w:color="auto" w:fill="1F3864"/>
          </w:tcPr>
          <w:p>
            <w:pPr>
              <w:spacing w:after="0" w:line="240" w:lineRule="auto"/>
              <w:jc w:val="left"/>
            </w:pPr>
            <w:r>
              <w:rPr>
                <w:rFonts w:ascii="Calibri" w:hAnsi="Calibri"/>
                <w:b/>
                <w:color w:val="FFFFFF"/>
                <w:sz w:val="14"/>
              </w:rPr>
              <w:t>Element</w:t>
            </w:r>
          </w:p>
        </w:tc>
        <w:tc>
          <w:tcPr>
            <w:tcW w:type="dxa" w:w="2608"/>
            <w:shd w:val="clear" w:color="auto" w:fill="1F3864"/>
          </w:tcPr>
          <w:p>
            <w:pPr>
              <w:spacing w:after="0" w:line="240" w:lineRule="auto"/>
              <w:jc w:val="left"/>
            </w:pPr>
            <w:r>
              <w:rPr>
                <w:rFonts w:ascii="Calibri" w:hAnsi="Calibri"/>
                <w:b/>
                <w:color w:val="FFFFFF"/>
                <w:sz w:val="14"/>
              </w:rPr>
              <w:t>What you have</w:t>
            </w:r>
          </w:p>
        </w:tc>
        <w:tc>
          <w:tcPr>
            <w:tcW w:type="dxa" w:w="1134"/>
            <w:shd w:val="clear" w:color="auto" w:fill="1F3864"/>
          </w:tcPr>
          <w:p>
            <w:pPr>
              <w:spacing w:after="0" w:line="240" w:lineRule="auto"/>
              <w:jc w:val="left"/>
            </w:pPr>
            <w:r>
              <w:rPr>
                <w:rFonts w:ascii="Calibri" w:hAnsi="Calibri"/>
                <w:b/>
                <w:color w:val="FFFFFF"/>
                <w:sz w:val="14"/>
              </w:rPr>
              <w:t>Verdict</w:t>
            </w:r>
          </w:p>
        </w:tc>
        <w:tc>
          <w:tcPr>
            <w:tcW w:type="dxa" w:w="3742"/>
            <w:shd w:val="clear" w:color="auto" w:fill="1F3864"/>
          </w:tcPr>
          <w:p>
            <w:pPr>
              <w:spacing w:after="0" w:line="240" w:lineRule="auto"/>
              <w:jc w:val="left"/>
            </w:pPr>
            <w:r>
              <w:rPr>
                <w:rFonts w:ascii="Calibri" w:hAnsi="Calibri"/>
                <w:b/>
                <w:color w:val="FFFFFF"/>
                <w:sz w:val="14"/>
              </w:rPr>
              <w:t>What the new report should say</w:t>
            </w:r>
          </w:p>
        </w:tc>
      </w:tr>
      <w:tr>
        <w:trPr>
          <w:cantSplit w:val="true"/>
        </w:trPr>
        <w:tc>
          <w:tcPr>
            <w:tcW w:type="dxa" w:w="1928"/>
          </w:tcPr>
          <w:p>
            <w:pPr>
              <w:spacing w:after="0" w:line="240" w:lineRule="auto"/>
              <w:jc w:val="left"/>
            </w:pPr>
            <w:r>
              <w:rPr>
                <w:rFonts w:ascii="Calibri" w:hAnsi="Calibri"/>
                <w:b w:val="0"/>
                <w:sz w:val="14"/>
              </w:rPr>
              <w:t>Dual carousel disc mechanism</w:t>
            </w:r>
          </w:p>
        </w:tc>
        <w:tc>
          <w:tcPr>
            <w:tcW w:type="dxa" w:w="2608"/>
          </w:tcPr>
          <w:p>
            <w:pPr>
              <w:spacing w:after="0" w:line="240" w:lineRule="auto"/>
              <w:jc w:val="left"/>
            </w:pPr>
            <w:r>
              <w:rPr>
                <w:rFonts w:ascii="Calibri" w:hAnsi="Calibri"/>
                <w:b w:val="0"/>
                <w:sz w:val="14"/>
              </w:rPr>
              <w:t>Two Ø380 × 18 mm ABS discs, upper with a cup extrusion, lower with arc apertures, NEMA 17 + DRV8825, 4 index positions</w:t>
            </w:r>
          </w:p>
        </w:tc>
        <w:tc>
          <w:tcPr>
            <w:tcW w:type="dxa" w:w="1134"/>
            <w:shd w:val="clear" w:color="auto" w:fill="D9EAD3"/>
          </w:tcPr>
          <w:p>
            <w:pPr>
              <w:spacing w:after="0" w:line="240" w:lineRule="auto"/>
              <w:jc w:val="left"/>
            </w:pPr>
            <w:r>
              <w:rPr>
                <w:rFonts w:ascii="Calibri" w:hAnsi="Calibri"/>
                <w:b w:val="0"/>
                <w:sz w:val="14"/>
              </w:rPr>
              <w:t>USE</w:t>
            </w:r>
          </w:p>
        </w:tc>
        <w:tc>
          <w:tcPr>
            <w:tcW w:type="dxa" w:w="3742"/>
          </w:tcPr>
          <w:p>
            <w:pPr>
              <w:spacing w:after="0" w:line="240" w:lineRule="auto"/>
              <w:jc w:val="left"/>
            </w:pPr>
            <w:r>
              <w:rPr>
                <w:rFonts w:ascii="Calibri" w:hAnsi="Calibri"/>
                <w:b w:val="0"/>
                <w:sz w:val="14"/>
              </w:rPr>
              <w:t>Describe as designed and built. Dimension it. This is the novelty — lead with it.</w:t>
            </w:r>
          </w:p>
        </w:tc>
      </w:tr>
      <w:tr>
        <w:trPr>
          <w:cantSplit w:val="true"/>
        </w:trPr>
        <w:tc>
          <w:tcPr>
            <w:tcW w:type="dxa" w:w="1928"/>
            <w:shd w:val="clear" w:color="auto" w:fill="EEF1F7"/>
          </w:tcPr>
          <w:p>
            <w:pPr>
              <w:spacing w:after="0" w:line="240" w:lineRule="auto"/>
              <w:jc w:val="left"/>
            </w:pPr>
            <w:r>
              <w:rPr>
                <w:rFonts w:ascii="Calibri" w:hAnsi="Calibri"/>
                <w:b w:val="0"/>
                <w:sz w:val="14"/>
              </w:rPr>
              <w:t>Four detachable compartments</w:t>
            </w:r>
          </w:p>
        </w:tc>
        <w:tc>
          <w:tcPr>
            <w:tcW w:type="dxa" w:w="2608"/>
            <w:shd w:val="clear" w:color="auto" w:fill="EEF1F7"/>
          </w:tcPr>
          <w:p>
            <w:pPr>
              <w:spacing w:after="0" w:line="240" w:lineRule="auto"/>
              <w:jc w:val="left"/>
            </w:pPr>
            <w:r>
              <w:rPr>
                <w:rFonts w:ascii="Calibri" w:hAnsi="Calibri"/>
                <w:b w:val="0"/>
                <w:sz w:val="14"/>
              </w:rPr>
              <w:t>Ø156 × 370 mm HDPE, colour-coded, independently removable</w:t>
            </w:r>
          </w:p>
        </w:tc>
        <w:tc>
          <w:tcPr>
            <w:tcW w:type="dxa" w:w="1134"/>
            <w:shd w:val="clear" w:color="auto" w:fill="EEF1F7"/>
            <w:shd w:val="clear" w:color="auto" w:fill="D9EAD3"/>
          </w:tcPr>
          <w:p>
            <w:pPr>
              <w:spacing w:after="0" w:line="240" w:lineRule="auto"/>
              <w:jc w:val="left"/>
            </w:pPr>
            <w:r>
              <w:rPr>
                <w:rFonts w:ascii="Calibri" w:hAnsi="Calibri"/>
                <w:b w:val="0"/>
                <w:sz w:val="14"/>
              </w:rPr>
              <w:t>USE</w:t>
            </w:r>
          </w:p>
        </w:tc>
        <w:tc>
          <w:tcPr>
            <w:tcW w:type="dxa" w:w="3742"/>
            <w:shd w:val="clear" w:color="auto" w:fill="EEF1F7"/>
          </w:tcPr>
          <w:p>
            <w:pPr>
              <w:spacing w:after="0" w:line="240" w:lineRule="auto"/>
              <w:jc w:val="left"/>
            </w:pPr>
            <w:r>
              <w:rPr>
                <w:rFonts w:ascii="Calibri" w:hAnsi="Calibri"/>
                <w:b w:val="0"/>
                <w:sz w:val="14"/>
              </w:rPr>
              <w:t>Keep, with a dimensioned 2×2 arrangement and the 112 mm centre radius shown (§4).</w:t>
            </w:r>
          </w:p>
        </w:tc>
      </w:tr>
      <w:tr>
        <w:trPr>
          <w:cantSplit w:val="true"/>
        </w:trPr>
        <w:tc>
          <w:tcPr>
            <w:tcW w:type="dxa" w:w="1928"/>
          </w:tcPr>
          <w:p>
            <w:pPr>
              <w:spacing w:after="0" w:line="240" w:lineRule="auto"/>
              <w:jc w:val="left"/>
            </w:pPr>
            <w:r>
              <w:rPr>
                <w:rFonts w:ascii="Calibri" w:hAnsi="Calibri"/>
                <w:b w:val="0"/>
                <w:sz w:val="14"/>
              </w:rPr>
              <w:t>Sensor suite</w:t>
            </w:r>
          </w:p>
        </w:tc>
        <w:tc>
          <w:tcPr>
            <w:tcW w:type="dxa" w:w="2608"/>
          </w:tcPr>
          <w:p>
            <w:pPr>
              <w:spacing w:after="0" w:line="240" w:lineRule="auto"/>
              <w:jc w:val="left"/>
            </w:pPr>
            <w:r>
              <w:rPr>
                <w:rFonts w:ascii="Calibri" w:hAnsi="Calibri"/>
                <w:b w:val="0"/>
                <w:sz w:val="14"/>
              </w:rPr>
              <w:t>Moisture, capacitive, inductive, ToF, load cell, MQ-135, OV5647 camera</w:t>
            </w:r>
          </w:p>
        </w:tc>
        <w:tc>
          <w:tcPr>
            <w:tcW w:type="dxa" w:w="1134"/>
            <w:shd w:val="clear" w:color="auto" w:fill="D9EAD3"/>
          </w:tcPr>
          <w:p>
            <w:pPr>
              <w:spacing w:after="0" w:line="240" w:lineRule="auto"/>
              <w:jc w:val="left"/>
            </w:pPr>
            <w:r>
              <w:rPr>
                <w:rFonts w:ascii="Calibri" w:hAnsi="Calibri"/>
                <w:b w:val="0"/>
                <w:sz w:val="14"/>
              </w:rPr>
              <w:t>USE</w:t>
            </w:r>
          </w:p>
        </w:tc>
        <w:tc>
          <w:tcPr>
            <w:tcW w:type="dxa" w:w="3742"/>
          </w:tcPr>
          <w:p>
            <w:pPr>
              <w:spacing w:after="0" w:line="240" w:lineRule="auto"/>
              <w:jc w:val="left"/>
            </w:pPr>
            <w:r>
              <w:rPr>
                <w:rFonts w:ascii="Calibri" w:hAnsi="Calibri"/>
                <w:b w:val="0"/>
                <w:sz w:val="14"/>
              </w:rPr>
              <w:t>Keep the set. State the part numbers and what each one actually decides (§3).</w:t>
            </w:r>
          </w:p>
        </w:tc>
      </w:tr>
      <w:tr>
        <w:trPr>
          <w:cantSplit w:val="true"/>
        </w:trPr>
        <w:tc>
          <w:tcPr>
            <w:tcW w:type="dxa" w:w="1928"/>
            <w:shd w:val="clear" w:color="auto" w:fill="EEF1F7"/>
          </w:tcPr>
          <w:p>
            <w:pPr>
              <w:spacing w:after="0" w:line="240" w:lineRule="auto"/>
              <w:jc w:val="left"/>
            </w:pPr>
            <w:r>
              <w:rPr>
                <w:rFonts w:ascii="Calibri" w:hAnsi="Calibri"/>
                <w:b w:val="0"/>
                <w:sz w:val="14"/>
              </w:rPr>
              <w:t>Raspberry Pi 4 control</w:t>
            </w:r>
          </w:p>
        </w:tc>
        <w:tc>
          <w:tcPr>
            <w:tcW w:type="dxa" w:w="2608"/>
            <w:shd w:val="clear" w:color="auto" w:fill="EEF1F7"/>
          </w:tcPr>
          <w:p>
            <w:pPr>
              <w:spacing w:after="0" w:line="240" w:lineRule="auto"/>
              <w:jc w:val="left"/>
            </w:pPr>
            <w:r>
              <w:rPr>
                <w:rFonts w:ascii="Calibri" w:hAnsi="Calibri"/>
                <w:b w:val="0"/>
                <w:sz w:val="14"/>
              </w:rPr>
              <w:t>Pi 4 Model B, 4 GB, Python + TFLite, 6-state machine</w:t>
            </w:r>
          </w:p>
        </w:tc>
        <w:tc>
          <w:tcPr>
            <w:tcW w:type="dxa" w:w="1134"/>
            <w:shd w:val="clear" w:color="auto" w:fill="EEF1F7"/>
            <w:shd w:val="clear" w:color="auto" w:fill="D9EAD3"/>
          </w:tcPr>
          <w:p>
            <w:pPr>
              <w:spacing w:after="0" w:line="240" w:lineRule="auto"/>
              <w:jc w:val="left"/>
            </w:pPr>
            <w:r>
              <w:rPr>
                <w:rFonts w:ascii="Calibri" w:hAnsi="Calibri"/>
                <w:b w:val="0"/>
                <w:sz w:val="14"/>
              </w:rPr>
              <w:t>USE</w:t>
            </w:r>
          </w:p>
        </w:tc>
        <w:tc>
          <w:tcPr>
            <w:tcW w:type="dxa" w:w="3742"/>
            <w:shd w:val="clear" w:color="auto" w:fill="EEF1F7"/>
          </w:tcPr>
          <w:p>
            <w:pPr>
              <w:spacing w:after="0" w:line="240" w:lineRule="auto"/>
              <w:jc w:val="left"/>
            </w:pPr>
            <w:r>
              <w:rPr>
                <w:rFonts w:ascii="Calibri" w:hAnsi="Calibri"/>
                <w:b w:val="0"/>
                <w:sz w:val="14"/>
              </w:rPr>
              <w:t>Keep. Add the interface table (§3.4) — it makes the architecture look engineered, not hand-drawn.</w:t>
            </w:r>
          </w:p>
        </w:tc>
      </w:tr>
      <w:tr>
        <w:trPr>
          <w:cantSplit w:val="true"/>
        </w:trPr>
        <w:tc>
          <w:tcPr>
            <w:tcW w:type="dxa" w:w="1928"/>
          </w:tcPr>
          <w:p>
            <w:pPr>
              <w:spacing w:after="0" w:line="240" w:lineRule="auto"/>
              <w:jc w:val="left"/>
            </w:pPr>
            <w:r>
              <w:rPr>
                <w:rFonts w:ascii="Calibri" w:hAnsi="Calibri"/>
                <w:b w:val="0"/>
                <w:sz w:val="14"/>
              </w:rPr>
              <w:t>Cycle time 3.2 s / 3–4 s</w:t>
            </w:r>
          </w:p>
        </w:tc>
        <w:tc>
          <w:tcPr>
            <w:tcW w:type="dxa" w:w="2608"/>
          </w:tcPr>
          <w:p>
            <w:pPr>
              <w:spacing w:after="0" w:line="240" w:lineRule="auto"/>
              <w:jc w:val="left"/>
            </w:pPr>
            <w:r>
              <w:rPr>
                <w:rFonts w:ascii="Calibri" w:hAnsi="Calibri"/>
                <w:b w:val="0"/>
                <w:sz w:val="14"/>
              </w:rPr>
              <w:t>Consistent in both documents</w:t>
            </w:r>
          </w:p>
        </w:tc>
        <w:tc>
          <w:tcPr>
            <w:tcW w:type="dxa" w:w="1134"/>
            <w:shd w:val="clear" w:color="auto" w:fill="D9EAD3"/>
          </w:tcPr>
          <w:p>
            <w:pPr>
              <w:spacing w:after="0" w:line="240" w:lineRule="auto"/>
              <w:jc w:val="left"/>
            </w:pPr>
            <w:r>
              <w:rPr>
                <w:rFonts w:ascii="Calibri" w:hAnsi="Calibri"/>
                <w:b w:val="0"/>
                <w:sz w:val="14"/>
              </w:rPr>
              <w:t>USE</w:t>
            </w:r>
          </w:p>
        </w:tc>
        <w:tc>
          <w:tcPr>
            <w:tcW w:type="dxa" w:w="3742"/>
          </w:tcPr>
          <w:p>
            <w:pPr>
              <w:spacing w:after="0" w:line="240" w:lineRule="auto"/>
              <w:jc w:val="left"/>
            </w:pPr>
            <w:r>
              <w:rPr>
                <w:rFonts w:ascii="Calibri" w:hAnsi="Calibri"/>
                <w:b w:val="0"/>
                <w:sz w:val="14"/>
              </w:rPr>
              <w:t>Keep as measured. Add the implied 1,125 items/h theoretical throughput.</w:t>
            </w:r>
          </w:p>
        </w:tc>
      </w:tr>
      <w:tr>
        <w:trPr>
          <w:cantSplit w:val="true"/>
        </w:trPr>
        <w:tc>
          <w:tcPr>
            <w:tcW w:type="dxa" w:w="1928"/>
            <w:shd w:val="clear" w:color="auto" w:fill="EEF1F7"/>
          </w:tcPr>
          <w:p>
            <w:pPr>
              <w:spacing w:after="0" w:line="240" w:lineRule="auto"/>
              <w:jc w:val="left"/>
            </w:pPr>
            <w:r>
              <w:rPr>
                <w:rFonts w:ascii="Calibri" w:hAnsi="Calibri"/>
                <w:b w:val="0"/>
                <w:sz w:val="14"/>
              </w:rPr>
              <w:t>EfficientNet-B3 as the model</w:t>
            </w:r>
          </w:p>
        </w:tc>
        <w:tc>
          <w:tcPr>
            <w:tcW w:type="dxa" w:w="2608"/>
            <w:shd w:val="clear" w:color="auto" w:fill="EEF1F7"/>
          </w:tcPr>
          <w:p>
            <w:pPr>
              <w:spacing w:after="0" w:line="240" w:lineRule="auto"/>
              <w:jc w:val="left"/>
            </w:pPr>
            <w:r>
              <w:rPr>
                <w:rFonts w:ascii="Calibri" w:hAnsi="Calibri"/>
                <w:b w:val="0"/>
                <w:sz w:val="14"/>
              </w:rPr>
              <w:t>Pre-trained, 224×224, TFLite deployment</w:t>
            </w:r>
          </w:p>
        </w:tc>
        <w:tc>
          <w:tcPr>
            <w:tcW w:type="dxa" w:w="1134"/>
            <w:shd w:val="clear" w:color="auto" w:fill="EEF1F7"/>
            <w:shd w:val="clear" w:color="auto" w:fill="D9EAD3"/>
          </w:tcPr>
          <w:p>
            <w:pPr>
              <w:spacing w:after="0" w:line="240" w:lineRule="auto"/>
              <w:jc w:val="left"/>
            </w:pPr>
            <w:r>
              <w:rPr>
                <w:rFonts w:ascii="Calibri" w:hAnsi="Calibri"/>
                <w:b w:val="0"/>
                <w:sz w:val="14"/>
              </w:rPr>
              <w:t>USE</w:t>
            </w:r>
          </w:p>
        </w:tc>
        <w:tc>
          <w:tcPr>
            <w:tcW w:type="dxa" w:w="3742"/>
            <w:shd w:val="clear" w:color="auto" w:fill="EEF1F7"/>
          </w:tcPr>
          <w:p>
            <w:pPr>
              <w:spacing w:after="0" w:line="240" w:lineRule="auto"/>
              <w:jc w:val="left"/>
            </w:pPr>
            <w:r>
              <w:rPr>
                <w:rFonts w:ascii="Calibri" w:hAnsi="Calibri"/>
                <w:b w:val="0"/>
                <w:sz w:val="14"/>
              </w:rPr>
              <w:t>Keep the choice, justify it against MobileNetV2 and ResNet-50 with your own measured numbers, not Fig. 6 as printed.</w:t>
            </w:r>
          </w:p>
        </w:tc>
      </w:tr>
      <w:tr>
        <w:trPr>
          <w:cantSplit w:val="true"/>
        </w:trPr>
        <w:tc>
          <w:tcPr>
            <w:tcW w:type="dxa" w:w="1928"/>
          </w:tcPr>
          <w:p>
            <w:pPr>
              <w:spacing w:after="0" w:line="240" w:lineRule="auto"/>
              <w:jc w:val="left"/>
            </w:pPr>
            <w:r>
              <w:rPr>
                <w:rFonts w:ascii="Calibri" w:hAnsi="Calibri"/>
                <w:b w:val="0"/>
                <w:sz w:val="14"/>
              </w:rPr>
              <w:t>Classification accuracy</w:t>
            </w:r>
          </w:p>
        </w:tc>
        <w:tc>
          <w:tcPr>
            <w:tcW w:type="dxa" w:w="2608"/>
          </w:tcPr>
          <w:p>
            <w:pPr>
              <w:spacing w:after="0" w:line="240" w:lineRule="auto"/>
              <w:jc w:val="left"/>
            </w:pPr>
            <w:r>
              <w:rPr>
                <w:rFonts w:ascii="Calibri" w:hAnsi="Calibri"/>
                <w:b w:val="0"/>
                <w:sz w:val="14"/>
              </w:rPr>
              <w:t>95.41% / 97.7% / 98.3% / 93.8% / 94.04%</w:t>
            </w:r>
          </w:p>
        </w:tc>
        <w:tc>
          <w:tcPr>
            <w:tcW w:type="dxa" w:w="1134"/>
            <w:shd w:val="clear" w:color="auto" w:fill="FFF0CC"/>
          </w:tcPr>
          <w:p>
            <w:pPr>
              <w:spacing w:after="0" w:line="240" w:lineRule="auto"/>
              <w:jc w:val="left"/>
            </w:pPr>
            <w:r>
              <w:rPr>
                <w:rFonts w:ascii="Calibri" w:hAnsi="Calibri"/>
                <w:b/>
                <w:color w:val="A61B1B"/>
                <w:sz w:val="14"/>
              </w:rPr>
              <w:t>RESPECIFY</w:t>
            </w:r>
          </w:p>
        </w:tc>
        <w:tc>
          <w:tcPr>
            <w:tcW w:type="dxa" w:w="3742"/>
          </w:tcPr>
          <w:p>
            <w:pPr>
              <w:spacing w:after="0" w:line="240" w:lineRule="auto"/>
              <w:jc w:val="left"/>
            </w:pPr>
            <w:r>
              <w:rPr>
                <w:rFonts w:ascii="Calibri" w:hAnsi="Calibri"/>
                <w:b w:val="0"/>
                <w:sz w:val="14"/>
              </w:rPr>
              <w:t>One value, one test set, one run. Recomputed from your own matrix it is 94.04% — use that, or re-run.</w:t>
            </w:r>
          </w:p>
        </w:tc>
      </w:tr>
      <w:tr>
        <w:trPr>
          <w:cantSplit w:val="true"/>
        </w:trPr>
        <w:tc>
          <w:tcPr>
            <w:tcW w:type="dxa" w:w="1928"/>
            <w:shd w:val="clear" w:color="auto" w:fill="EEF1F7"/>
          </w:tcPr>
          <w:p>
            <w:pPr>
              <w:spacing w:after="0" w:line="240" w:lineRule="auto"/>
              <w:jc w:val="left"/>
            </w:pPr>
            <w:r>
              <w:rPr>
                <w:rFonts w:ascii="Calibri" w:hAnsi="Calibri"/>
                <w:b w:val="0"/>
                <w:sz w:val="14"/>
              </w:rPr>
              <w:t>Dataset description</w:t>
            </w:r>
          </w:p>
        </w:tc>
        <w:tc>
          <w:tcPr>
            <w:tcW w:type="dxa" w:w="2608"/>
            <w:shd w:val="clear" w:color="auto" w:fill="EEF1F7"/>
          </w:tcPr>
          <w:p>
            <w:pPr>
              <w:spacing w:after="0" w:line="240" w:lineRule="auto"/>
              <w:jc w:val="left"/>
            </w:pPr>
            <w:r>
              <w:rPr>
                <w:rFonts w:ascii="Calibri" w:hAnsi="Calibri"/>
                <w:b w:val="0"/>
                <w:sz w:val="14"/>
              </w:rPr>
              <w:t>“TrashNet, Kaggle and TACO”, 1,800 per class</w:t>
            </w:r>
          </w:p>
        </w:tc>
        <w:tc>
          <w:tcPr>
            <w:tcW w:type="dxa" w:w="1134"/>
            <w:shd w:val="clear" w:color="auto" w:fill="EEF1F7"/>
            <w:shd w:val="clear" w:color="auto" w:fill="FFF0CC"/>
          </w:tcPr>
          <w:p>
            <w:pPr>
              <w:spacing w:after="0" w:line="240" w:lineRule="auto"/>
              <w:jc w:val="left"/>
            </w:pPr>
            <w:r>
              <w:rPr>
                <w:rFonts w:ascii="Calibri" w:hAnsi="Calibri"/>
                <w:b/>
                <w:color w:val="A61B1B"/>
                <w:sz w:val="14"/>
              </w:rPr>
              <w:t>RESPECIFY</w:t>
            </w:r>
          </w:p>
        </w:tc>
        <w:tc>
          <w:tcPr>
            <w:tcW w:type="dxa" w:w="3742"/>
            <w:shd w:val="clear" w:color="auto" w:fill="EEF1F7"/>
          </w:tcPr>
          <w:p>
            <w:pPr>
              <w:spacing w:after="0" w:line="240" w:lineRule="auto"/>
              <w:jc w:val="left"/>
            </w:pPr>
            <w:r>
              <w:rPr>
                <w:rFonts w:ascii="Calibri" w:hAnsi="Calibri"/>
                <w:b w:val="0"/>
                <w:sz w:val="14"/>
              </w:rPr>
              <w:t>Per-source counts, licences, classes and the 4-stream mapping (§6).</w:t>
            </w:r>
          </w:p>
        </w:tc>
      </w:tr>
      <w:tr>
        <w:trPr>
          <w:cantSplit w:val="true"/>
        </w:trPr>
        <w:tc>
          <w:tcPr>
            <w:tcW w:type="dxa" w:w="1928"/>
          </w:tcPr>
          <w:p>
            <w:pPr>
              <w:spacing w:after="0" w:line="240" w:lineRule="auto"/>
              <w:jc w:val="left"/>
            </w:pPr>
            <w:r>
              <w:rPr>
                <w:rFonts w:ascii="Calibri" w:hAnsi="Calibri"/>
                <w:b w:val="0"/>
                <w:sz w:val="14"/>
              </w:rPr>
              <w:t>Market sizing</w:t>
            </w:r>
          </w:p>
        </w:tc>
        <w:tc>
          <w:tcPr>
            <w:tcW w:type="dxa" w:w="2608"/>
          </w:tcPr>
          <w:p>
            <w:pPr>
              <w:spacing w:after="0" w:line="240" w:lineRule="auto"/>
              <w:jc w:val="left"/>
            </w:pPr>
            <w:r>
              <w:rPr>
                <w:rFonts w:ascii="Calibri" w:hAnsi="Calibri"/>
                <w:b w:val="0"/>
                <w:sz w:val="14"/>
              </w:rPr>
              <w:t>TAM 343 M people, Chennai 250,000</w:t>
            </w:r>
          </w:p>
        </w:tc>
        <w:tc>
          <w:tcPr>
            <w:tcW w:type="dxa" w:w="1134"/>
            <w:shd w:val="clear" w:color="auto" w:fill="FFF0CC"/>
          </w:tcPr>
          <w:p>
            <w:pPr>
              <w:spacing w:after="0" w:line="240" w:lineRule="auto"/>
              <w:jc w:val="left"/>
            </w:pPr>
            <w:r>
              <w:rPr>
                <w:rFonts w:ascii="Calibri" w:hAnsi="Calibri"/>
                <w:b/>
                <w:color w:val="A61B1B"/>
                <w:sz w:val="14"/>
              </w:rPr>
              <w:t>RESPECIFY</w:t>
            </w:r>
          </w:p>
        </w:tc>
        <w:tc>
          <w:tcPr>
            <w:tcW w:type="dxa" w:w="3742"/>
          </w:tcPr>
          <w:p>
            <w:pPr>
              <w:spacing w:after="0" w:line="240" w:lineRule="auto"/>
              <w:jc w:val="left"/>
            </w:pPr>
            <w:r>
              <w:rPr>
                <w:rFonts w:ascii="Calibri" w:hAnsi="Calibri"/>
                <w:b w:val="0"/>
                <w:sz w:val="14"/>
              </w:rPr>
              <w:t>Rebuild in households and ₹ crore from census figures (§7).</w:t>
            </w:r>
          </w:p>
        </w:tc>
      </w:tr>
      <w:tr>
        <w:trPr>
          <w:cantSplit w:val="true"/>
        </w:trPr>
        <w:tc>
          <w:tcPr>
            <w:tcW w:type="dxa" w:w="1928"/>
            <w:shd w:val="clear" w:color="auto" w:fill="EEF1F7"/>
          </w:tcPr>
          <w:p>
            <w:pPr>
              <w:spacing w:after="0" w:line="240" w:lineRule="auto"/>
              <w:jc w:val="left"/>
            </w:pPr>
            <w:r>
              <w:rPr>
                <w:rFonts w:ascii="Calibri" w:hAnsi="Calibri"/>
                <w:b w:val="0"/>
                <w:sz w:val="14"/>
              </w:rPr>
              <w:t>Impact claims</w:t>
            </w:r>
          </w:p>
        </w:tc>
        <w:tc>
          <w:tcPr>
            <w:tcW w:type="dxa" w:w="2608"/>
            <w:shd w:val="clear" w:color="auto" w:fill="EEF1F7"/>
          </w:tcPr>
          <w:p>
            <w:pPr>
              <w:spacing w:after="0" w:line="240" w:lineRule="auto"/>
              <w:jc w:val="left"/>
            </w:pPr>
            <w:r>
              <w:rPr>
                <w:rFonts w:ascii="Calibri" w:hAnsi="Calibri"/>
                <w:b w:val="0"/>
                <w:sz w:val="14"/>
              </w:rPr>
              <w:t>60–80%, 70%, 30%, 20%</w:t>
            </w:r>
          </w:p>
        </w:tc>
        <w:tc>
          <w:tcPr>
            <w:tcW w:type="dxa" w:w="1134"/>
            <w:shd w:val="clear" w:color="auto" w:fill="EEF1F7"/>
            <w:shd w:val="clear" w:color="auto" w:fill="FFF0CC"/>
          </w:tcPr>
          <w:p>
            <w:pPr>
              <w:spacing w:after="0" w:line="240" w:lineRule="auto"/>
              <w:jc w:val="left"/>
            </w:pPr>
            <w:r>
              <w:rPr>
                <w:rFonts w:ascii="Calibri" w:hAnsi="Calibri"/>
                <w:b/>
                <w:color w:val="A61B1B"/>
                <w:sz w:val="14"/>
              </w:rPr>
              <w:t>RESPECIFY</w:t>
            </w:r>
          </w:p>
        </w:tc>
        <w:tc>
          <w:tcPr>
            <w:tcW w:type="dxa" w:w="3742"/>
            <w:shd w:val="clear" w:color="auto" w:fill="EEF1F7"/>
          </w:tcPr>
          <w:p>
            <w:pPr>
              <w:spacing w:after="0" w:line="240" w:lineRule="auto"/>
              <w:jc w:val="left"/>
            </w:pPr>
            <w:r>
              <w:rPr>
                <w:rFonts w:ascii="Calibri" w:hAnsi="Calibri"/>
                <w:b w:val="0"/>
                <w:sz w:val="14"/>
              </w:rPr>
              <w:t>Move to a section titled “Expected impact and design targets”.</w:t>
            </w:r>
          </w:p>
        </w:tc>
      </w:tr>
      <w:tr>
        <w:trPr>
          <w:cantSplit w:val="true"/>
        </w:trPr>
        <w:tc>
          <w:tcPr>
            <w:tcW w:type="dxa" w:w="1928"/>
          </w:tcPr>
          <w:p>
            <w:pPr>
              <w:spacing w:after="0" w:line="240" w:lineRule="auto"/>
              <w:jc w:val="left"/>
            </w:pPr>
            <w:r>
              <w:rPr>
                <w:rFonts w:ascii="Calibri" w:hAnsi="Calibri"/>
                <w:b w:val="0"/>
                <w:sz w:val="14"/>
              </w:rPr>
              <w:t>Financial projections</w:t>
            </w:r>
          </w:p>
        </w:tc>
        <w:tc>
          <w:tcPr>
            <w:tcW w:type="dxa" w:w="2608"/>
          </w:tcPr>
          <w:p>
            <w:pPr>
              <w:spacing w:after="0" w:line="240" w:lineRule="auto"/>
              <w:jc w:val="left"/>
            </w:pPr>
            <w:r>
              <w:rPr>
                <w:rFonts w:ascii="Calibri" w:hAnsi="Calibri"/>
                <w:b w:val="0"/>
                <w:sz w:val="14"/>
              </w:rPr>
              <w:t>Two Year-1 revenues, Y5 below Y2</w:t>
            </w:r>
          </w:p>
        </w:tc>
        <w:tc>
          <w:tcPr>
            <w:tcW w:type="dxa" w:w="1134"/>
            <w:shd w:val="clear" w:color="auto" w:fill="FFF0CC"/>
          </w:tcPr>
          <w:p>
            <w:pPr>
              <w:spacing w:after="0" w:line="240" w:lineRule="auto"/>
              <w:jc w:val="left"/>
            </w:pPr>
            <w:r>
              <w:rPr>
                <w:rFonts w:ascii="Calibri" w:hAnsi="Calibri"/>
                <w:b/>
                <w:color w:val="A61B1B"/>
                <w:sz w:val="14"/>
              </w:rPr>
              <w:t>RESPECIFY</w:t>
            </w:r>
          </w:p>
        </w:tc>
        <w:tc>
          <w:tcPr>
            <w:tcW w:type="dxa" w:w="3742"/>
          </w:tcPr>
          <w:p>
            <w:pPr>
              <w:spacing w:after="0" w:line="240" w:lineRule="auto"/>
              <w:jc w:val="left"/>
            </w:pPr>
            <w:r>
              <w:rPr>
                <w:rFonts w:ascii="Calibri" w:hAnsi="Calibri"/>
                <w:b w:val="0"/>
                <w:sz w:val="14"/>
              </w:rPr>
              <w:t>One P&amp;L from units × price (§8).</w:t>
            </w:r>
          </w:p>
        </w:tc>
      </w:tr>
      <w:tr>
        <w:trPr>
          <w:cantSplit w:val="true"/>
        </w:trPr>
        <w:tc>
          <w:tcPr>
            <w:tcW w:type="dxa" w:w="1928"/>
            <w:shd w:val="clear" w:color="auto" w:fill="EEF1F7"/>
          </w:tcPr>
          <w:p>
            <w:pPr>
              <w:spacing w:after="0" w:line="240" w:lineRule="auto"/>
              <w:jc w:val="left"/>
            </w:pPr>
            <w:r>
              <w:rPr>
                <w:rFonts w:ascii="Calibri" w:hAnsi="Calibri"/>
                <w:b w:val="0"/>
                <w:sz w:val="14"/>
              </w:rPr>
              <w:t>Survey percentages</w:t>
            </w:r>
          </w:p>
        </w:tc>
        <w:tc>
          <w:tcPr>
            <w:tcW w:type="dxa" w:w="2608"/>
            <w:shd w:val="clear" w:color="auto" w:fill="EEF1F7"/>
          </w:tcPr>
          <w:p>
            <w:pPr>
              <w:spacing w:after="0" w:line="240" w:lineRule="auto"/>
              <w:jc w:val="left"/>
            </w:pPr>
            <w:r>
              <w:rPr>
                <w:rFonts w:ascii="Calibri" w:hAnsi="Calibri"/>
                <w:b w:val="0"/>
                <w:sz w:val="14"/>
              </w:rPr>
              <w:t>82% / 68% / 90% / 85%, no n</w:t>
            </w:r>
          </w:p>
        </w:tc>
        <w:tc>
          <w:tcPr>
            <w:tcW w:type="dxa" w:w="1134"/>
            <w:shd w:val="clear" w:color="auto" w:fill="EEF1F7"/>
            <w:shd w:val="clear" w:color="auto" w:fill="FFF0CC"/>
          </w:tcPr>
          <w:p>
            <w:pPr>
              <w:spacing w:after="0" w:line="240" w:lineRule="auto"/>
              <w:jc w:val="left"/>
            </w:pPr>
            <w:r>
              <w:rPr>
                <w:rFonts w:ascii="Calibri" w:hAnsi="Calibri"/>
                <w:b/>
                <w:color w:val="A61B1B"/>
                <w:sz w:val="14"/>
              </w:rPr>
              <w:t>RESPECIFY</w:t>
            </w:r>
          </w:p>
        </w:tc>
        <w:tc>
          <w:tcPr>
            <w:tcW w:type="dxa" w:w="3742"/>
            <w:shd w:val="clear" w:color="auto" w:fill="EEF1F7"/>
          </w:tcPr>
          <w:p>
            <w:pPr>
              <w:spacing w:after="0" w:line="240" w:lineRule="auto"/>
              <w:jc w:val="left"/>
            </w:pPr>
            <w:r>
              <w:rPr>
                <w:rFonts w:ascii="Calibri" w:hAnsi="Calibri"/>
                <w:b w:val="0"/>
                <w:sz w:val="14"/>
              </w:rPr>
              <w:t>Re-run with a stated n and method, or drop.</w:t>
            </w:r>
          </w:p>
        </w:tc>
      </w:tr>
      <w:tr>
        <w:trPr>
          <w:cantSplit w:val="true"/>
        </w:trPr>
        <w:tc>
          <w:tcPr>
            <w:tcW w:type="dxa" w:w="1928"/>
          </w:tcPr>
          <w:p>
            <w:pPr>
              <w:spacing w:after="0" w:line="240" w:lineRule="auto"/>
              <w:jc w:val="left"/>
            </w:pPr>
            <w:r>
              <w:rPr>
                <w:rFonts w:ascii="Calibri" w:hAnsi="Calibri"/>
                <w:b w:val="0"/>
                <w:sz w:val="14"/>
              </w:rPr>
              <w:t>Fintech persona and survey bullets</w:t>
            </w:r>
          </w:p>
        </w:tc>
        <w:tc>
          <w:tcPr>
            <w:tcW w:type="dxa" w:w="2608"/>
          </w:tcPr>
          <w:p>
            <w:pPr>
              <w:spacing w:after="0" w:line="240" w:lineRule="auto"/>
              <w:jc w:val="left"/>
            </w:pPr>
            <w:r>
              <w:rPr>
                <w:rFonts w:ascii="Calibri" w:hAnsi="Calibri"/>
                <w:b w:val="0"/>
                <w:sz w:val="14"/>
              </w:rPr>
              <w:t>“Sarah, cash flow, budgeting”</w:t>
            </w:r>
          </w:p>
        </w:tc>
        <w:tc>
          <w:tcPr>
            <w:tcW w:type="dxa" w:w="1134"/>
            <w:shd w:val="clear" w:color="auto" w:fill="F8D7DA"/>
          </w:tcPr>
          <w:p>
            <w:pPr>
              <w:spacing w:after="0" w:line="240" w:lineRule="auto"/>
              <w:jc w:val="left"/>
            </w:pPr>
            <w:r>
              <w:rPr>
                <w:rFonts w:ascii="Calibri" w:hAnsi="Calibri"/>
                <w:b/>
                <w:color w:val="A61B1B"/>
                <w:sz w:val="14"/>
              </w:rPr>
              <w:t>DROP</w:t>
            </w:r>
          </w:p>
        </w:tc>
        <w:tc>
          <w:tcPr>
            <w:tcW w:type="dxa" w:w="3742"/>
          </w:tcPr>
          <w:p>
            <w:pPr>
              <w:spacing w:after="0" w:line="240" w:lineRule="auto"/>
              <w:jc w:val="left"/>
            </w:pPr>
            <w:r>
              <w:rPr>
                <w:rFonts w:ascii="Calibri" w:hAnsi="Calibri"/>
                <w:b w:val="0"/>
                <w:sz w:val="14"/>
              </w:rPr>
              <w:t>Delete. Nothing about this project.</w:t>
            </w:r>
          </w:p>
        </w:tc>
      </w:tr>
      <w:tr>
        <w:trPr>
          <w:cantSplit w:val="true"/>
        </w:trPr>
        <w:tc>
          <w:tcPr>
            <w:tcW w:type="dxa" w:w="1928"/>
            <w:shd w:val="clear" w:color="auto" w:fill="EEF1F7"/>
          </w:tcPr>
          <w:p>
            <w:pPr>
              <w:spacing w:after="0" w:line="240" w:lineRule="auto"/>
              <w:jc w:val="left"/>
            </w:pPr>
            <w:r>
              <w:rPr>
                <w:rFonts w:ascii="Calibri" w:hAnsi="Calibri"/>
                <w:b w:val="0"/>
                <w:sz w:val="14"/>
              </w:rPr>
              <w:t>Blockchain literature (Nguyen, Dasaklis)</w:t>
            </w:r>
          </w:p>
        </w:tc>
        <w:tc>
          <w:tcPr>
            <w:tcW w:type="dxa" w:w="2608"/>
            <w:shd w:val="clear" w:color="auto" w:fill="EEF1F7"/>
          </w:tcPr>
          <w:p>
            <w:pPr>
              <w:spacing w:after="0" w:line="240" w:lineRule="auto"/>
              <w:jc w:val="left"/>
            </w:pPr>
            <w:r>
              <w:rPr>
                <w:rFonts w:ascii="Calibri" w:hAnsi="Calibri"/>
                <w:b w:val="0"/>
                <w:sz w:val="14"/>
              </w:rPr>
              <w:t>Cited but irrelevant to the build</w:t>
            </w:r>
          </w:p>
        </w:tc>
        <w:tc>
          <w:tcPr>
            <w:tcW w:type="dxa" w:w="1134"/>
            <w:shd w:val="clear" w:color="auto" w:fill="EEF1F7"/>
            <w:shd w:val="clear" w:color="auto" w:fill="F8D7DA"/>
          </w:tcPr>
          <w:p>
            <w:pPr>
              <w:spacing w:after="0" w:line="240" w:lineRule="auto"/>
              <w:jc w:val="left"/>
            </w:pPr>
            <w:r>
              <w:rPr>
                <w:rFonts w:ascii="Calibri" w:hAnsi="Calibri"/>
                <w:b/>
                <w:color w:val="A61B1B"/>
                <w:sz w:val="14"/>
              </w:rPr>
              <w:t>DROP</w:t>
            </w:r>
          </w:p>
        </w:tc>
        <w:tc>
          <w:tcPr>
            <w:tcW w:type="dxa" w:w="3742"/>
            <w:shd w:val="clear" w:color="auto" w:fill="EEF1F7"/>
          </w:tcPr>
          <w:p>
            <w:pPr>
              <w:spacing w:after="0" w:line="240" w:lineRule="auto"/>
              <w:jc w:val="left"/>
            </w:pPr>
            <w:r>
              <w:rPr>
                <w:rFonts w:ascii="Calibri" w:hAnsi="Calibri"/>
                <w:b w:val="0"/>
                <w:sz w:val="14"/>
              </w:rPr>
              <w:t>Delete from the review.</w:t>
            </w:r>
          </w:p>
        </w:tc>
      </w:tr>
      <w:tr>
        <w:trPr>
          <w:cantSplit w:val="true"/>
        </w:trPr>
        <w:tc>
          <w:tcPr>
            <w:tcW w:type="dxa" w:w="1928"/>
          </w:tcPr>
          <w:p>
            <w:pPr>
              <w:spacing w:after="0" w:line="240" w:lineRule="auto"/>
              <w:jc w:val="left"/>
            </w:pPr>
            <w:r>
              <w:rPr>
                <w:rFonts w:ascii="Calibri" w:hAnsi="Calibri"/>
                <w:b w:val="0"/>
                <w:sz w:val="14"/>
              </w:rPr>
              <w:t>“±1.8° achieved / ±2° improvement”</w:t>
            </w:r>
          </w:p>
        </w:tc>
        <w:tc>
          <w:tcPr>
            <w:tcW w:type="dxa" w:w="2608"/>
          </w:tcPr>
          <w:p>
            <w:pPr>
              <w:spacing w:after="0" w:line="240" w:lineRule="auto"/>
              <w:jc w:val="left"/>
            </w:pPr>
            <w:r>
              <w:rPr>
                <w:rFonts w:ascii="Calibri" w:hAnsi="Calibri"/>
                <w:b w:val="0"/>
                <w:sz w:val="14"/>
              </w:rPr>
              <w:t>Contradictory and too loose for the geometry</w:t>
            </w:r>
          </w:p>
        </w:tc>
        <w:tc>
          <w:tcPr>
            <w:tcW w:type="dxa" w:w="1134"/>
            <w:shd w:val="clear" w:color="auto" w:fill="FFF0CC"/>
          </w:tcPr>
          <w:p>
            <w:pPr>
              <w:spacing w:after="0" w:line="240" w:lineRule="auto"/>
              <w:jc w:val="left"/>
            </w:pPr>
            <w:r>
              <w:rPr>
                <w:rFonts w:ascii="Calibri" w:hAnsi="Calibri"/>
                <w:b/>
                <w:color w:val="A61B1B"/>
                <w:sz w:val="14"/>
              </w:rPr>
              <w:t>RESPECIFY</w:t>
            </w:r>
          </w:p>
        </w:tc>
        <w:tc>
          <w:tcPr>
            <w:tcW w:type="dxa" w:w="3742"/>
          </w:tcPr>
          <w:p>
            <w:pPr>
              <w:spacing w:after="0" w:line="240" w:lineRule="auto"/>
              <w:jc w:val="left"/>
            </w:pPr>
            <w:r>
              <w:rPr>
                <w:rFonts w:ascii="Calibri" w:hAnsi="Calibri"/>
                <w:b w:val="0"/>
                <w:sz w:val="14"/>
              </w:rPr>
              <w:t>Specify ≤ 0.5° and give the measurement method (§9, log 3).</w:t>
            </w:r>
          </w:p>
        </w:tc>
      </w:tr>
      <w:tr>
        <w:trPr>
          <w:cantSplit w:val="true"/>
        </w:trPr>
        <w:tc>
          <w:tcPr>
            <w:tcW w:type="dxa" w:w="1928"/>
            <w:shd w:val="clear" w:color="auto" w:fill="EEF1F7"/>
          </w:tcPr>
          <w:p>
            <w:pPr>
              <w:spacing w:after="0" w:line="240" w:lineRule="auto"/>
              <w:jc w:val="left"/>
            </w:pPr>
            <w:r>
              <w:rPr>
                <w:rFonts w:ascii="Calibri" w:hAnsi="Calibri"/>
                <w:b w:val="0"/>
                <w:sz w:val="14"/>
              </w:rPr>
              <w:t>Inference time</w:t>
            </w:r>
          </w:p>
        </w:tc>
        <w:tc>
          <w:tcPr>
            <w:tcW w:type="dxa" w:w="2608"/>
            <w:shd w:val="clear" w:color="auto" w:fill="EEF1F7"/>
          </w:tcPr>
          <w:p>
            <w:pPr>
              <w:spacing w:after="0" w:line="240" w:lineRule="auto"/>
              <w:jc w:val="left"/>
            </w:pPr>
            <w:r>
              <w:rPr>
                <w:rFonts w:ascii="Calibri" w:hAnsi="Calibri"/>
                <w:b w:val="0"/>
                <w:sz w:val="14"/>
              </w:rPr>
              <w:t>3–7 s / 1.92 s / 65 ms</w:t>
            </w:r>
          </w:p>
        </w:tc>
        <w:tc>
          <w:tcPr>
            <w:tcW w:type="dxa" w:w="1134"/>
            <w:shd w:val="clear" w:color="auto" w:fill="EEF1F7"/>
            <w:shd w:val="clear" w:color="auto" w:fill="DEEAF6"/>
          </w:tcPr>
          <w:p>
            <w:pPr>
              <w:spacing w:after="0" w:line="240" w:lineRule="auto"/>
              <w:jc w:val="left"/>
            </w:pPr>
            <w:r>
              <w:rPr>
                <w:rFonts w:ascii="Calibri" w:hAnsi="Calibri"/>
                <w:b/>
                <w:color w:val="A61B1B"/>
                <w:sz w:val="14"/>
              </w:rPr>
              <w:t>MEASURE</w:t>
            </w:r>
          </w:p>
        </w:tc>
        <w:tc>
          <w:tcPr>
            <w:tcW w:type="dxa" w:w="3742"/>
            <w:shd w:val="clear" w:color="auto" w:fill="EEF1F7"/>
          </w:tcPr>
          <w:p>
            <w:pPr>
              <w:spacing w:after="0" w:line="240" w:lineRule="auto"/>
              <w:jc w:val="left"/>
            </w:pPr>
            <w:r>
              <w:rPr>
                <w:rFonts w:ascii="Calibri" w:hAnsi="Calibri"/>
                <w:b w:val="0"/>
                <w:sz w:val="14"/>
              </w:rPr>
              <w:t>One median, with hardware state, quantisation and batch size.</w:t>
            </w:r>
          </w:p>
        </w:tc>
      </w:tr>
      <w:tr>
        <w:trPr>
          <w:cantSplit w:val="true"/>
        </w:trPr>
        <w:tc>
          <w:tcPr>
            <w:tcW w:type="dxa" w:w="1928"/>
          </w:tcPr>
          <w:p>
            <w:pPr>
              <w:spacing w:after="0" w:line="240" w:lineRule="auto"/>
              <w:jc w:val="left"/>
            </w:pPr>
            <w:r>
              <w:rPr>
                <w:rFonts w:ascii="Calibri" w:hAnsi="Calibri"/>
                <w:b w:val="0"/>
                <w:sz w:val="14"/>
              </w:rPr>
              <w:t>Battery runtime 6–8 h</w:t>
            </w:r>
          </w:p>
        </w:tc>
        <w:tc>
          <w:tcPr>
            <w:tcW w:type="dxa" w:w="2608"/>
          </w:tcPr>
          <w:p>
            <w:pPr>
              <w:spacing w:after="0" w:line="240" w:lineRule="auto"/>
              <w:jc w:val="left"/>
            </w:pPr>
            <w:r>
              <w:rPr>
                <w:rFonts w:ascii="Calibri" w:hAnsi="Calibri"/>
                <w:b w:val="0"/>
                <w:sz w:val="14"/>
              </w:rPr>
              <w:t>From 12 V 7 Ah = 84 Wh</w:t>
            </w:r>
          </w:p>
        </w:tc>
        <w:tc>
          <w:tcPr>
            <w:tcW w:type="dxa" w:w="1134"/>
            <w:shd w:val="clear" w:color="auto" w:fill="DEEAF6"/>
          </w:tcPr>
          <w:p>
            <w:pPr>
              <w:spacing w:after="0" w:line="240" w:lineRule="auto"/>
              <w:jc w:val="left"/>
            </w:pPr>
            <w:r>
              <w:rPr>
                <w:rFonts w:ascii="Calibri" w:hAnsi="Calibri"/>
                <w:b/>
                <w:color w:val="A61B1B"/>
                <w:sz w:val="14"/>
              </w:rPr>
              <w:t>MEASURE</w:t>
            </w:r>
          </w:p>
        </w:tc>
        <w:tc>
          <w:tcPr>
            <w:tcW w:type="dxa" w:w="3742"/>
          </w:tcPr>
          <w:p>
            <w:pPr>
              <w:spacing w:after="0" w:line="240" w:lineRule="auto"/>
              <w:jc w:val="left"/>
            </w:pPr>
            <w:r>
              <w:rPr>
                <w:rFonts w:ascii="Calibri" w:hAnsi="Calibri"/>
                <w:b w:val="0"/>
                <w:sz w:val="14"/>
              </w:rPr>
              <w:t>Power log × duty cycle, or upsize the pack (§9).</w:t>
            </w:r>
          </w:p>
        </w:tc>
      </w:tr>
      <w:tr>
        <w:trPr>
          <w:cantSplit w:val="true"/>
        </w:trPr>
        <w:tc>
          <w:tcPr>
            <w:tcW w:type="dxa" w:w="1928"/>
            <w:shd w:val="clear" w:color="auto" w:fill="EEF1F7"/>
          </w:tcPr>
          <w:p>
            <w:pPr>
              <w:spacing w:after="0" w:line="240" w:lineRule="auto"/>
              <w:jc w:val="left"/>
            </w:pPr>
            <w:r>
              <w:rPr>
                <w:rFonts w:ascii="Calibri" w:hAnsi="Calibri"/>
                <w:b w:val="0"/>
                <w:sz w:val="14"/>
              </w:rPr>
              <w:t>IoT latency 300 ms / 98% uptime</w:t>
            </w:r>
          </w:p>
        </w:tc>
        <w:tc>
          <w:tcPr>
            <w:tcW w:type="dxa" w:w="2608"/>
            <w:shd w:val="clear" w:color="auto" w:fill="EEF1F7"/>
          </w:tcPr>
          <w:p>
            <w:pPr>
              <w:spacing w:after="0" w:line="240" w:lineRule="auto"/>
              <w:jc w:val="left"/>
            </w:pPr>
            <w:r>
              <w:rPr>
                <w:rFonts w:ascii="Calibri" w:hAnsi="Calibri"/>
                <w:b w:val="0"/>
                <w:sz w:val="14"/>
              </w:rPr>
              <w:t>No monitoring period</w:t>
            </w:r>
          </w:p>
        </w:tc>
        <w:tc>
          <w:tcPr>
            <w:tcW w:type="dxa" w:w="1134"/>
            <w:shd w:val="clear" w:color="auto" w:fill="EEF1F7"/>
            <w:shd w:val="clear" w:color="auto" w:fill="DEEAF6"/>
          </w:tcPr>
          <w:p>
            <w:pPr>
              <w:spacing w:after="0" w:line="240" w:lineRule="auto"/>
              <w:jc w:val="left"/>
            </w:pPr>
            <w:r>
              <w:rPr>
                <w:rFonts w:ascii="Calibri" w:hAnsi="Calibri"/>
                <w:b/>
                <w:color w:val="A61B1B"/>
                <w:sz w:val="14"/>
              </w:rPr>
              <w:t>MEASURE</w:t>
            </w:r>
          </w:p>
        </w:tc>
        <w:tc>
          <w:tcPr>
            <w:tcW w:type="dxa" w:w="3742"/>
            <w:shd w:val="clear" w:color="auto" w:fill="EEF1F7"/>
          </w:tcPr>
          <w:p>
            <w:pPr>
              <w:spacing w:after="0" w:line="240" w:lineRule="auto"/>
              <w:jc w:val="left"/>
            </w:pPr>
            <w:r>
              <w:rPr>
                <w:rFonts w:ascii="Calibri" w:hAnsi="Calibri"/>
                <w:b w:val="0"/>
                <w:sz w:val="14"/>
              </w:rPr>
              <w:t>Median and p95 over a stated run (§9).</w:t>
            </w:r>
          </w:p>
        </w:tc>
      </w:tr>
    </w:tbl>
    <w:p>
      <w:pPr>
        <w:spacing w:before="40" w:after="160"/>
        <w:jc w:val="left"/>
      </w:pPr>
      <w:r>
        <w:rPr>
          <w:rFonts w:ascii="Calibri" w:hAnsi="Calibri"/>
          <w:i/>
          <w:color w:val="404040"/>
          <w:sz w:val="16"/>
        </w:rPr>
        <w:t>Six elements are USE — they carry the report. Seven are RESPECIFY and three are MEASURE — they need a decision or a log, not a re-write. Two are plain deletions.</w:t>
      </w:r>
    </w:p>
    <w:p>
      <w:r>
        <w:br w:type="page"/>
      </w:r>
    </w:p>
    <w:p>
      <w:pPr>
        <w:keepNext/>
        <w:spacing w:before="200" w:after="120"/>
        <w:jc w:val="left"/>
        <w:pBdr>
          <w:bottom w:val="single" w:sz="8" w:space="2" w:color="1F3864"/>
        </w:pBdr>
      </w:pPr>
      <w:r>
        <w:rPr>
          <w:b/>
          <w:color w:val="1F3864"/>
          <w:sz w:val="26"/>
        </w:rPr>
        <w:t>2. THE ARCHITECTURE YOU CAN DEFEND, STATED PROPERLY</w:t>
      </w:r>
    </w:p>
    <w:p>
      <w:pPr>
        <w:spacing w:after="120"/>
        <w:ind w:left="0"/>
        <w:jc w:val="both"/>
      </w:pPr>
      <w:r>
        <w:rPr>
          <w:b w:val="0"/>
          <w:i w:val="0"/>
          <w:sz w:val="22"/>
        </w:rPr>
        <w:t>Both documents describe the architecture in prose that wanders between modules, assembly and workflow. The figure below is the same architecture, made specific: four columns (input and sensing, processing, actuation, output and telemetry), the actual interface for each link, and the power distribution as a separate bus. This is the form it should take in the new report — it reads as a designed system, and every box in it is something you can point to on the prototype.</w:t>
      </w:r>
    </w:p>
    <w:p>
      <w:pPr>
        <w:spacing w:before="120" w:after="40"/>
        <w:jc w:val="center"/>
      </w:pPr>
      <w:r>
        <w:drawing>
          <wp:inline xmlns:a="http://schemas.openxmlformats.org/drawingml/2006/main" xmlns:pic="http://schemas.openxmlformats.org/drawingml/2006/picture">
            <wp:extent cx="5903999" cy="4301485"/>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10"/>
                    <a:stretch>
                      <a:fillRect/>
                    </a:stretch>
                  </pic:blipFill>
                  <pic:spPr>
                    <a:xfrm>
                      <a:off x="0" y="0"/>
                      <a:ext cx="5903999" cy="4301485"/>
                    </a:xfrm>
                    <a:prstGeom prst="rect"/>
                  </pic:spPr>
                </pic:pic>
              </a:graphicData>
            </a:graphic>
          </wp:inline>
        </w:drawing>
      </w:r>
    </w:p>
    <w:p>
      <w:pPr>
        <w:keepNext/>
        <w:spacing w:before="160" w:after="60"/>
        <w:jc w:val="left"/>
      </w:pPr>
      <w:r>
        <w:rPr>
          <w:rFonts w:ascii="Calibri" w:hAnsi="Calibri"/>
          <w:b/>
          <w:color w:val="1F3864"/>
          <w:sz w:val="18"/>
        </w:rPr>
        <w:t>Figure 2.1 — System architecture. Four functional columns, an explicit interface key, and the power bus separated from the signal path.</w:t>
      </w:r>
    </w:p>
    <w:p>
      <w:pPr>
        <w:spacing w:before="40" w:after="160"/>
        <w:jc w:val="left"/>
      </w:pPr>
      <w:r>
        <w:rPr>
          <w:rFonts w:ascii="Calibri" w:hAnsi="Calibri"/>
          <w:i/>
          <w:color w:val="404040"/>
          <w:sz w:val="16"/>
        </w:rPr>
        <w:t>Use this figure (or redraw it in the same layout) in Chapter 7 of the new report. What makes it credible is not the boxes but the interface labels: MIPI-CSI, I²C + ADC, GPIO STEP/DIR/EN, MQTT. A block diagram without interfaces is a sketch.</w:t>
      </w:r>
    </w:p>
    <w:p>
      <w:pPr>
        <w:spacing w:after="120"/>
        <w:ind w:left="0"/>
        <w:jc w:val="both"/>
      </w:pPr>
      <w:r>
        <w:rPr>
          <w:b/>
          <w:i w:val="0"/>
          <w:sz w:val="22"/>
        </w:rPr>
        <w:t>Why this form is stronger than the existing one:</w:t>
      </w:r>
      <w:r>
        <w:rPr>
          <w:b w:val="0"/>
          <w:i w:val="0"/>
          <w:sz w:val="22"/>
        </w:rPr>
        <w:t xml:space="preserve"> the current Figure 7.4 in the report is a generic sensor➜controller➜actuator chain that could describe any project. The version above is specific to your machine — it shows that the disc has an index sensor and therefore closed-loop positioning, that the sensing bus is I²C plus an ADC rather than a vague “sensors”, and that the motor runs on a 12 V rail while the logic runs on 3.3 V. Those three details alone are what separate a designed system from a described one.</w:t>
      </w:r>
    </w:p>
    <w:p>
      <w:r>
        <w:br w:type="page"/>
      </w:r>
    </w:p>
    <w:p>
      <w:pPr>
        <w:keepNext/>
        <w:spacing w:before="200" w:after="120"/>
        <w:jc w:val="left"/>
        <w:pBdr>
          <w:bottom w:val="single" w:sz="8" w:space="2" w:color="1F3864"/>
        </w:pBdr>
      </w:pPr>
      <w:r>
        <w:rPr>
          <w:b/>
          <w:color w:val="1F3864"/>
          <w:sz w:val="26"/>
        </w:rPr>
        <w:t>3. HARDWARE: THE EXACT SET TO SPECIFY</w:t>
      </w:r>
    </w:p>
    <w:p>
      <w:pPr>
        <w:spacing w:after="120"/>
        <w:ind w:left="0"/>
        <w:jc w:val="both"/>
      </w:pPr>
      <w:r>
        <w:rPr>
          <w:b w:val="0"/>
          <w:i w:val="0"/>
          <w:sz w:val="22"/>
        </w:rPr>
        <w:t>This is the part of the project you own outright. Nail the part numbers and the report stops sounding speculative. Where the previous documents were vague (“moisture sensor”, “gas sensor”), specify the device and say what it decides.</w:t>
      </w:r>
    </w:p>
    <w:p>
      <w:pPr>
        <w:keepNext/>
        <w:spacing w:before="200" w:after="80"/>
        <w:jc w:val="left"/>
      </w:pPr>
      <w:r>
        <w:rPr>
          <w:b/>
          <w:color w:val="1F3864"/>
          <w:sz w:val="23"/>
        </w:rPr>
        <w:t>3.1 Sensing and the decision each sensor makes</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1360"/>
        <w:gridCol w:w="1927"/>
        <w:gridCol w:w="1247"/>
        <w:gridCol w:w="2381"/>
        <w:gridCol w:w="2494"/>
      </w:tblGrid>
      <w:tr>
        <w:trPr>
          <w:cantSplit w:val="true"/>
          <w:tblHeader w:val="true"/>
        </w:trPr>
        <w:tc>
          <w:tcPr>
            <w:tcW w:type="dxa" w:w="1361"/>
            <w:shd w:val="clear" w:color="auto" w:fill="1F3864"/>
          </w:tcPr>
          <w:p>
            <w:pPr>
              <w:spacing w:after="0" w:line="240" w:lineRule="auto"/>
              <w:jc w:val="left"/>
            </w:pPr>
            <w:r>
              <w:rPr>
                <w:rFonts w:ascii="Calibri" w:hAnsi="Calibri"/>
                <w:b/>
                <w:color w:val="FFFFFF"/>
                <w:sz w:val="14"/>
              </w:rPr>
              <w:t>Sensor</w:t>
            </w:r>
          </w:p>
        </w:tc>
        <w:tc>
          <w:tcPr>
            <w:tcW w:type="dxa" w:w="1928"/>
            <w:shd w:val="clear" w:color="auto" w:fill="1F3864"/>
          </w:tcPr>
          <w:p>
            <w:pPr>
              <w:spacing w:after="0" w:line="240" w:lineRule="auto"/>
              <w:jc w:val="left"/>
            </w:pPr>
            <w:r>
              <w:rPr>
                <w:rFonts w:ascii="Calibri" w:hAnsi="Calibri"/>
                <w:b/>
                <w:color w:val="FFFFFF"/>
                <w:sz w:val="14"/>
              </w:rPr>
              <w:t>Suggested part</w:t>
            </w:r>
          </w:p>
        </w:tc>
        <w:tc>
          <w:tcPr>
            <w:tcW w:type="dxa" w:w="1247"/>
            <w:shd w:val="clear" w:color="auto" w:fill="1F3864"/>
          </w:tcPr>
          <w:p>
            <w:pPr>
              <w:spacing w:after="0" w:line="240" w:lineRule="auto"/>
              <w:jc w:val="left"/>
            </w:pPr>
            <w:r>
              <w:rPr>
                <w:rFonts w:ascii="Calibri" w:hAnsi="Calibri"/>
                <w:b/>
                <w:color w:val="FFFFFF"/>
                <w:sz w:val="14"/>
              </w:rPr>
              <w:t>Interface</w:t>
            </w:r>
          </w:p>
        </w:tc>
        <w:tc>
          <w:tcPr>
            <w:tcW w:type="dxa" w:w="2381"/>
            <w:shd w:val="clear" w:color="auto" w:fill="1F3864"/>
          </w:tcPr>
          <w:p>
            <w:pPr>
              <w:spacing w:after="0" w:line="240" w:lineRule="auto"/>
              <w:jc w:val="left"/>
            </w:pPr>
            <w:r>
              <w:rPr>
                <w:rFonts w:ascii="Calibri" w:hAnsi="Calibri"/>
                <w:b/>
                <w:color w:val="FFFFFF"/>
                <w:sz w:val="14"/>
              </w:rPr>
              <w:t>What it decides</w:t>
            </w:r>
          </w:p>
        </w:tc>
        <w:tc>
          <w:tcPr>
            <w:tcW w:type="dxa" w:w="2494"/>
            <w:shd w:val="clear" w:color="auto" w:fill="1F3864"/>
          </w:tcPr>
          <w:p>
            <w:pPr>
              <w:spacing w:after="0" w:line="240" w:lineRule="auto"/>
              <w:jc w:val="left"/>
            </w:pPr>
            <w:r>
              <w:rPr>
                <w:rFonts w:ascii="Calibri" w:hAnsi="Calibri"/>
                <w:b/>
                <w:color w:val="FFFFFF"/>
                <w:sz w:val="14"/>
              </w:rPr>
              <w:t>Limitation to state openly</w:t>
            </w:r>
          </w:p>
        </w:tc>
      </w:tr>
      <w:tr>
        <w:trPr>
          <w:cantSplit w:val="true"/>
        </w:trPr>
        <w:tc>
          <w:tcPr>
            <w:tcW w:type="dxa" w:w="1361"/>
          </w:tcPr>
          <w:p>
            <w:pPr>
              <w:spacing w:after="0" w:line="240" w:lineRule="auto"/>
              <w:jc w:val="left"/>
            </w:pPr>
            <w:r>
              <w:rPr>
                <w:rFonts w:ascii="Calibri" w:hAnsi="Calibri"/>
                <w:b w:val="0"/>
                <w:sz w:val="14"/>
              </w:rPr>
              <w:t>Camera</w:t>
            </w:r>
          </w:p>
        </w:tc>
        <w:tc>
          <w:tcPr>
            <w:tcW w:type="dxa" w:w="1928"/>
          </w:tcPr>
          <w:p>
            <w:pPr>
              <w:spacing w:after="0" w:line="240" w:lineRule="auto"/>
              <w:jc w:val="left"/>
            </w:pPr>
            <w:r>
              <w:rPr>
                <w:rFonts w:ascii="Calibri" w:hAnsi="Calibri"/>
                <w:b w:val="0"/>
                <w:sz w:val="14"/>
              </w:rPr>
              <w:t>OV5647 5 MP (or OV5640)</w:t>
            </w:r>
          </w:p>
        </w:tc>
        <w:tc>
          <w:tcPr>
            <w:tcW w:type="dxa" w:w="1247"/>
          </w:tcPr>
          <w:p>
            <w:pPr>
              <w:spacing w:after="0" w:line="240" w:lineRule="auto"/>
              <w:jc w:val="left"/>
            </w:pPr>
            <w:r>
              <w:rPr>
                <w:rFonts w:ascii="Calibri" w:hAnsi="Calibri"/>
                <w:b w:val="0"/>
                <w:sz w:val="14"/>
              </w:rPr>
              <w:t>MIPI-CSI</w:t>
            </w:r>
          </w:p>
        </w:tc>
        <w:tc>
          <w:tcPr>
            <w:tcW w:type="dxa" w:w="2381"/>
          </w:tcPr>
          <w:p>
            <w:pPr>
              <w:spacing w:after="0" w:line="240" w:lineRule="auto"/>
              <w:jc w:val="left"/>
            </w:pPr>
            <w:r>
              <w:rPr>
                <w:rFonts w:ascii="Calibri" w:hAnsi="Calibri"/>
                <w:b w:val="0"/>
                <w:sz w:val="14"/>
              </w:rPr>
              <w:t>Primary class: material and shape features</w:t>
            </w:r>
          </w:p>
        </w:tc>
        <w:tc>
          <w:tcPr>
            <w:tcW w:type="dxa" w:w="2494"/>
          </w:tcPr>
          <w:p>
            <w:pPr>
              <w:spacing w:after="0" w:line="240" w:lineRule="auto"/>
              <w:jc w:val="left"/>
            </w:pPr>
            <w:r>
              <w:rPr>
                <w:rFonts w:ascii="Calibri" w:hAnsi="Calibri"/>
                <w:b w:val="0"/>
                <w:sz w:val="14"/>
              </w:rPr>
              <w:t>Needs even lighting at the inlet; 65 ms inference is not credible without INT8 + XNNPACK</w:t>
            </w:r>
          </w:p>
        </w:tc>
      </w:tr>
      <w:tr>
        <w:trPr>
          <w:cantSplit w:val="true"/>
        </w:trPr>
        <w:tc>
          <w:tcPr>
            <w:tcW w:type="dxa" w:w="1361"/>
            <w:shd w:val="clear" w:color="auto" w:fill="EEF1F7"/>
          </w:tcPr>
          <w:p>
            <w:pPr>
              <w:spacing w:after="0" w:line="240" w:lineRule="auto"/>
              <w:jc w:val="left"/>
            </w:pPr>
            <w:r>
              <w:rPr>
                <w:rFonts w:ascii="Calibri" w:hAnsi="Calibri"/>
                <w:b w:val="0"/>
                <w:sz w:val="14"/>
              </w:rPr>
              <w:t>Moisture</w:t>
            </w:r>
          </w:p>
        </w:tc>
        <w:tc>
          <w:tcPr>
            <w:tcW w:type="dxa" w:w="1928"/>
            <w:shd w:val="clear" w:color="auto" w:fill="EEF1F7"/>
          </w:tcPr>
          <w:p>
            <w:pPr>
              <w:spacing w:after="0" w:line="240" w:lineRule="auto"/>
              <w:jc w:val="left"/>
            </w:pPr>
            <w:r>
              <w:rPr>
                <w:rFonts w:ascii="Calibri" w:hAnsi="Calibri"/>
                <w:b w:val="0"/>
                <w:sz w:val="14"/>
              </w:rPr>
              <w:t>Resistive/capacitive soil probe</w:t>
            </w:r>
          </w:p>
        </w:tc>
        <w:tc>
          <w:tcPr>
            <w:tcW w:type="dxa" w:w="1247"/>
            <w:shd w:val="clear" w:color="auto" w:fill="EEF1F7"/>
          </w:tcPr>
          <w:p>
            <w:pPr>
              <w:spacing w:after="0" w:line="240" w:lineRule="auto"/>
              <w:jc w:val="left"/>
            </w:pPr>
            <w:r>
              <w:rPr>
                <w:rFonts w:ascii="Calibri" w:hAnsi="Calibri"/>
                <w:b w:val="0"/>
                <w:sz w:val="14"/>
              </w:rPr>
              <w:t>ADC (ADS1115)</w:t>
            </w:r>
          </w:p>
        </w:tc>
        <w:tc>
          <w:tcPr>
            <w:tcW w:type="dxa" w:w="2381"/>
            <w:shd w:val="clear" w:color="auto" w:fill="EEF1F7"/>
          </w:tcPr>
          <w:p>
            <w:pPr>
              <w:spacing w:after="0" w:line="240" w:lineRule="auto"/>
              <w:jc w:val="left"/>
            </w:pPr>
            <w:r>
              <w:rPr>
                <w:rFonts w:ascii="Calibri" w:hAnsi="Calibri"/>
                <w:b w:val="0"/>
                <w:sz w:val="14"/>
              </w:rPr>
              <w:t>Wet vs dry — the biodegradable trigger</w:t>
            </w:r>
          </w:p>
        </w:tc>
        <w:tc>
          <w:tcPr>
            <w:tcW w:type="dxa" w:w="2494"/>
            <w:shd w:val="clear" w:color="auto" w:fill="EEF1F7"/>
          </w:tcPr>
          <w:p>
            <w:pPr>
              <w:spacing w:after="0" w:line="240" w:lineRule="auto"/>
              <w:jc w:val="left"/>
            </w:pPr>
            <w:r>
              <w:rPr>
                <w:rFonts w:ascii="Calibri" w:hAnsi="Calibri"/>
                <w:b w:val="0"/>
                <w:sz w:val="14"/>
              </w:rPr>
              <w:t>Reads surface moisture only; a wet plastic bag reads “wet”. Must be fused, not trusted alone.</w:t>
            </w:r>
          </w:p>
        </w:tc>
      </w:tr>
      <w:tr>
        <w:trPr>
          <w:cantSplit w:val="true"/>
        </w:trPr>
        <w:tc>
          <w:tcPr>
            <w:tcW w:type="dxa" w:w="1361"/>
          </w:tcPr>
          <w:p>
            <w:pPr>
              <w:spacing w:after="0" w:line="240" w:lineRule="auto"/>
              <w:jc w:val="left"/>
            </w:pPr>
            <w:r>
              <w:rPr>
                <w:rFonts w:ascii="Calibri" w:hAnsi="Calibri"/>
                <w:b w:val="0"/>
                <w:sz w:val="14"/>
              </w:rPr>
              <w:t>Capacitive proximity</w:t>
            </w:r>
          </w:p>
        </w:tc>
        <w:tc>
          <w:tcPr>
            <w:tcW w:type="dxa" w:w="1928"/>
          </w:tcPr>
          <w:p>
            <w:pPr>
              <w:spacing w:after="0" w:line="240" w:lineRule="auto"/>
              <w:jc w:val="left"/>
            </w:pPr>
            <w:r>
              <w:rPr>
                <w:rFonts w:ascii="Calibri" w:hAnsi="Calibri"/>
                <w:b w:val="0"/>
                <w:sz w:val="14"/>
              </w:rPr>
              <w:t>LJC18A3-H-Z/BX or TTP223</w:t>
            </w:r>
          </w:p>
        </w:tc>
        <w:tc>
          <w:tcPr>
            <w:tcW w:type="dxa" w:w="1247"/>
          </w:tcPr>
          <w:p>
            <w:pPr>
              <w:spacing w:after="0" w:line="240" w:lineRule="auto"/>
              <w:jc w:val="left"/>
            </w:pPr>
            <w:r>
              <w:rPr>
                <w:rFonts w:ascii="Calibri" w:hAnsi="Calibri"/>
                <w:b w:val="0"/>
                <w:sz w:val="14"/>
              </w:rPr>
              <w:t>GPIO / ADC</w:t>
            </w:r>
          </w:p>
        </w:tc>
        <w:tc>
          <w:tcPr>
            <w:tcW w:type="dxa" w:w="2381"/>
          </w:tcPr>
          <w:p>
            <w:pPr>
              <w:spacing w:after="0" w:line="240" w:lineRule="auto"/>
              <w:jc w:val="left"/>
            </w:pPr>
            <w:r>
              <w:rPr>
                <w:rFonts w:ascii="Calibri" w:hAnsi="Calibri"/>
                <w:b w:val="0"/>
                <w:sz w:val="14"/>
              </w:rPr>
              <w:t>Presence of dielectric material (plastic, paper)</w:t>
            </w:r>
          </w:p>
        </w:tc>
        <w:tc>
          <w:tcPr>
            <w:tcW w:type="dxa" w:w="2494"/>
          </w:tcPr>
          <w:p>
            <w:pPr>
              <w:spacing w:after="0" w:line="240" w:lineRule="auto"/>
              <w:jc w:val="left"/>
            </w:pPr>
            <w:r>
              <w:rPr>
                <w:rFonts w:ascii="Calibri" w:hAnsi="Calibri"/>
                <w:b w:val="0"/>
                <w:sz w:val="14"/>
              </w:rPr>
              <w:t>Cannot separate plastic from glass or paper by itself</w:t>
            </w:r>
          </w:p>
        </w:tc>
      </w:tr>
      <w:tr>
        <w:trPr>
          <w:cantSplit w:val="true"/>
        </w:trPr>
        <w:tc>
          <w:tcPr>
            <w:tcW w:type="dxa" w:w="1361"/>
            <w:shd w:val="clear" w:color="auto" w:fill="EEF1F7"/>
          </w:tcPr>
          <w:p>
            <w:pPr>
              <w:spacing w:after="0" w:line="240" w:lineRule="auto"/>
              <w:jc w:val="left"/>
            </w:pPr>
            <w:r>
              <w:rPr>
                <w:rFonts w:ascii="Calibri" w:hAnsi="Calibri"/>
                <w:b w:val="0"/>
                <w:sz w:val="14"/>
              </w:rPr>
              <w:t>Inductive proximity</w:t>
            </w:r>
          </w:p>
        </w:tc>
        <w:tc>
          <w:tcPr>
            <w:tcW w:type="dxa" w:w="1928"/>
            <w:shd w:val="clear" w:color="auto" w:fill="EEF1F7"/>
          </w:tcPr>
          <w:p>
            <w:pPr>
              <w:spacing w:after="0" w:line="240" w:lineRule="auto"/>
              <w:jc w:val="left"/>
            </w:pPr>
            <w:r>
              <w:rPr>
                <w:rFonts w:ascii="Calibri" w:hAnsi="Calibri"/>
                <w:b w:val="0"/>
                <w:sz w:val="14"/>
              </w:rPr>
              <w:t>LJ12A3-4-Z/BX</w:t>
            </w:r>
          </w:p>
        </w:tc>
        <w:tc>
          <w:tcPr>
            <w:tcW w:type="dxa" w:w="1247"/>
            <w:shd w:val="clear" w:color="auto" w:fill="EEF1F7"/>
          </w:tcPr>
          <w:p>
            <w:pPr>
              <w:spacing w:after="0" w:line="240" w:lineRule="auto"/>
              <w:jc w:val="left"/>
            </w:pPr>
            <w:r>
              <w:rPr>
                <w:rFonts w:ascii="Calibri" w:hAnsi="Calibri"/>
                <w:b w:val="0"/>
                <w:sz w:val="14"/>
              </w:rPr>
              <w:t>GPIO</w:t>
            </w:r>
          </w:p>
        </w:tc>
        <w:tc>
          <w:tcPr>
            <w:tcW w:type="dxa" w:w="2381"/>
            <w:shd w:val="clear" w:color="auto" w:fill="EEF1F7"/>
          </w:tcPr>
          <w:p>
            <w:pPr>
              <w:spacing w:after="0" w:line="240" w:lineRule="auto"/>
              <w:jc w:val="left"/>
            </w:pPr>
            <w:r>
              <w:rPr>
                <w:rFonts w:ascii="Calibri" w:hAnsi="Calibri"/>
                <w:b w:val="0"/>
                <w:sz w:val="14"/>
              </w:rPr>
              <w:t>Ferrous metal → electronic/metal class</w:t>
            </w:r>
          </w:p>
        </w:tc>
        <w:tc>
          <w:tcPr>
            <w:tcW w:type="dxa" w:w="2494"/>
            <w:shd w:val="clear" w:color="auto" w:fill="EEF1F7"/>
          </w:tcPr>
          <w:p>
            <w:pPr>
              <w:spacing w:after="0" w:line="240" w:lineRule="auto"/>
              <w:jc w:val="left"/>
            </w:pPr>
            <w:r>
              <w:rPr>
                <w:rFonts w:ascii="Calibri" w:hAnsi="Calibri"/>
                <w:b w:val="0"/>
                <w:sz w:val="14"/>
              </w:rPr>
              <w:t>Blind to aluminium and to plastic-cased electronics. This is the sensor-fusion gain you can demonstrate.</w:t>
            </w:r>
          </w:p>
        </w:tc>
      </w:tr>
      <w:tr>
        <w:trPr>
          <w:cantSplit w:val="true"/>
        </w:trPr>
        <w:tc>
          <w:tcPr>
            <w:tcW w:type="dxa" w:w="1361"/>
          </w:tcPr>
          <w:p>
            <w:pPr>
              <w:spacing w:after="0" w:line="240" w:lineRule="auto"/>
              <w:jc w:val="left"/>
            </w:pPr>
            <w:r>
              <w:rPr>
                <w:rFonts w:ascii="Calibri" w:hAnsi="Calibri"/>
                <w:b w:val="0"/>
                <w:sz w:val="14"/>
              </w:rPr>
              <w:t>ToF</w:t>
            </w:r>
          </w:p>
        </w:tc>
        <w:tc>
          <w:tcPr>
            <w:tcW w:type="dxa" w:w="1928"/>
          </w:tcPr>
          <w:p>
            <w:pPr>
              <w:spacing w:after="0" w:line="240" w:lineRule="auto"/>
              <w:jc w:val="left"/>
            </w:pPr>
            <w:r>
              <w:rPr>
                <w:rFonts w:ascii="Calibri" w:hAnsi="Calibri"/>
                <w:b w:val="0"/>
                <w:sz w:val="14"/>
              </w:rPr>
              <w:t>VL53L0X</w:t>
            </w:r>
          </w:p>
        </w:tc>
        <w:tc>
          <w:tcPr>
            <w:tcW w:type="dxa" w:w="1247"/>
          </w:tcPr>
          <w:p>
            <w:pPr>
              <w:spacing w:after="0" w:line="240" w:lineRule="auto"/>
              <w:jc w:val="left"/>
            </w:pPr>
            <w:r>
              <w:rPr>
                <w:rFonts w:ascii="Calibri" w:hAnsi="Calibri"/>
                <w:b w:val="0"/>
                <w:sz w:val="14"/>
              </w:rPr>
              <w:t>I²C</w:t>
            </w:r>
          </w:p>
        </w:tc>
        <w:tc>
          <w:tcPr>
            <w:tcW w:type="dxa" w:w="2381"/>
          </w:tcPr>
          <w:p>
            <w:pPr>
              <w:spacing w:after="0" w:line="240" w:lineRule="auto"/>
              <w:jc w:val="left"/>
            </w:pPr>
            <w:r>
              <w:rPr>
                <w:rFonts w:ascii="Calibri" w:hAnsi="Calibri"/>
                <w:b w:val="0"/>
                <w:sz w:val="14"/>
              </w:rPr>
              <w:t>Object present and its distance → gates capture</w:t>
            </w:r>
          </w:p>
        </w:tc>
        <w:tc>
          <w:tcPr>
            <w:tcW w:type="dxa" w:w="2494"/>
          </w:tcPr>
          <w:p>
            <w:pPr>
              <w:spacing w:after="0" w:line="240" w:lineRule="auto"/>
              <w:jc w:val="left"/>
            </w:pPr>
            <w:r>
              <w:rPr>
                <w:rFonts w:ascii="Calibri" w:hAnsi="Calibri"/>
                <w:b w:val="0"/>
                <w:sz w:val="14"/>
              </w:rPr>
              <w:t>Ambient IR and dark targets degrade range</w:t>
            </w:r>
          </w:p>
        </w:tc>
      </w:tr>
      <w:tr>
        <w:trPr>
          <w:cantSplit w:val="true"/>
        </w:trPr>
        <w:tc>
          <w:tcPr>
            <w:tcW w:type="dxa" w:w="1361"/>
            <w:shd w:val="clear" w:color="auto" w:fill="EEF1F7"/>
          </w:tcPr>
          <w:p>
            <w:pPr>
              <w:spacing w:after="0" w:line="240" w:lineRule="auto"/>
              <w:jc w:val="left"/>
            </w:pPr>
            <w:r>
              <w:rPr>
                <w:rFonts w:ascii="Calibri" w:hAnsi="Calibri"/>
                <w:b w:val="0"/>
                <w:sz w:val="14"/>
              </w:rPr>
              <w:t>Load cell</w:t>
            </w:r>
          </w:p>
        </w:tc>
        <w:tc>
          <w:tcPr>
            <w:tcW w:type="dxa" w:w="1928"/>
            <w:shd w:val="clear" w:color="auto" w:fill="EEF1F7"/>
          </w:tcPr>
          <w:p>
            <w:pPr>
              <w:spacing w:after="0" w:line="240" w:lineRule="auto"/>
              <w:jc w:val="left"/>
            </w:pPr>
            <w:r>
              <w:rPr>
                <w:rFonts w:ascii="Calibri" w:hAnsi="Calibri"/>
                <w:b w:val="0"/>
                <w:sz w:val="14"/>
              </w:rPr>
              <w:t>5 kg bar + HX711</w:t>
            </w:r>
          </w:p>
        </w:tc>
        <w:tc>
          <w:tcPr>
            <w:tcW w:type="dxa" w:w="1247"/>
            <w:shd w:val="clear" w:color="auto" w:fill="EEF1F7"/>
          </w:tcPr>
          <w:p>
            <w:pPr>
              <w:spacing w:after="0" w:line="240" w:lineRule="auto"/>
              <w:jc w:val="left"/>
            </w:pPr>
            <w:r>
              <w:rPr>
                <w:rFonts w:ascii="Calibri" w:hAnsi="Calibri"/>
                <w:b w:val="0"/>
                <w:sz w:val="14"/>
              </w:rPr>
              <w:t>GPIO (bit-banged)</w:t>
            </w:r>
          </w:p>
        </w:tc>
        <w:tc>
          <w:tcPr>
            <w:tcW w:type="dxa" w:w="2381"/>
            <w:shd w:val="clear" w:color="auto" w:fill="EEF1F7"/>
          </w:tcPr>
          <w:p>
            <w:pPr>
              <w:spacing w:after="0" w:line="240" w:lineRule="auto"/>
              <w:jc w:val="left"/>
            </w:pPr>
            <w:r>
              <w:rPr>
                <w:rFonts w:ascii="Calibri" w:hAnsi="Calibri"/>
                <w:b w:val="0"/>
                <w:sz w:val="14"/>
              </w:rPr>
              <w:t>Mass per item → volumetric and fill estimate</w:t>
            </w:r>
          </w:p>
        </w:tc>
        <w:tc>
          <w:tcPr>
            <w:tcW w:type="dxa" w:w="2494"/>
            <w:shd w:val="clear" w:color="auto" w:fill="EEF1F7"/>
          </w:tcPr>
          <w:p>
            <w:pPr>
              <w:spacing w:after="0" w:line="240" w:lineRule="auto"/>
              <w:jc w:val="left"/>
            </w:pPr>
            <w:r>
              <w:rPr>
                <w:rFonts w:ascii="Calibri" w:hAnsi="Calibri"/>
                <w:b w:val="0"/>
                <w:sz w:val="14"/>
              </w:rPr>
              <w:t>Needs tare and calibration; drift with temperature</w:t>
            </w:r>
          </w:p>
        </w:tc>
      </w:tr>
      <w:tr>
        <w:trPr>
          <w:cantSplit w:val="true"/>
        </w:trPr>
        <w:tc>
          <w:tcPr>
            <w:tcW w:type="dxa" w:w="1361"/>
          </w:tcPr>
          <w:p>
            <w:pPr>
              <w:spacing w:after="0" w:line="240" w:lineRule="auto"/>
              <w:jc w:val="left"/>
            </w:pPr>
            <w:r>
              <w:rPr>
                <w:rFonts w:ascii="Calibri" w:hAnsi="Calibri"/>
                <w:b w:val="0"/>
                <w:sz w:val="14"/>
              </w:rPr>
              <w:t>Gas</w:t>
            </w:r>
          </w:p>
        </w:tc>
        <w:tc>
          <w:tcPr>
            <w:tcW w:type="dxa" w:w="1928"/>
          </w:tcPr>
          <w:p>
            <w:pPr>
              <w:spacing w:after="0" w:line="240" w:lineRule="auto"/>
              <w:jc w:val="left"/>
            </w:pPr>
            <w:r>
              <w:rPr>
                <w:rFonts w:ascii="Calibri" w:hAnsi="Calibri"/>
                <w:b w:val="0"/>
                <w:sz w:val="14"/>
              </w:rPr>
              <w:t>MQ-135</w:t>
            </w:r>
          </w:p>
        </w:tc>
        <w:tc>
          <w:tcPr>
            <w:tcW w:type="dxa" w:w="1247"/>
          </w:tcPr>
          <w:p>
            <w:pPr>
              <w:spacing w:after="0" w:line="240" w:lineRule="auto"/>
              <w:jc w:val="left"/>
            </w:pPr>
            <w:r>
              <w:rPr>
                <w:rFonts w:ascii="Calibri" w:hAnsi="Calibri"/>
                <w:b w:val="0"/>
                <w:sz w:val="14"/>
              </w:rPr>
              <w:t>ADC</w:t>
            </w:r>
          </w:p>
        </w:tc>
        <w:tc>
          <w:tcPr>
            <w:tcW w:type="dxa" w:w="2381"/>
          </w:tcPr>
          <w:p>
            <w:pPr>
              <w:spacing w:after="0" w:line="240" w:lineRule="auto"/>
              <w:jc w:val="left"/>
            </w:pPr>
            <w:r>
              <w:rPr>
                <w:rFonts w:ascii="Calibri" w:hAnsi="Calibri"/>
                <w:b w:val="0"/>
                <w:sz w:val="14"/>
              </w:rPr>
              <w:t>Odour / air-quality index for hygiene logging</w:t>
            </w:r>
          </w:p>
        </w:tc>
        <w:tc>
          <w:tcPr>
            <w:tcW w:type="dxa" w:w="2494"/>
          </w:tcPr>
          <w:p>
            <w:pPr>
              <w:spacing w:after="0" w:line="240" w:lineRule="auto"/>
              <w:jc w:val="left"/>
            </w:pPr>
            <w:r>
              <w:rPr>
                <w:rFonts w:ascii="Calibri" w:hAnsi="Calibri"/>
                <w:b w:val="0"/>
                <w:sz w:val="14"/>
              </w:rPr>
              <w:t>Cross-sensitive; report as a relative index, never as a ppm concentration</w:t>
            </w:r>
          </w:p>
        </w:tc>
      </w:tr>
    </w:tbl>
    <w:p>
      <w:pPr>
        <w:spacing w:before="40" w:after="160"/>
        <w:jc w:val="left"/>
      </w:pPr>
      <w:r>
        <w:rPr>
          <w:rFonts w:ascii="Calibri" w:hAnsi="Calibri"/>
          <w:i/>
          <w:color w:val="404040"/>
          <w:sz w:val="16"/>
        </w:rPr>
        <w:t>The “limitation” column is not weakness — it is the argument for sensor fusion. Stating that the inductive sensor is blind to aluminium is what justifies the camera, and the camera is what justifies the fusion algorithm. Reviewers reward that reasoning.</w:t>
      </w:r>
    </w:p>
    <w:p>
      <w:pPr>
        <w:keepNext/>
        <w:spacing w:before="200" w:after="80"/>
        <w:jc w:val="left"/>
      </w:pPr>
      <w:r>
        <w:rPr>
          <w:b/>
          <w:color w:val="1F3864"/>
          <w:sz w:val="23"/>
        </w:rPr>
        <w:t>3.2 Actuation and the tolerance you must re-specify</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1587"/>
        <w:gridCol w:w="3515"/>
        <w:gridCol w:w="4309"/>
      </w:tblGrid>
      <w:tr>
        <w:trPr>
          <w:cantSplit w:val="true"/>
          <w:tblHeader w:val="true"/>
        </w:trPr>
        <w:tc>
          <w:tcPr>
            <w:tcW w:type="dxa" w:w="1587"/>
            <w:shd w:val="clear" w:color="auto" w:fill="1F3864"/>
          </w:tcPr>
          <w:p>
            <w:pPr>
              <w:spacing w:after="0" w:line="240" w:lineRule="auto"/>
              <w:jc w:val="left"/>
            </w:pPr>
            <w:r>
              <w:rPr>
                <w:rFonts w:ascii="Calibri" w:hAnsi="Calibri"/>
                <w:b/>
                <w:color w:val="FFFFFF"/>
                <w:sz w:val="15"/>
              </w:rPr>
              <w:t>Item</w:t>
            </w:r>
          </w:p>
        </w:tc>
        <w:tc>
          <w:tcPr>
            <w:tcW w:type="dxa" w:w="3515"/>
            <w:shd w:val="clear" w:color="auto" w:fill="1F3864"/>
          </w:tcPr>
          <w:p>
            <w:pPr>
              <w:spacing w:after="0" w:line="240" w:lineRule="auto"/>
              <w:jc w:val="left"/>
            </w:pPr>
            <w:r>
              <w:rPr>
                <w:rFonts w:ascii="Calibri" w:hAnsi="Calibri"/>
                <w:b/>
                <w:color w:val="FFFFFF"/>
                <w:sz w:val="15"/>
              </w:rPr>
              <w:t>Specification to write</w:t>
            </w:r>
          </w:p>
        </w:tc>
        <w:tc>
          <w:tcPr>
            <w:tcW w:type="dxa" w:w="4309"/>
            <w:shd w:val="clear" w:color="auto" w:fill="1F3864"/>
          </w:tcPr>
          <w:p>
            <w:pPr>
              <w:spacing w:after="0" w:line="240" w:lineRule="auto"/>
              <w:jc w:val="left"/>
            </w:pPr>
            <w:r>
              <w:rPr>
                <w:rFonts w:ascii="Calibri" w:hAnsi="Calibri"/>
                <w:b/>
                <w:color w:val="FFFFFF"/>
                <w:sz w:val="15"/>
              </w:rPr>
              <w:t>Why this value</w:t>
            </w:r>
          </w:p>
        </w:tc>
      </w:tr>
      <w:tr>
        <w:trPr>
          <w:cantSplit w:val="true"/>
        </w:trPr>
        <w:tc>
          <w:tcPr>
            <w:tcW w:type="dxa" w:w="1587"/>
          </w:tcPr>
          <w:p>
            <w:pPr>
              <w:spacing w:after="0" w:line="240" w:lineRule="auto"/>
              <w:jc w:val="left"/>
            </w:pPr>
            <w:r>
              <w:rPr>
                <w:rFonts w:ascii="Calibri" w:hAnsi="Calibri"/>
                <w:b w:val="0"/>
                <w:sz w:val="15"/>
              </w:rPr>
              <w:t>Stepper</w:t>
            </w:r>
          </w:p>
        </w:tc>
        <w:tc>
          <w:tcPr>
            <w:tcW w:type="dxa" w:w="3515"/>
          </w:tcPr>
          <w:p>
            <w:pPr>
              <w:spacing w:after="0" w:line="240" w:lineRule="auto"/>
              <w:jc w:val="left"/>
            </w:pPr>
            <w:r>
              <w:rPr>
                <w:rFonts w:ascii="Calibri" w:hAnsi="Calibri"/>
                <w:b w:val="0"/>
                <w:sz w:val="15"/>
              </w:rPr>
              <w:t>NEMA 17, 1.8°/step (200 steps/rev), 1.7 A/phase</w:t>
            </w:r>
          </w:p>
        </w:tc>
        <w:tc>
          <w:tcPr>
            <w:tcW w:type="dxa" w:w="4309"/>
          </w:tcPr>
          <w:p>
            <w:pPr>
              <w:spacing w:after="0" w:line="240" w:lineRule="auto"/>
              <w:jc w:val="left"/>
            </w:pPr>
            <w:r>
              <w:rPr>
                <w:rFonts w:ascii="Calibri" w:hAnsi="Calibri"/>
                <w:b w:val="0"/>
                <w:sz w:val="15"/>
              </w:rPr>
              <w:t>Standard, cheap, and enough torque for two ABS discs through a coupling</w:t>
            </w:r>
          </w:p>
        </w:tc>
      </w:tr>
      <w:tr>
        <w:trPr>
          <w:cantSplit w:val="true"/>
        </w:trPr>
        <w:tc>
          <w:tcPr>
            <w:tcW w:type="dxa" w:w="1587"/>
            <w:shd w:val="clear" w:color="auto" w:fill="EEF1F7"/>
          </w:tcPr>
          <w:p>
            <w:pPr>
              <w:spacing w:after="0" w:line="240" w:lineRule="auto"/>
              <w:jc w:val="left"/>
            </w:pPr>
            <w:r>
              <w:rPr>
                <w:rFonts w:ascii="Calibri" w:hAnsi="Calibri"/>
                <w:b w:val="0"/>
                <w:sz w:val="15"/>
              </w:rPr>
              <w:t>Driver</w:t>
            </w:r>
          </w:p>
        </w:tc>
        <w:tc>
          <w:tcPr>
            <w:tcW w:type="dxa" w:w="3515"/>
            <w:shd w:val="clear" w:color="auto" w:fill="EEF1F7"/>
          </w:tcPr>
          <w:p>
            <w:pPr>
              <w:spacing w:after="0" w:line="240" w:lineRule="auto"/>
              <w:jc w:val="left"/>
            </w:pPr>
            <w:r>
              <w:rPr>
                <w:rFonts w:ascii="Calibri" w:hAnsi="Calibri"/>
                <w:b w:val="0"/>
                <w:sz w:val="15"/>
              </w:rPr>
              <w:t>DRV8825, 1/16 microstepping</w:t>
            </w:r>
          </w:p>
        </w:tc>
        <w:tc>
          <w:tcPr>
            <w:tcW w:type="dxa" w:w="4309"/>
            <w:shd w:val="clear" w:color="auto" w:fill="EEF1F7"/>
          </w:tcPr>
          <w:p>
            <w:pPr>
              <w:spacing w:after="0" w:line="240" w:lineRule="auto"/>
              <w:jc w:val="left"/>
            </w:pPr>
            <w:r>
              <w:rPr>
                <w:rFonts w:ascii="Calibri" w:hAnsi="Calibri"/>
                <w:b w:val="0"/>
                <w:sz w:val="15"/>
              </w:rPr>
              <w:t>0.1125° per microstep — the resolution is not the problem, so say so</w:t>
            </w:r>
          </w:p>
        </w:tc>
      </w:tr>
      <w:tr>
        <w:trPr>
          <w:cantSplit w:val="true"/>
        </w:trPr>
        <w:tc>
          <w:tcPr>
            <w:tcW w:type="dxa" w:w="1587"/>
          </w:tcPr>
          <w:p>
            <w:pPr>
              <w:spacing w:after="0" w:line="240" w:lineRule="auto"/>
              <w:jc w:val="left"/>
            </w:pPr>
            <w:r>
              <w:rPr>
                <w:rFonts w:ascii="Calibri" w:hAnsi="Calibri"/>
                <w:b w:val="0"/>
                <w:sz w:val="15"/>
              </w:rPr>
              <w:t>Transmission</w:t>
            </w:r>
          </w:p>
        </w:tc>
        <w:tc>
          <w:tcPr>
            <w:tcW w:type="dxa" w:w="3515"/>
          </w:tcPr>
          <w:p>
            <w:pPr>
              <w:spacing w:after="0" w:line="240" w:lineRule="auto"/>
              <w:jc w:val="left"/>
            </w:pPr>
            <w:r>
              <w:rPr>
                <w:rFonts w:ascii="Calibri" w:hAnsi="Calibri"/>
                <w:b w:val="0"/>
                <w:sz w:val="15"/>
              </w:rPr>
              <w:t>Direct coupling, or 5:1 belt reduction if backlash &gt; 0.5°</w:t>
            </w:r>
          </w:p>
        </w:tc>
        <w:tc>
          <w:tcPr>
            <w:tcW w:type="dxa" w:w="4309"/>
          </w:tcPr>
          <w:p>
            <w:pPr>
              <w:spacing w:after="0" w:line="240" w:lineRule="auto"/>
              <w:jc w:val="left"/>
            </w:pPr>
            <w:r>
              <w:rPr>
                <w:rFonts w:ascii="Calibri" w:hAnsi="Calibri"/>
                <w:b w:val="0"/>
                <w:sz w:val="15"/>
              </w:rPr>
              <w:t>Backlash is the actual error source, not resolution</w:t>
            </w:r>
          </w:p>
        </w:tc>
      </w:tr>
      <w:tr>
        <w:trPr>
          <w:cantSplit w:val="true"/>
        </w:trPr>
        <w:tc>
          <w:tcPr>
            <w:tcW w:type="dxa" w:w="1587"/>
            <w:shd w:val="clear" w:color="auto" w:fill="EEF1F7"/>
          </w:tcPr>
          <w:p>
            <w:pPr>
              <w:spacing w:after="0" w:line="240" w:lineRule="auto"/>
              <w:jc w:val="left"/>
            </w:pPr>
            <w:r>
              <w:rPr>
                <w:rFonts w:ascii="Calibri" w:hAnsi="Calibri"/>
                <w:b w:val="0"/>
                <w:sz w:val="15"/>
              </w:rPr>
              <w:t>Index feedback</w:t>
            </w:r>
          </w:p>
        </w:tc>
        <w:tc>
          <w:tcPr>
            <w:tcW w:type="dxa" w:w="3515"/>
            <w:shd w:val="clear" w:color="auto" w:fill="EEF1F7"/>
          </w:tcPr>
          <w:p>
            <w:pPr>
              <w:spacing w:after="0" w:line="240" w:lineRule="auto"/>
              <w:jc w:val="left"/>
            </w:pPr>
            <w:r>
              <w:rPr>
                <w:rFonts w:ascii="Calibri" w:hAnsi="Calibri"/>
                <w:b w:val="0"/>
                <w:sz w:val="15"/>
              </w:rPr>
              <w:t>Home/index sensor (optical or hall) + encoder count per position</w:t>
            </w:r>
          </w:p>
        </w:tc>
        <w:tc>
          <w:tcPr>
            <w:tcW w:type="dxa" w:w="4309"/>
            <w:shd w:val="clear" w:color="auto" w:fill="EEF1F7"/>
          </w:tcPr>
          <w:p>
            <w:pPr>
              <w:spacing w:after="0" w:line="240" w:lineRule="auto"/>
              <w:jc w:val="left"/>
            </w:pPr>
            <w:r>
              <w:rPr>
                <w:rFonts w:ascii="Calibri" w:hAnsi="Calibri"/>
                <w:b w:val="0"/>
                <w:sz w:val="15"/>
              </w:rPr>
              <w:t>Turns an open-loop guess into a measured position</w:t>
            </w:r>
          </w:p>
        </w:tc>
      </w:tr>
      <w:tr>
        <w:trPr>
          <w:cantSplit w:val="true"/>
        </w:trPr>
        <w:tc>
          <w:tcPr>
            <w:tcW w:type="dxa" w:w="1587"/>
          </w:tcPr>
          <w:p>
            <w:pPr>
              <w:spacing w:after="0" w:line="240" w:lineRule="auto"/>
              <w:jc w:val="left"/>
            </w:pPr>
            <w:r>
              <w:rPr>
                <w:rFonts w:ascii="Calibri" w:hAnsi="Calibri"/>
                <w:b w:val="0"/>
                <w:sz w:val="15"/>
              </w:rPr>
              <w:t>Angular repeatability</w:t>
            </w:r>
          </w:p>
        </w:tc>
        <w:tc>
          <w:tcPr>
            <w:tcW w:type="dxa" w:w="3515"/>
          </w:tcPr>
          <w:p>
            <w:pPr>
              <w:spacing w:after="0" w:line="240" w:lineRule="auto"/>
              <w:jc w:val="left"/>
            </w:pPr>
            <w:r>
              <w:rPr>
                <w:rFonts w:ascii="Calibri" w:hAnsi="Calibri"/>
                <w:b/>
                <w:color w:val="A61B1B"/>
                <w:sz w:val="15"/>
              </w:rPr>
              <w:t>≤ 0.5°, verified over 100 cycles</w:t>
            </w:r>
          </w:p>
        </w:tc>
        <w:tc>
          <w:tcPr>
            <w:tcW w:type="dxa" w:w="4309"/>
          </w:tcPr>
          <w:p>
            <w:pPr>
              <w:spacing w:after="0" w:line="240" w:lineRule="auto"/>
              <w:jc w:val="left"/>
            </w:pPr>
            <w:r>
              <w:rPr>
                <w:rFonts w:ascii="Calibri" w:hAnsi="Calibri"/>
                <w:b w:val="0"/>
                <w:sz w:val="15"/>
              </w:rPr>
              <w:t>The 2.4 mm gap between compartments allows no more (§4)</w:t>
            </w:r>
          </w:p>
        </w:tc>
      </w:tr>
      <w:tr>
        <w:trPr>
          <w:cantSplit w:val="true"/>
        </w:trPr>
        <w:tc>
          <w:tcPr>
            <w:tcW w:type="dxa" w:w="1587"/>
            <w:shd w:val="clear" w:color="auto" w:fill="EEF1F7"/>
          </w:tcPr>
          <w:p>
            <w:pPr>
              <w:spacing w:after="0" w:line="240" w:lineRule="auto"/>
              <w:jc w:val="left"/>
            </w:pPr>
            <w:r>
              <w:rPr>
                <w:rFonts w:ascii="Calibri" w:hAnsi="Calibri"/>
                <w:b w:val="0"/>
                <w:sz w:val="15"/>
              </w:rPr>
              <w:t>Cycle time</w:t>
            </w:r>
          </w:p>
        </w:tc>
        <w:tc>
          <w:tcPr>
            <w:tcW w:type="dxa" w:w="3515"/>
            <w:shd w:val="clear" w:color="auto" w:fill="EEF1F7"/>
          </w:tcPr>
          <w:p>
            <w:pPr>
              <w:spacing w:after="0" w:line="240" w:lineRule="auto"/>
              <w:jc w:val="left"/>
            </w:pPr>
            <w:r>
              <w:rPr>
                <w:rFonts w:ascii="Calibri" w:hAnsi="Calibri"/>
                <w:b w:val="0"/>
                <w:sz w:val="15"/>
              </w:rPr>
              <w:t>3.2 s average per item</w:t>
            </w:r>
          </w:p>
        </w:tc>
        <w:tc>
          <w:tcPr>
            <w:tcW w:type="dxa" w:w="4309"/>
            <w:shd w:val="clear" w:color="auto" w:fill="EEF1F7"/>
          </w:tcPr>
          <w:p>
            <w:pPr>
              <w:spacing w:after="0" w:line="240" w:lineRule="auto"/>
              <w:jc w:val="left"/>
            </w:pPr>
            <w:r>
              <w:rPr>
                <w:rFonts w:ascii="Calibri" w:hAnsi="Calibri"/>
                <w:b w:val="0"/>
                <w:sz w:val="15"/>
              </w:rPr>
              <w:t>Already consistent across both documents — keep it</w:t>
            </w:r>
          </w:p>
        </w:tc>
      </w:tr>
      <w:tr>
        <w:trPr>
          <w:cantSplit w:val="true"/>
        </w:trPr>
        <w:tc>
          <w:tcPr>
            <w:tcW w:type="dxa" w:w="1587"/>
          </w:tcPr>
          <w:p>
            <w:pPr>
              <w:spacing w:after="0" w:line="240" w:lineRule="auto"/>
              <w:jc w:val="left"/>
            </w:pPr>
            <w:r>
              <w:rPr>
                <w:rFonts w:ascii="Calibri" w:hAnsi="Calibri"/>
                <w:b w:val="0"/>
                <w:sz w:val="15"/>
              </w:rPr>
              <w:t>Throughput</w:t>
            </w:r>
          </w:p>
        </w:tc>
        <w:tc>
          <w:tcPr>
            <w:tcW w:type="dxa" w:w="3515"/>
          </w:tcPr>
          <w:p>
            <w:pPr>
              <w:spacing w:after="0" w:line="240" w:lineRule="auto"/>
              <w:jc w:val="left"/>
            </w:pPr>
            <w:r>
              <w:rPr>
                <w:rFonts w:ascii="Calibri" w:hAnsi="Calibri"/>
                <w:b w:val="0"/>
                <w:sz w:val="15"/>
              </w:rPr>
              <w:t>≈1,125 items/h theoretical</w:t>
            </w:r>
          </w:p>
        </w:tc>
        <w:tc>
          <w:tcPr>
            <w:tcW w:type="dxa" w:w="4309"/>
          </w:tcPr>
          <w:p>
            <w:pPr>
              <w:spacing w:after="0" w:line="240" w:lineRule="auto"/>
              <w:jc w:val="left"/>
            </w:pPr>
            <w:r>
              <w:rPr>
                <w:rFonts w:ascii="Calibri" w:hAnsi="Calibri"/>
                <w:b w:val="0"/>
                <w:sz w:val="15"/>
              </w:rPr>
              <w:t>3,600 / 3.2 — state it, it is the number a reviewer compares with other systems</w:t>
            </w:r>
          </w:p>
        </w:tc>
      </w:tr>
    </w:tbl>
    <w:p>
      <w:pPr>
        <w:spacing w:before="40" w:after="160"/>
        <w:jc w:val="left"/>
      </w:pPr>
      <w:r>
        <w:rPr>
          <w:rFonts w:ascii="Calibri" w:hAnsi="Calibri"/>
          <w:i/>
          <w:color w:val="404040"/>
          <w:sz w:val="16"/>
        </w:rPr>
        <w:t>Delete the sentence in the old paper that proposes “±2°” as an improvement — the old report already claims 1.8°, so the improvement reads as a regression. Replace it with the ≤0.5° specification and the reason for it.</w:t>
      </w:r>
    </w:p>
    <w:p>
      <w:pPr>
        <w:keepNext/>
        <w:spacing w:before="200" w:after="80"/>
        <w:jc w:val="left"/>
      </w:pPr>
      <w:r>
        <w:rPr>
          <w:b/>
          <w:color w:val="1F3864"/>
          <w:sz w:val="23"/>
        </w:rPr>
        <w:t>3.3 The four-stream decision logic — the missing table</w:t>
      </w:r>
    </w:p>
    <w:p>
      <w:pPr>
        <w:spacing w:after="120"/>
        <w:ind w:left="0"/>
        <w:jc w:val="both"/>
      </w:pPr>
      <w:r>
        <w:rPr>
          <w:b w:val="0"/>
          <w:i w:val="0"/>
          <w:sz w:val="22"/>
        </w:rPr>
        <w:t>This is the single most valuable thing you can add, because it converts your six-class model into a four-compartment machine and shows you have thought about it. Put this table in Chapter 7 immediately after the class list.</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2268"/>
        <w:gridCol w:w="1927"/>
        <w:gridCol w:w="3061"/>
        <w:gridCol w:w="2154"/>
      </w:tblGrid>
      <w:tr>
        <w:trPr>
          <w:cantSplit w:val="true"/>
          <w:tblHeader w:val="true"/>
        </w:trPr>
        <w:tc>
          <w:tcPr>
            <w:tcW w:type="dxa" w:w="2268"/>
            <w:shd w:val="clear" w:color="auto" w:fill="1F3864"/>
          </w:tcPr>
          <w:p>
            <w:pPr>
              <w:spacing w:after="0" w:line="240" w:lineRule="auto"/>
              <w:jc w:val="left"/>
            </w:pPr>
            <w:r>
              <w:rPr>
                <w:rFonts w:ascii="Calibri" w:hAnsi="Calibri"/>
                <w:b/>
                <w:color w:val="FFFFFF"/>
                <w:sz w:val="15"/>
              </w:rPr>
              <w:t>Model output (6-class)</w:t>
            </w:r>
          </w:p>
        </w:tc>
        <w:tc>
          <w:tcPr>
            <w:tcW w:type="dxa" w:w="1928"/>
            <w:shd w:val="clear" w:color="auto" w:fill="1F3864"/>
          </w:tcPr>
          <w:p>
            <w:pPr>
              <w:spacing w:after="0" w:line="240" w:lineRule="auto"/>
              <w:jc w:val="left"/>
            </w:pPr>
            <w:r>
              <w:rPr>
                <w:rFonts w:ascii="Calibri" w:hAnsi="Calibri"/>
                <w:b/>
                <w:color w:val="FFFFFF"/>
                <w:sz w:val="15"/>
              </w:rPr>
              <w:t>Compartment (4-stream)</w:t>
            </w:r>
          </w:p>
        </w:tc>
        <w:tc>
          <w:tcPr>
            <w:tcW w:type="dxa" w:w="3061"/>
            <w:shd w:val="clear" w:color="auto" w:fill="1F3864"/>
          </w:tcPr>
          <w:p>
            <w:pPr>
              <w:spacing w:after="0" w:line="240" w:lineRule="auto"/>
              <w:jc w:val="left"/>
            </w:pPr>
            <w:r>
              <w:rPr>
                <w:rFonts w:ascii="Calibri" w:hAnsi="Calibri"/>
                <w:b/>
                <w:color w:val="FFFFFF"/>
                <w:sz w:val="15"/>
              </w:rPr>
              <w:t>Fusion rule that overrides the camera</w:t>
            </w:r>
          </w:p>
        </w:tc>
        <w:tc>
          <w:tcPr>
            <w:tcW w:type="dxa" w:w="2154"/>
            <w:shd w:val="clear" w:color="auto" w:fill="1F3864"/>
          </w:tcPr>
          <w:p>
            <w:pPr>
              <w:spacing w:after="0" w:line="240" w:lineRule="auto"/>
              <w:jc w:val="left"/>
            </w:pPr>
            <w:r>
              <w:rPr>
                <w:rFonts w:ascii="Calibri" w:hAnsi="Calibri"/>
                <w:b/>
                <w:color w:val="FFFFFF"/>
                <w:sz w:val="15"/>
              </w:rPr>
              <w:t>Rationale</w:t>
            </w:r>
          </w:p>
        </w:tc>
      </w:tr>
      <w:tr>
        <w:trPr>
          <w:cantSplit w:val="true"/>
        </w:trPr>
        <w:tc>
          <w:tcPr>
            <w:tcW w:type="dxa" w:w="2268"/>
          </w:tcPr>
          <w:p>
            <w:pPr>
              <w:spacing w:after="0" w:line="240" w:lineRule="auto"/>
              <w:jc w:val="left"/>
            </w:pPr>
            <w:r>
              <w:rPr>
                <w:rFonts w:ascii="Calibri" w:hAnsi="Calibri"/>
                <w:b w:val="0"/>
                <w:sz w:val="15"/>
              </w:rPr>
              <w:t>Organic</w:t>
            </w:r>
          </w:p>
        </w:tc>
        <w:tc>
          <w:tcPr>
            <w:tcW w:type="dxa" w:w="1928"/>
          </w:tcPr>
          <w:p>
            <w:pPr>
              <w:spacing w:after="0" w:line="240" w:lineRule="auto"/>
              <w:jc w:val="left"/>
            </w:pPr>
            <w:r>
              <w:rPr>
                <w:rFonts w:ascii="Calibri" w:hAnsi="Calibri"/>
                <w:b w:val="0"/>
                <w:sz w:val="15"/>
              </w:rPr>
              <w:t>Biodegradable (wet)</w:t>
            </w:r>
          </w:p>
        </w:tc>
        <w:tc>
          <w:tcPr>
            <w:tcW w:type="dxa" w:w="3061"/>
          </w:tcPr>
          <w:p>
            <w:pPr>
              <w:spacing w:after="0" w:line="240" w:lineRule="auto"/>
              <w:jc w:val="left"/>
            </w:pPr>
            <w:r>
              <w:rPr>
                <w:rFonts w:ascii="Calibri" w:hAnsi="Calibri"/>
                <w:b w:val="0"/>
                <w:sz w:val="15"/>
              </w:rPr>
              <w:t>Moisture above threshold confirms; low moisture + high confidence may keep Organic</w:t>
            </w:r>
          </w:p>
        </w:tc>
        <w:tc>
          <w:tcPr>
            <w:tcW w:type="dxa" w:w="2154"/>
          </w:tcPr>
          <w:p>
            <w:pPr>
              <w:spacing w:after="0" w:line="240" w:lineRule="auto"/>
              <w:jc w:val="left"/>
            </w:pPr>
            <w:r>
              <w:rPr>
                <w:rFonts w:ascii="Calibri" w:hAnsi="Calibri"/>
                <w:b w:val="0"/>
                <w:sz w:val="15"/>
              </w:rPr>
              <w:t>Wet fraction is the compostable stream</w:t>
            </w:r>
          </w:p>
        </w:tc>
      </w:tr>
      <w:tr>
        <w:trPr>
          <w:cantSplit w:val="true"/>
        </w:trPr>
        <w:tc>
          <w:tcPr>
            <w:tcW w:type="dxa" w:w="2268"/>
            <w:shd w:val="clear" w:color="auto" w:fill="EEF1F7"/>
          </w:tcPr>
          <w:p>
            <w:pPr>
              <w:spacing w:after="0" w:line="240" w:lineRule="auto"/>
              <w:jc w:val="left"/>
            </w:pPr>
            <w:r>
              <w:rPr>
                <w:rFonts w:ascii="Calibri" w:hAnsi="Calibri"/>
                <w:b w:val="0"/>
                <w:sz w:val="15"/>
              </w:rPr>
              <w:t>Plastic</w:t>
            </w:r>
          </w:p>
        </w:tc>
        <w:tc>
          <w:tcPr>
            <w:tcW w:type="dxa" w:w="1928"/>
            <w:shd w:val="clear" w:color="auto" w:fill="EEF1F7"/>
          </w:tcPr>
          <w:p>
            <w:pPr>
              <w:spacing w:after="0" w:line="240" w:lineRule="auto"/>
              <w:jc w:val="left"/>
            </w:pPr>
            <w:r>
              <w:rPr>
                <w:rFonts w:ascii="Calibri" w:hAnsi="Calibri"/>
                <w:b w:val="0"/>
                <w:sz w:val="15"/>
              </w:rPr>
              <w:t>Dry</w:t>
            </w:r>
          </w:p>
        </w:tc>
        <w:tc>
          <w:tcPr>
            <w:tcW w:type="dxa" w:w="3061"/>
            <w:shd w:val="clear" w:color="auto" w:fill="EEF1F7"/>
          </w:tcPr>
          <w:p>
            <w:pPr>
              <w:spacing w:after="0" w:line="240" w:lineRule="auto"/>
              <w:jc w:val="left"/>
            </w:pPr>
            <w:r>
              <w:rPr>
                <w:rFonts w:ascii="Calibri" w:hAnsi="Calibri"/>
                <w:b w:val="0"/>
                <w:sz w:val="15"/>
              </w:rPr>
              <w:t>Capacitive present + inductive absent</w:t>
            </w:r>
          </w:p>
        </w:tc>
        <w:tc>
          <w:tcPr>
            <w:tcW w:type="dxa" w:w="2154"/>
            <w:shd w:val="clear" w:color="auto" w:fill="EEF1F7"/>
          </w:tcPr>
          <w:p>
            <w:pPr>
              <w:spacing w:after="0" w:line="240" w:lineRule="auto"/>
              <w:jc w:val="left"/>
            </w:pPr>
            <w:r>
              <w:rPr>
                <w:rFonts w:ascii="Calibri" w:hAnsi="Calibri"/>
                <w:b w:val="0"/>
                <w:sz w:val="15"/>
              </w:rPr>
              <w:t>Recyclable dry fraction</w:t>
            </w:r>
          </w:p>
        </w:tc>
      </w:tr>
      <w:tr>
        <w:trPr>
          <w:cantSplit w:val="true"/>
        </w:trPr>
        <w:tc>
          <w:tcPr>
            <w:tcW w:type="dxa" w:w="2268"/>
          </w:tcPr>
          <w:p>
            <w:pPr>
              <w:spacing w:after="0" w:line="240" w:lineRule="auto"/>
              <w:jc w:val="left"/>
            </w:pPr>
            <w:r>
              <w:rPr>
                <w:rFonts w:ascii="Calibri" w:hAnsi="Calibri"/>
                <w:b w:val="0"/>
                <w:sz w:val="15"/>
              </w:rPr>
              <w:t>Paper / Cardboard</w:t>
            </w:r>
          </w:p>
        </w:tc>
        <w:tc>
          <w:tcPr>
            <w:tcW w:type="dxa" w:w="1928"/>
          </w:tcPr>
          <w:p>
            <w:pPr>
              <w:spacing w:after="0" w:line="240" w:lineRule="auto"/>
              <w:jc w:val="left"/>
            </w:pPr>
            <w:r>
              <w:rPr>
                <w:rFonts w:ascii="Calibri" w:hAnsi="Calibri"/>
                <w:b w:val="0"/>
                <w:sz w:val="15"/>
              </w:rPr>
              <w:t>Dry</w:t>
            </w:r>
          </w:p>
        </w:tc>
        <w:tc>
          <w:tcPr>
            <w:tcW w:type="dxa" w:w="3061"/>
          </w:tcPr>
          <w:p>
            <w:pPr>
              <w:spacing w:after="0" w:line="240" w:lineRule="auto"/>
              <w:jc w:val="left"/>
            </w:pPr>
            <w:r>
              <w:rPr>
                <w:rFonts w:ascii="Calibri" w:hAnsi="Calibri"/>
                <w:b w:val="0"/>
                <w:sz w:val="15"/>
              </w:rPr>
              <w:t>Capacitive present, low mass</w:t>
            </w:r>
          </w:p>
        </w:tc>
        <w:tc>
          <w:tcPr>
            <w:tcW w:type="dxa" w:w="2154"/>
          </w:tcPr>
          <w:p>
            <w:pPr>
              <w:spacing w:after="0" w:line="240" w:lineRule="auto"/>
              <w:jc w:val="left"/>
            </w:pPr>
            <w:r>
              <w:rPr>
                <w:rFonts w:ascii="Calibri" w:hAnsi="Calibri"/>
                <w:b w:val="0"/>
                <w:sz w:val="15"/>
              </w:rPr>
              <w:t>Same stream as plastic for collection purposes</w:t>
            </w:r>
          </w:p>
        </w:tc>
      </w:tr>
      <w:tr>
        <w:trPr>
          <w:cantSplit w:val="true"/>
        </w:trPr>
        <w:tc>
          <w:tcPr>
            <w:tcW w:type="dxa" w:w="2268"/>
            <w:shd w:val="clear" w:color="auto" w:fill="EEF1F7"/>
          </w:tcPr>
          <w:p>
            <w:pPr>
              <w:spacing w:after="0" w:line="240" w:lineRule="auto"/>
              <w:jc w:val="left"/>
            </w:pPr>
            <w:r>
              <w:rPr>
                <w:rFonts w:ascii="Calibri" w:hAnsi="Calibri"/>
                <w:b w:val="0"/>
                <w:sz w:val="15"/>
              </w:rPr>
              <w:t>Glass</w:t>
            </w:r>
          </w:p>
        </w:tc>
        <w:tc>
          <w:tcPr>
            <w:tcW w:type="dxa" w:w="1928"/>
            <w:shd w:val="clear" w:color="auto" w:fill="EEF1F7"/>
          </w:tcPr>
          <w:p>
            <w:pPr>
              <w:spacing w:after="0" w:line="240" w:lineRule="auto"/>
              <w:jc w:val="left"/>
            </w:pPr>
            <w:r>
              <w:rPr>
                <w:rFonts w:ascii="Calibri" w:hAnsi="Calibri"/>
                <w:b w:val="0"/>
                <w:sz w:val="15"/>
              </w:rPr>
              <w:t>Dry</w:t>
            </w:r>
          </w:p>
        </w:tc>
        <w:tc>
          <w:tcPr>
            <w:tcW w:type="dxa" w:w="3061"/>
            <w:shd w:val="clear" w:color="auto" w:fill="EEF1F7"/>
          </w:tcPr>
          <w:p>
            <w:pPr>
              <w:spacing w:after="0" w:line="240" w:lineRule="auto"/>
              <w:jc w:val="left"/>
            </w:pPr>
            <w:r>
              <w:rPr>
                <w:rFonts w:ascii="Calibri" w:hAnsi="Calibri"/>
                <w:b w:val="0"/>
                <w:sz w:val="15"/>
              </w:rPr>
              <w:t>Capacitive present, high mass, no inductive</w:t>
            </w:r>
          </w:p>
        </w:tc>
        <w:tc>
          <w:tcPr>
            <w:tcW w:type="dxa" w:w="2154"/>
            <w:shd w:val="clear" w:color="auto" w:fill="EEF1F7"/>
          </w:tcPr>
          <w:p>
            <w:pPr>
              <w:spacing w:after="0" w:line="240" w:lineRule="auto"/>
              <w:jc w:val="left"/>
            </w:pPr>
            <w:r>
              <w:rPr>
                <w:rFonts w:ascii="Calibri" w:hAnsi="Calibri"/>
                <w:b w:val="0"/>
                <w:sz w:val="15"/>
              </w:rPr>
              <w:t>Separate at the MRF, not in the bin</w:t>
            </w:r>
          </w:p>
        </w:tc>
      </w:tr>
      <w:tr>
        <w:trPr>
          <w:cantSplit w:val="true"/>
        </w:trPr>
        <w:tc>
          <w:tcPr>
            <w:tcW w:type="dxa" w:w="2268"/>
          </w:tcPr>
          <w:p>
            <w:pPr>
              <w:spacing w:after="0" w:line="240" w:lineRule="auto"/>
              <w:jc w:val="left"/>
            </w:pPr>
            <w:r>
              <w:rPr>
                <w:rFonts w:ascii="Calibri" w:hAnsi="Calibri"/>
                <w:b w:val="0"/>
                <w:sz w:val="15"/>
              </w:rPr>
              <w:t>Metal</w:t>
            </w:r>
          </w:p>
        </w:tc>
        <w:tc>
          <w:tcPr>
            <w:tcW w:type="dxa" w:w="1928"/>
          </w:tcPr>
          <w:p>
            <w:pPr>
              <w:spacing w:after="0" w:line="240" w:lineRule="auto"/>
              <w:jc w:val="left"/>
            </w:pPr>
            <w:r>
              <w:rPr>
                <w:rFonts w:ascii="Calibri" w:hAnsi="Calibri"/>
                <w:b w:val="0"/>
                <w:sz w:val="15"/>
              </w:rPr>
              <w:t>Electronic</w:t>
            </w:r>
          </w:p>
        </w:tc>
        <w:tc>
          <w:tcPr>
            <w:tcW w:type="dxa" w:w="3061"/>
          </w:tcPr>
          <w:p>
            <w:pPr>
              <w:spacing w:after="0" w:line="240" w:lineRule="auto"/>
              <w:jc w:val="left"/>
            </w:pPr>
            <w:r>
              <w:rPr>
                <w:rFonts w:ascii="Calibri" w:hAnsi="Calibri"/>
                <w:b w:val="0"/>
                <w:sz w:val="15"/>
              </w:rPr>
              <w:t>Inductive high → override to Electronic regardless of camera</w:t>
            </w:r>
          </w:p>
        </w:tc>
        <w:tc>
          <w:tcPr>
            <w:tcW w:type="dxa" w:w="2154"/>
          </w:tcPr>
          <w:p>
            <w:pPr>
              <w:spacing w:after="0" w:line="240" w:lineRule="auto"/>
              <w:jc w:val="left"/>
            </w:pPr>
            <w:r>
              <w:rPr>
                <w:rFonts w:ascii="Calibri" w:hAnsi="Calibri"/>
                <w:b w:val="0"/>
                <w:sz w:val="15"/>
              </w:rPr>
              <w:t>Metal recovery is the highest-value stream</w:t>
            </w:r>
          </w:p>
        </w:tc>
      </w:tr>
      <w:tr>
        <w:trPr>
          <w:cantSplit w:val="true"/>
        </w:trPr>
        <w:tc>
          <w:tcPr>
            <w:tcW w:type="dxa" w:w="2268"/>
            <w:shd w:val="clear" w:color="auto" w:fill="EEF1F7"/>
          </w:tcPr>
          <w:p>
            <w:pPr>
              <w:spacing w:after="0" w:line="240" w:lineRule="auto"/>
              <w:jc w:val="left"/>
            </w:pPr>
            <w:r>
              <w:rPr>
                <w:rFonts w:ascii="Calibri" w:hAnsi="Calibri"/>
                <w:b w:val="0"/>
                <w:sz w:val="15"/>
              </w:rPr>
              <w:t>E-waste</w:t>
            </w:r>
          </w:p>
        </w:tc>
        <w:tc>
          <w:tcPr>
            <w:tcW w:type="dxa" w:w="1928"/>
            <w:shd w:val="clear" w:color="auto" w:fill="EEF1F7"/>
          </w:tcPr>
          <w:p>
            <w:pPr>
              <w:spacing w:after="0" w:line="240" w:lineRule="auto"/>
              <w:jc w:val="left"/>
            </w:pPr>
            <w:r>
              <w:rPr>
                <w:rFonts w:ascii="Calibri" w:hAnsi="Calibri"/>
                <w:b w:val="0"/>
                <w:sz w:val="15"/>
              </w:rPr>
              <w:t>Electronic</w:t>
            </w:r>
          </w:p>
        </w:tc>
        <w:tc>
          <w:tcPr>
            <w:tcW w:type="dxa" w:w="3061"/>
            <w:shd w:val="clear" w:color="auto" w:fill="EEF1F7"/>
          </w:tcPr>
          <w:p>
            <w:pPr>
              <w:spacing w:after="0" w:line="240" w:lineRule="auto"/>
              <w:jc w:val="left"/>
            </w:pPr>
            <w:r>
              <w:rPr>
                <w:rFonts w:ascii="Calibri" w:hAnsi="Calibri"/>
                <w:b w:val="0"/>
                <w:sz w:val="15"/>
              </w:rPr>
              <w:t>Inductive high or camera confidence ≥ threshold</w:t>
            </w:r>
          </w:p>
        </w:tc>
        <w:tc>
          <w:tcPr>
            <w:tcW w:type="dxa" w:w="2154"/>
            <w:shd w:val="clear" w:color="auto" w:fill="EEF1F7"/>
          </w:tcPr>
          <w:p>
            <w:pPr>
              <w:spacing w:after="0" w:line="240" w:lineRule="auto"/>
              <w:jc w:val="left"/>
            </w:pPr>
            <w:r>
              <w:rPr>
                <w:rFonts w:ascii="Calibri" w:hAnsi="Calibri"/>
                <w:b w:val="0"/>
                <w:sz w:val="15"/>
              </w:rPr>
              <w:t>Battery-bearing items must not go to Dry</w:t>
            </w:r>
          </w:p>
        </w:tc>
      </w:tr>
      <w:tr>
        <w:trPr>
          <w:cantSplit w:val="true"/>
        </w:trPr>
        <w:tc>
          <w:tcPr>
            <w:tcW w:type="dxa" w:w="2268"/>
          </w:tcPr>
          <w:p>
            <w:pPr>
              <w:spacing w:after="0" w:line="240" w:lineRule="auto"/>
              <w:jc w:val="left"/>
            </w:pPr>
            <w:r>
              <w:rPr>
                <w:rFonts w:ascii="Calibri" w:hAnsi="Calibri"/>
                <w:b w:val="0"/>
                <w:sz w:val="15"/>
              </w:rPr>
              <w:t>Medical waste</w:t>
            </w:r>
          </w:p>
        </w:tc>
        <w:tc>
          <w:tcPr>
            <w:tcW w:type="dxa" w:w="1928"/>
          </w:tcPr>
          <w:p>
            <w:pPr>
              <w:spacing w:after="0" w:line="240" w:lineRule="auto"/>
              <w:jc w:val="left"/>
            </w:pPr>
            <w:r>
              <w:rPr>
                <w:rFonts w:ascii="Calibri" w:hAnsi="Calibri"/>
                <w:b/>
                <w:color w:val="A61B1B"/>
                <w:sz w:val="15"/>
              </w:rPr>
              <w:t>Residual (unsorted)</w:t>
            </w:r>
          </w:p>
        </w:tc>
        <w:tc>
          <w:tcPr>
            <w:tcW w:type="dxa" w:w="3061"/>
          </w:tcPr>
          <w:p>
            <w:pPr>
              <w:spacing w:after="0" w:line="240" w:lineRule="auto"/>
              <w:jc w:val="left"/>
            </w:pPr>
            <w:r>
              <w:rPr>
                <w:rFonts w:ascii="Calibri" w:hAnsi="Calibri"/>
                <w:b w:val="0"/>
                <w:sz w:val="15"/>
              </w:rPr>
              <w:t>No override — always Residual</w:t>
            </w:r>
          </w:p>
        </w:tc>
        <w:tc>
          <w:tcPr>
            <w:tcW w:type="dxa" w:w="2154"/>
          </w:tcPr>
          <w:p>
            <w:pPr>
              <w:spacing w:after="0" w:line="240" w:lineRule="auto"/>
              <w:jc w:val="left"/>
            </w:pPr>
            <w:r>
              <w:rPr>
                <w:rFonts w:ascii="Calibri" w:hAnsi="Calibri"/>
                <w:b w:val="0"/>
                <w:sz w:val="15"/>
              </w:rPr>
              <w:t>Health-and-safety decision: never auto-sort hazardous waste</w:t>
            </w:r>
          </w:p>
        </w:tc>
      </w:tr>
      <w:tr>
        <w:trPr>
          <w:cantSplit w:val="true"/>
        </w:trPr>
        <w:tc>
          <w:tcPr>
            <w:tcW w:type="dxa" w:w="2268"/>
            <w:shd w:val="clear" w:color="auto" w:fill="EEF1F7"/>
          </w:tcPr>
          <w:p>
            <w:pPr>
              <w:spacing w:after="0" w:line="240" w:lineRule="auto"/>
              <w:jc w:val="left"/>
            </w:pPr>
            <w:r>
              <w:rPr>
                <w:rFonts w:ascii="Calibri" w:hAnsi="Calibri"/>
                <w:b w:val="0"/>
                <w:sz w:val="15"/>
              </w:rPr>
              <w:t>Any class, confidence &lt; τ</w:t>
            </w:r>
          </w:p>
        </w:tc>
        <w:tc>
          <w:tcPr>
            <w:tcW w:type="dxa" w:w="1928"/>
            <w:shd w:val="clear" w:color="auto" w:fill="EEF1F7"/>
          </w:tcPr>
          <w:p>
            <w:pPr>
              <w:spacing w:after="0" w:line="240" w:lineRule="auto"/>
              <w:jc w:val="left"/>
            </w:pPr>
            <w:r>
              <w:rPr>
                <w:rFonts w:ascii="Calibri" w:hAnsi="Calibri"/>
                <w:b w:val="0"/>
                <w:sz w:val="15"/>
              </w:rPr>
              <w:t>Residual (unsorted)</w:t>
            </w:r>
          </w:p>
        </w:tc>
        <w:tc>
          <w:tcPr>
            <w:tcW w:type="dxa" w:w="3061"/>
            <w:shd w:val="clear" w:color="auto" w:fill="EEF1F7"/>
          </w:tcPr>
          <w:p>
            <w:pPr>
              <w:spacing w:after="0" w:line="240" w:lineRule="auto"/>
              <w:jc w:val="left"/>
            </w:pPr>
            <w:r>
              <w:rPr>
                <w:rFonts w:ascii="Calibri" w:hAnsi="Calibri"/>
                <w:b w:val="0"/>
                <w:sz w:val="15"/>
              </w:rPr>
              <w:t>Sensor vote decides; ties resolve to Residual</w:t>
            </w:r>
          </w:p>
        </w:tc>
        <w:tc>
          <w:tcPr>
            <w:tcW w:type="dxa" w:w="2154"/>
            <w:shd w:val="clear" w:color="auto" w:fill="EEF1F7"/>
          </w:tcPr>
          <w:p>
            <w:pPr>
              <w:spacing w:after="0" w:line="240" w:lineRule="auto"/>
              <w:jc w:val="left"/>
            </w:pPr>
            <w:r>
              <w:rPr>
                <w:rFonts w:ascii="Calibri" w:hAnsi="Calibri"/>
                <w:b w:val="0"/>
                <w:sz w:val="15"/>
              </w:rPr>
              <w:t>Fail-safe: an uncertain item must not contaminate a clean stream</w:t>
            </w:r>
          </w:p>
        </w:tc>
      </w:tr>
    </w:tbl>
    <w:p>
      <w:pPr>
        <w:keepNext/>
        <w:spacing w:before="160" w:after="60"/>
        <w:jc w:val="left"/>
      </w:pPr>
      <w:r>
        <w:rPr>
          <w:rFonts w:ascii="Calibri" w:hAnsi="Calibri"/>
          <w:b/>
          <w:color w:val="1F3864"/>
          <w:sz w:val="18"/>
        </w:rPr>
        <w:t>Table 3.1 — The class-to-compartment mapping. Currently missing from both documents.</w:t>
      </w:r>
    </w:p>
    <w:p>
      <w:pPr>
        <w:spacing w:before="40" w:after="160"/>
        <w:jc w:val="left"/>
      </w:pPr>
      <w:r>
        <w:rPr>
          <w:rFonts w:ascii="Calibri" w:hAnsi="Calibri"/>
          <w:i/>
          <w:color w:val="404040"/>
          <w:sz w:val="16"/>
        </w:rPr>
        <w:t>Two sentences to add under this table: (i) the threshold τ is a tuned parameter and its value is reported in the results; (ii) a Residual outcome is not a failure — it is the designed behaviour for anything the system is not confident about.</w:t>
      </w:r>
    </w:p>
    <w:p>
      <w:pPr>
        <w:keepNext/>
        <w:spacing w:before="200" w:after="80"/>
        <w:jc w:val="left"/>
      </w:pPr>
      <w:r>
        <w:rPr>
          <w:b/>
          <w:color w:val="1F3864"/>
          <w:sz w:val="23"/>
        </w:rPr>
        <w:t>3.4 Interface table — the detail that makes the architecture verifiable</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1360"/>
        <w:gridCol w:w="2608"/>
        <w:gridCol w:w="2494"/>
        <w:gridCol w:w="2948"/>
      </w:tblGrid>
      <w:tr>
        <w:trPr>
          <w:cantSplit w:val="true"/>
          <w:tblHeader w:val="true"/>
        </w:trPr>
        <w:tc>
          <w:tcPr>
            <w:tcW w:type="dxa" w:w="1361"/>
            <w:shd w:val="clear" w:color="auto" w:fill="1F3864"/>
          </w:tcPr>
          <w:p>
            <w:pPr>
              <w:spacing w:after="0" w:line="240" w:lineRule="auto"/>
              <w:jc w:val="left"/>
            </w:pPr>
            <w:r>
              <w:rPr>
                <w:rFonts w:ascii="Calibri" w:hAnsi="Calibri"/>
                <w:b/>
                <w:color w:val="FFFFFF"/>
                <w:sz w:val="15"/>
              </w:rPr>
              <w:t>Signal</w:t>
            </w:r>
          </w:p>
        </w:tc>
        <w:tc>
          <w:tcPr>
            <w:tcW w:type="dxa" w:w="2608"/>
            <w:shd w:val="clear" w:color="auto" w:fill="1F3864"/>
          </w:tcPr>
          <w:p>
            <w:pPr>
              <w:spacing w:after="0" w:line="240" w:lineRule="auto"/>
              <w:jc w:val="left"/>
            </w:pPr>
            <w:r>
              <w:rPr>
                <w:rFonts w:ascii="Calibri" w:hAnsi="Calibri"/>
                <w:b/>
                <w:color w:val="FFFFFF"/>
                <w:sz w:val="15"/>
              </w:rPr>
              <w:t>From → To</w:t>
            </w:r>
          </w:p>
        </w:tc>
        <w:tc>
          <w:tcPr>
            <w:tcW w:type="dxa" w:w="2494"/>
            <w:shd w:val="clear" w:color="auto" w:fill="1F3864"/>
          </w:tcPr>
          <w:p>
            <w:pPr>
              <w:spacing w:after="0" w:line="240" w:lineRule="auto"/>
              <w:jc w:val="left"/>
            </w:pPr>
            <w:r>
              <w:rPr>
                <w:rFonts w:ascii="Calibri" w:hAnsi="Calibri"/>
                <w:b/>
                <w:color w:val="FFFFFF"/>
                <w:sz w:val="15"/>
              </w:rPr>
              <w:t>Physical interface</w:t>
            </w:r>
          </w:p>
        </w:tc>
        <w:tc>
          <w:tcPr>
            <w:tcW w:type="dxa" w:w="2948"/>
            <w:shd w:val="clear" w:color="auto" w:fill="1F3864"/>
          </w:tcPr>
          <w:p>
            <w:pPr>
              <w:spacing w:after="0" w:line="240" w:lineRule="auto"/>
              <w:jc w:val="left"/>
            </w:pPr>
            <w:r>
              <w:rPr>
                <w:rFonts w:ascii="Calibri" w:hAnsi="Calibri"/>
                <w:b/>
                <w:color w:val="FFFFFF"/>
                <w:sz w:val="15"/>
              </w:rPr>
              <w:t>Rate / note</w:t>
            </w:r>
          </w:p>
        </w:tc>
      </w:tr>
      <w:tr>
        <w:trPr>
          <w:cantSplit w:val="true"/>
        </w:trPr>
        <w:tc>
          <w:tcPr>
            <w:tcW w:type="dxa" w:w="1361"/>
          </w:tcPr>
          <w:p>
            <w:pPr>
              <w:spacing w:after="0" w:line="240" w:lineRule="auto"/>
              <w:jc w:val="left"/>
            </w:pPr>
            <w:r>
              <w:rPr>
                <w:rFonts w:ascii="Calibri" w:hAnsi="Calibri"/>
                <w:b w:val="0"/>
                <w:sz w:val="15"/>
              </w:rPr>
              <w:t>Image</w:t>
            </w:r>
          </w:p>
        </w:tc>
        <w:tc>
          <w:tcPr>
            <w:tcW w:type="dxa" w:w="2608"/>
          </w:tcPr>
          <w:p>
            <w:pPr>
              <w:spacing w:after="0" w:line="240" w:lineRule="auto"/>
              <w:jc w:val="left"/>
            </w:pPr>
            <w:r>
              <w:rPr>
                <w:rFonts w:ascii="Calibri" w:hAnsi="Calibri"/>
                <w:b w:val="0"/>
                <w:sz w:val="15"/>
              </w:rPr>
              <w:t>OV5647 → Pi 4</w:t>
            </w:r>
          </w:p>
        </w:tc>
        <w:tc>
          <w:tcPr>
            <w:tcW w:type="dxa" w:w="2494"/>
          </w:tcPr>
          <w:p>
            <w:pPr>
              <w:spacing w:after="0" w:line="240" w:lineRule="auto"/>
              <w:jc w:val="left"/>
            </w:pPr>
            <w:r>
              <w:rPr>
                <w:rFonts w:ascii="Calibri" w:hAnsi="Calibri"/>
                <w:b w:val="0"/>
                <w:sz w:val="15"/>
              </w:rPr>
              <w:t>MIPI-CSI 2-lane</w:t>
            </w:r>
          </w:p>
        </w:tc>
        <w:tc>
          <w:tcPr>
            <w:tcW w:type="dxa" w:w="2948"/>
          </w:tcPr>
          <w:p>
            <w:pPr>
              <w:spacing w:after="0" w:line="240" w:lineRule="auto"/>
              <w:jc w:val="left"/>
            </w:pPr>
            <w:r>
              <w:rPr>
                <w:rFonts w:ascii="Calibri" w:hAnsi="Calibri"/>
                <w:b w:val="0"/>
                <w:sz w:val="15"/>
              </w:rPr>
              <w:t>640×480 preview, 224×224 inference crop</w:t>
            </w:r>
          </w:p>
        </w:tc>
      </w:tr>
      <w:tr>
        <w:trPr>
          <w:cantSplit w:val="true"/>
        </w:trPr>
        <w:tc>
          <w:tcPr>
            <w:tcW w:type="dxa" w:w="1361"/>
            <w:shd w:val="clear" w:color="auto" w:fill="EEF1F7"/>
          </w:tcPr>
          <w:p>
            <w:pPr>
              <w:spacing w:after="0" w:line="240" w:lineRule="auto"/>
              <w:jc w:val="left"/>
            </w:pPr>
            <w:r>
              <w:rPr>
                <w:rFonts w:ascii="Calibri" w:hAnsi="Calibri"/>
                <w:b w:val="0"/>
                <w:sz w:val="15"/>
              </w:rPr>
              <w:t>Sensor analogue</w:t>
            </w:r>
          </w:p>
        </w:tc>
        <w:tc>
          <w:tcPr>
            <w:tcW w:type="dxa" w:w="2608"/>
            <w:shd w:val="clear" w:color="auto" w:fill="EEF1F7"/>
          </w:tcPr>
          <w:p>
            <w:pPr>
              <w:spacing w:after="0" w:line="240" w:lineRule="auto"/>
              <w:jc w:val="left"/>
            </w:pPr>
            <w:r>
              <w:rPr>
                <w:rFonts w:ascii="Calibri" w:hAnsi="Calibri"/>
                <w:b w:val="0"/>
                <w:sz w:val="15"/>
              </w:rPr>
              <w:t>Moisture, MQ-135, load cell → Pi 4</w:t>
            </w:r>
          </w:p>
        </w:tc>
        <w:tc>
          <w:tcPr>
            <w:tcW w:type="dxa" w:w="2494"/>
            <w:shd w:val="clear" w:color="auto" w:fill="EEF1F7"/>
          </w:tcPr>
          <w:p>
            <w:pPr>
              <w:spacing w:after="0" w:line="240" w:lineRule="auto"/>
              <w:jc w:val="left"/>
            </w:pPr>
            <w:r>
              <w:rPr>
                <w:rFonts w:ascii="Calibri" w:hAnsi="Calibri"/>
                <w:b w:val="0"/>
                <w:sz w:val="15"/>
              </w:rPr>
              <w:t>ADS1115 over I²C (0x48)</w:t>
            </w:r>
          </w:p>
        </w:tc>
        <w:tc>
          <w:tcPr>
            <w:tcW w:type="dxa" w:w="2948"/>
            <w:shd w:val="clear" w:color="auto" w:fill="EEF1F7"/>
          </w:tcPr>
          <w:p>
            <w:pPr>
              <w:spacing w:after="0" w:line="240" w:lineRule="auto"/>
              <w:jc w:val="left"/>
            </w:pPr>
            <w:r>
              <w:rPr>
                <w:rFonts w:ascii="Calibri" w:hAnsi="Calibri"/>
                <w:b w:val="0"/>
                <w:sz w:val="15"/>
              </w:rPr>
              <w:t>16-bit, 10–100 SPS depending on channel</w:t>
            </w:r>
          </w:p>
        </w:tc>
      </w:tr>
      <w:tr>
        <w:trPr>
          <w:cantSplit w:val="true"/>
        </w:trPr>
        <w:tc>
          <w:tcPr>
            <w:tcW w:type="dxa" w:w="1361"/>
          </w:tcPr>
          <w:p>
            <w:pPr>
              <w:spacing w:after="0" w:line="240" w:lineRule="auto"/>
              <w:jc w:val="left"/>
            </w:pPr>
            <w:r>
              <w:rPr>
                <w:rFonts w:ascii="Calibri" w:hAnsi="Calibri"/>
                <w:b w:val="0"/>
                <w:sz w:val="15"/>
              </w:rPr>
              <w:t>Proximity / metal</w:t>
            </w:r>
          </w:p>
        </w:tc>
        <w:tc>
          <w:tcPr>
            <w:tcW w:type="dxa" w:w="2608"/>
          </w:tcPr>
          <w:p>
            <w:pPr>
              <w:spacing w:after="0" w:line="240" w:lineRule="auto"/>
              <w:jc w:val="left"/>
            </w:pPr>
            <w:r>
              <w:rPr>
                <w:rFonts w:ascii="Calibri" w:hAnsi="Calibri"/>
                <w:b w:val="0"/>
                <w:sz w:val="15"/>
              </w:rPr>
              <w:t>Capacitive, inductive → Pi 4</w:t>
            </w:r>
          </w:p>
        </w:tc>
        <w:tc>
          <w:tcPr>
            <w:tcW w:type="dxa" w:w="2494"/>
          </w:tcPr>
          <w:p>
            <w:pPr>
              <w:spacing w:after="0" w:line="240" w:lineRule="auto"/>
              <w:jc w:val="left"/>
            </w:pPr>
            <w:r>
              <w:rPr>
                <w:rFonts w:ascii="Calibri" w:hAnsi="Calibri"/>
                <w:b w:val="0"/>
                <w:sz w:val="15"/>
              </w:rPr>
              <w:t>GPIO digital inputs</w:t>
            </w:r>
          </w:p>
        </w:tc>
        <w:tc>
          <w:tcPr>
            <w:tcW w:type="dxa" w:w="2948"/>
          </w:tcPr>
          <w:p>
            <w:pPr>
              <w:spacing w:after="0" w:line="240" w:lineRule="auto"/>
              <w:jc w:val="left"/>
            </w:pPr>
            <w:r>
              <w:rPr>
                <w:rFonts w:ascii="Calibri" w:hAnsi="Calibri"/>
                <w:b w:val="0"/>
                <w:sz w:val="15"/>
              </w:rPr>
              <w:t>Debounced 20 ms in firmware</w:t>
            </w:r>
          </w:p>
        </w:tc>
      </w:tr>
      <w:tr>
        <w:trPr>
          <w:cantSplit w:val="true"/>
        </w:trPr>
        <w:tc>
          <w:tcPr>
            <w:tcW w:type="dxa" w:w="1361"/>
            <w:shd w:val="clear" w:color="auto" w:fill="EEF1F7"/>
          </w:tcPr>
          <w:p>
            <w:pPr>
              <w:spacing w:after="0" w:line="240" w:lineRule="auto"/>
              <w:jc w:val="left"/>
            </w:pPr>
            <w:r>
              <w:rPr>
                <w:rFonts w:ascii="Calibri" w:hAnsi="Calibri"/>
                <w:b w:val="0"/>
                <w:sz w:val="15"/>
              </w:rPr>
              <w:t>Distance</w:t>
            </w:r>
          </w:p>
        </w:tc>
        <w:tc>
          <w:tcPr>
            <w:tcW w:type="dxa" w:w="2608"/>
            <w:shd w:val="clear" w:color="auto" w:fill="EEF1F7"/>
          </w:tcPr>
          <w:p>
            <w:pPr>
              <w:spacing w:after="0" w:line="240" w:lineRule="auto"/>
              <w:jc w:val="left"/>
            </w:pPr>
            <w:r>
              <w:rPr>
                <w:rFonts w:ascii="Calibri" w:hAnsi="Calibri"/>
                <w:b w:val="0"/>
                <w:sz w:val="15"/>
              </w:rPr>
              <w:t>VL53L0X → Pi 4</w:t>
            </w:r>
          </w:p>
        </w:tc>
        <w:tc>
          <w:tcPr>
            <w:tcW w:type="dxa" w:w="2494"/>
            <w:shd w:val="clear" w:color="auto" w:fill="EEF1F7"/>
          </w:tcPr>
          <w:p>
            <w:pPr>
              <w:spacing w:after="0" w:line="240" w:lineRule="auto"/>
              <w:jc w:val="left"/>
            </w:pPr>
            <w:r>
              <w:rPr>
                <w:rFonts w:ascii="Calibri" w:hAnsi="Calibri"/>
                <w:b w:val="0"/>
                <w:sz w:val="15"/>
              </w:rPr>
              <w:t>I²C (0x29)</w:t>
            </w:r>
          </w:p>
        </w:tc>
        <w:tc>
          <w:tcPr>
            <w:tcW w:type="dxa" w:w="2948"/>
            <w:shd w:val="clear" w:color="auto" w:fill="EEF1F7"/>
          </w:tcPr>
          <w:p>
            <w:pPr>
              <w:spacing w:after="0" w:line="240" w:lineRule="auto"/>
              <w:jc w:val="left"/>
            </w:pPr>
            <w:r>
              <w:rPr>
                <w:rFonts w:ascii="Calibri" w:hAnsi="Calibri"/>
                <w:b w:val="0"/>
                <w:sz w:val="15"/>
              </w:rPr>
              <w:t>30–50 ms per ranging cycle</w:t>
            </w:r>
          </w:p>
        </w:tc>
      </w:tr>
      <w:tr>
        <w:trPr>
          <w:cantSplit w:val="true"/>
        </w:trPr>
        <w:tc>
          <w:tcPr>
            <w:tcW w:type="dxa" w:w="1361"/>
          </w:tcPr>
          <w:p>
            <w:pPr>
              <w:spacing w:after="0" w:line="240" w:lineRule="auto"/>
              <w:jc w:val="left"/>
            </w:pPr>
            <w:r>
              <w:rPr>
                <w:rFonts w:ascii="Calibri" w:hAnsi="Calibri"/>
                <w:b w:val="0"/>
                <w:sz w:val="15"/>
              </w:rPr>
              <w:t>Motor</w:t>
            </w:r>
          </w:p>
        </w:tc>
        <w:tc>
          <w:tcPr>
            <w:tcW w:type="dxa" w:w="2608"/>
          </w:tcPr>
          <w:p>
            <w:pPr>
              <w:spacing w:after="0" w:line="240" w:lineRule="auto"/>
              <w:jc w:val="left"/>
            </w:pPr>
            <w:r>
              <w:rPr>
                <w:rFonts w:ascii="Calibri" w:hAnsi="Calibri"/>
                <w:b w:val="0"/>
                <w:sz w:val="15"/>
              </w:rPr>
              <w:t>Pi 4 → DRV8825</w:t>
            </w:r>
          </w:p>
        </w:tc>
        <w:tc>
          <w:tcPr>
            <w:tcW w:type="dxa" w:w="2494"/>
          </w:tcPr>
          <w:p>
            <w:pPr>
              <w:spacing w:after="0" w:line="240" w:lineRule="auto"/>
              <w:jc w:val="left"/>
            </w:pPr>
            <w:r>
              <w:rPr>
                <w:rFonts w:ascii="Calibri" w:hAnsi="Calibri"/>
                <w:b w:val="0"/>
                <w:sz w:val="15"/>
              </w:rPr>
              <w:t>GPIO STEP / DIR / EN + PWM</w:t>
            </w:r>
          </w:p>
        </w:tc>
        <w:tc>
          <w:tcPr>
            <w:tcW w:type="dxa" w:w="2948"/>
          </w:tcPr>
          <w:p>
            <w:pPr>
              <w:spacing w:after="0" w:line="240" w:lineRule="auto"/>
              <w:jc w:val="left"/>
            </w:pPr>
            <w:r>
              <w:rPr>
                <w:rFonts w:ascii="Calibri" w:hAnsi="Calibri"/>
                <w:b w:val="0"/>
                <w:sz w:val="15"/>
              </w:rPr>
              <w:t>STEP at 200–1,600 Hz depending on microstep</w:t>
            </w:r>
          </w:p>
        </w:tc>
      </w:tr>
      <w:tr>
        <w:trPr>
          <w:cantSplit w:val="true"/>
        </w:trPr>
        <w:tc>
          <w:tcPr>
            <w:tcW w:type="dxa" w:w="1361"/>
            <w:shd w:val="clear" w:color="auto" w:fill="EEF1F7"/>
          </w:tcPr>
          <w:p>
            <w:pPr>
              <w:spacing w:after="0" w:line="240" w:lineRule="auto"/>
              <w:jc w:val="left"/>
            </w:pPr>
            <w:r>
              <w:rPr>
                <w:rFonts w:ascii="Calibri" w:hAnsi="Calibri"/>
                <w:b w:val="0"/>
                <w:sz w:val="15"/>
              </w:rPr>
              <w:t>Position</w:t>
            </w:r>
          </w:p>
        </w:tc>
        <w:tc>
          <w:tcPr>
            <w:tcW w:type="dxa" w:w="2608"/>
            <w:shd w:val="clear" w:color="auto" w:fill="EEF1F7"/>
          </w:tcPr>
          <w:p>
            <w:pPr>
              <w:spacing w:after="0" w:line="240" w:lineRule="auto"/>
              <w:jc w:val="left"/>
            </w:pPr>
            <w:r>
              <w:rPr>
                <w:rFonts w:ascii="Calibri" w:hAnsi="Calibri"/>
                <w:b w:val="0"/>
                <w:sz w:val="15"/>
              </w:rPr>
              <w:t>Index sensor → Pi 4</w:t>
            </w:r>
          </w:p>
        </w:tc>
        <w:tc>
          <w:tcPr>
            <w:tcW w:type="dxa" w:w="2494"/>
            <w:shd w:val="clear" w:color="auto" w:fill="EEF1F7"/>
          </w:tcPr>
          <w:p>
            <w:pPr>
              <w:spacing w:after="0" w:line="240" w:lineRule="auto"/>
              <w:jc w:val="left"/>
            </w:pPr>
            <w:r>
              <w:rPr>
                <w:rFonts w:ascii="Calibri" w:hAnsi="Calibri"/>
                <w:b w:val="0"/>
                <w:sz w:val="15"/>
              </w:rPr>
              <w:t>GPIO interrupt</w:t>
            </w:r>
          </w:p>
        </w:tc>
        <w:tc>
          <w:tcPr>
            <w:tcW w:type="dxa" w:w="2948"/>
            <w:shd w:val="clear" w:color="auto" w:fill="EEF1F7"/>
          </w:tcPr>
          <w:p>
            <w:pPr>
              <w:spacing w:after="0" w:line="240" w:lineRule="auto"/>
              <w:jc w:val="left"/>
            </w:pPr>
            <w:r>
              <w:rPr>
                <w:rFonts w:ascii="Calibri" w:hAnsi="Calibri"/>
                <w:b w:val="0"/>
                <w:sz w:val="15"/>
              </w:rPr>
              <w:t>Edge-triggered; position counter in firmware</w:t>
            </w:r>
          </w:p>
        </w:tc>
      </w:tr>
      <w:tr>
        <w:trPr>
          <w:cantSplit w:val="true"/>
        </w:trPr>
        <w:tc>
          <w:tcPr>
            <w:tcW w:type="dxa" w:w="1361"/>
          </w:tcPr>
          <w:p>
            <w:pPr>
              <w:spacing w:after="0" w:line="240" w:lineRule="auto"/>
              <w:jc w:val="left"/>
            </w:pPr>
            <w:r>
              <w:rPr>
                <w:rFonts w:ascii="Calibri" w:hAnsi="Calibri"/>
                <w:b w:val="0"/>
                <w:sz w:val="15"/>
              </w:rPr>
              <w:t>Power — logic</w:t>
            </w:r>
          </w:p>
        </w:tc>
        <w:tc>
          <w:tcPr>
            <w:tcW w:type="dxa" w:w="2608"/>
          </w:tcPr>
          <w:p>
            <w:pPr>
              <w:spacing w:after="0" w:line="240" w:lineRule="auto"/>
              <w:jc w:val="left"/>
            </w:pPr>
            <w:r>
              <w:rPr>
                <w:rFonts w:ascii="Calibri" w:hAnsi="Calibri"/>
                <w:b w:val="0"/>
                <w:sz w:val="15"/>
              </w:rPr>
              <w:t>Buck → Pi 4</w:t>
            </w:r>
          </w:p>
        </w:tc>
        <w:tc>
          <w:tcPr>
            <w:tcW w:type="dxa" w:w="2494"/>
          </w:tcPr>
          <w:p>
            <w:pPr>
              <w:spacing w:after="0" w:line="240" w:lineRule="auto"/>
              <w:jc w:val="left"/>
            </w:pPr>
            <w:r>
              <w:rPr>
                <w:rFonts w:ascii="Calibri" w:hAnsi="Calibri"/>
                <w:b w:val="0"/>
                <w:sz w:val="15"/>
              </w:rPr>
              <w:t>5 V, 5 A</w:t>
            </w:r>
          </w:p>
        </w:tc>
        <w:tc>
          <w:tcPr>
            <w:tcW w:type="dxa" w:w="2948"/>
          </w:tcPr>
          <w:p>
            <w:pPr>
              <w:spacing w:after="0" w:line="240" w:lineRule="auto"/>
              <w:jc w:val="left"/>
            </w:pPr>
            <w:r>
              <w:rPr>
                <w:rFonts w:ascii="Calibri" w:hAnsi="Calibri"/>
                <w:b w:val="0"/>
                <w:sz w:val="15"/>
              </w:rPr>
              <w:t>≈90% efficiency; ripple under 50 mV</w:t>
            </w:r>
          </w:p>
        </w:tc>
      </w:tr>
      <w:tr>
        <w:trPr>
          <w:cantSplit w:val="true"/>
        </w:trPr>
        <w:tc>
          <w:tcPr>
            <w:tcW w:type="dxa" w:w="1361"/>
            <w:shd w:val="clear" w:color="auto" w:fill="EEF1F7"/>
          </w:tcPr>
          <w:p>
            <w:pPr>
              <w:spacing w:after="0" w:line="240" w:lineRule="auto"/>
              <w:jc w:val="left"/>
            </w:pPr>
            <w:r>
              <w:rPr>
                <w:rFonts w:ascii="Calibri" w:hAnsi="Calibri"/>
                <w:b w:val="0"/>
                <w:sz w:val="15"/>
              </w:rPr>
              <w:t>Power — motor</w:t>
            </w:r>
          </w:p>
        </w:tc>
        <w:tc>
          <w:tcPr>
            <w:tcW w:type="dxa" w:w="2608"/>
            <w:shd w:val="clear" w:color="auto" w:fill="EEF1F7"/>
          </w:tcPr>
          <w:p>
            <w:pPr>
              <w:spacing w:after="0" w:line="240" w:lineRule="auto"/>
              <w:jc w:val="left"/>
            </w:pPr>
            <w:r>
              <w:rPr>
                <w:rFonts w:ascii="Calibri" w:hAnsi="Calibri"/>
                <w:b w:val="0"/>
                <w:sz w:val="15"/>
              </w:rPr>
              <w:t>Battery → DRV8825</w:t>
            </w:r>
          </w:p>
        </w:tc>
        <w:tc>
          <w:tcPr>
            <w:tcW w:type="dxa" w:w="2494"/>
            <w:shd w:val="clear" w:color="auto" w:fill="EEF1F7"/>
          </w:tcPr>
          <w:p>
            <w:pPr>
              <w:spacing w:after="0" w:line="240" w:lineRule="auto"/>
              <w:jc w:val="left"/>
            </w:pPr>
            <w:r>
              <w:rPr>
                <w:rFonts w:ascii="Calibri" w:hAnsi="Calibri"/>
                <w:b w:val="0"/>
                <w:sz w:val="15"/>
              </w:rPr>
              <w:t>12 V direct</w:t>
            </w:r>
          </w:p>
        </w:tc>
        <w:tc>
          <w:tcPr>
            <w:tcW w:type="dxa" w:w="2948"/>
            <w:shd w:val="clear" w:color="auto" w:fill="EEF1F7"/>
          </w:tcPr>
          <w:p>
            <w:pPr>
              <w:spacing w:after="0" w:line="240" w:lineRule="auto"/>
              <w:jc w:val="left"/>
            </w:pPr>
            <w:r>
              <w:rPr>
                <w:rFonts w:ascii="Calibri" w:hAnsi="Calibri"/>
                <w:b w:val="0"/>
                <w:sz w:val="15"/>
              </w:rPr>
              <w:t>Common ground with logic; separate rail</w:t>
            </w:r>
          </w:p>
        </w:tc>
      </w:tr>
      <w:tr>
        <w:trPr>
          <w:cantSplit w:val="true"/>
        </w:trPr>
        <w:tc>
          <w:tcPr>
            <w:tcW w:type="dxa" w:w="1361"/>
          </w:tcPr>
          <w:p>
            <w:pPr>
              <w:spacing w:after="0" w:line="240" w:lineRule="auto"/>
              <w:jc w:val="left"/>
            </w:pPr>
            <w:r>
              <w:rPr>
                <w:rFonts w:ascii="Calibri" w:hAnsi="Calibri"/>
                <w:b w:val="0"/>
                <w:sz w:val="15"/>
              </w:rPr>
              <w:t>Telemetry</w:t>
            </w:r>
          </w:p>
        </w:tc>
        <w:tc>
          <w:tcPr>
            <w:tcW w:type="dxa" w:w="2608"/>
          </w:tcPr>
          <w:p>
            <w:pPr>
              <w:spacing w:after="0" w:line="240" w:lineRule="auto"/>
              <w:jc w:val="left"/>
            </w:pPr>
            <w:r>
              <w:rPr>
                <w:rFonts w:ascii="Calibri" w:hAnsi="Calibri"/>
                <w:b w:val="0"/>
                <w:sz w:val="15"/>
              </w:rPr>
              <w:t>Pi 4 → broker</w:t>
            </w:r>
          </w:p>
        </w:tc>
        <w:tc>
          <w:tcPr>
            <w:tcW w:type="dxa" w:w="2494"/>
          </w:tcPr>
          <w:p>
            <w:pPr>
              <w:spacing w:after="0" w:line="240" w:lineRule="auto"/>
              <w:jc w:val="left"/>
            </w:pPr>
            <w:r>
              <w:rPr>
                <w:rFonts w:ascii="Calibri" w:hAnsi="Calibri"/>
                <w:b w:val="0"/>
                <w:sz w:val="15"/>
              </w:rPr>
              <w:t>Wi-Fi, MQTT over TCP</w:t>
            </w:r>
          </w:p>
        </w:tc>
        <w:tc>
          <w:tcPr>
            <w:tcW w:type="dxa" w:w="2948"/>
          </w:tcPr>
          <w:p>
            <w:pPr>
              <w:spacing w:after="0" w:line="240" w:lineRule="auto"/>
              <w:jc w:val="left"/>
            </w:pPr>
            <w:r>
              <w:rPr>
                <w:rFonts w:ascii="Calibri" w:hAnsi="Calibri"/>
                <w:b w:val="0"/>
                <w:sz w:val="15"/>
              </w:rPr>
              <w:t>Publish on state change + 60 s heartbeat</w:t>
            </w:r>
          </w:p>
        </w:tc>
      </w:tr>
    </w:tbl>
    <w:p>
      <w:pPr>
        <w:spacing w:before="40" w:after="160"/>
        <w:jc w:val="left"/>
      </w:pPr>
      <w:r>
        <w:rPr>
          <w:rFonts w:ascii="Calibri" w:hAnsi="Calibri"/>
          <w:i/>
          <w:color w:val="404040"/>
          <w:sz w:val="16"/>
        </w:rPr>
        <w:t>Every row here is a fact about your build that no reviewer can argue with. That is exactly the kind of content the new report needs more of.</w:t>
      </w:r>
    </w:p>
    <w:p>
      <w:r>
        <w:br w:type="page"/>
      </w:r>
    </w:p>
    <w:p>
      <w:pPr>
        <w:keepNext/>
        <w:spacing w:before="200" w:after="120"/>
        <w:jc w:val="left"/>
        <w:pBdr>
          <w:bottom w:val="single" w:sz="8" w:space="2" w:color="1F3864"/>
        </w:pBdr>
      </w:pPr>
      <w:r>
        <w:rPr>
          <w:b/>
          <w:color w:val="1F3864"/>
          <w:sz w:val="26"/>
        </w:rPr>
        <w:t>4. GEOMETRY: THE NUMBERS TO DRAW</w:t>
      </w:r>
    </w:p>
    <w:p>
      <w:pPr>
        <w:spacing w:after="120"/>
        <w:ind w:left="0"/>
        <w:jc w:val="both"/>
      </w:pPr>
      <w:r>
        <w:rPr>
          <w:b w:val="0"/>
          <w:i w:val="0"/>
          <w:sz w:val="22"/>
        </w:rPr>
        <w:t>The dimensions in the old documents are correct but never assembled into a layout, which is why the 2.4 mm clearance problem went unnoticed. This is the layout they imply. Put it in the drawing and the report gains a level of detail that is unusual at this stage.</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2608"/>
        <w:gridCol w:w="2381"/>
        <w:gridCol w:w="4422"/>
      </w:tblGrid>
      <w:tr>
        <w:trPr>
          <w:cantSplit w:val="true"/>
          <w:tblHeader w:val="true"/>
        </w:trPr>
        <w:tc>
          <w:tcPr>
            <w:tcW w:type="dxa" w:w="2608"/>
            <w:shd w:val="clear" w:color="auto" w:fill="1F3864"/>
          </w:tcPr>
          <w:p>
            <w:pPr>
              <w:spacing w:after="0" w:line="240" w:lineRule="auto"/>
              <w:jc w:val="left"/>
            </w:pPr>
            <w:r>
              <w:rPr>
                <w:rFonts w:ascii="Calibri" w:hAnsi="Calibri"/>
                <w:b/>
                <w:color w:val="FFFFFF"/>
                <w:sz w:val="15"/>
              </w:rPr>
              <w:t>Dimension</w:t>
            </w:r>
          </w:p>
        </w:tc>
        <w:tc>
          <w:tcPr>
            <w:tcW w:type="dxa" w:w="2381"/>
            <w:shd w:val="clear" w:color="auto" w:fill="1F3864"/>
          </w:tcPr>
          <w:p>
            <w:pPr>
              <w:spacing w:after="0" w:line="240" w:lineRule="auto"/>
              <w:jc w:val="left"/>
            </w:pPr>
            <w:r>
              <w:rPr>
                <w:rFonts w:ascii="Calibri" w:hAnsi="Calibri"/>
                <w:b/>
                <w:color w:val="FFFFFF"/>
                <w:sz w:val="15"/>
              </w:rPr>
              <w:t>Value</w:t>
            </w:r>
          </w:p>
        </w:tc>
        <w:tc>
          <w:tcPr>
            <w:tcW w:type="dxa" w:w="4422"/>
            <w:shd w:val="clear" w:color="auto" w:fill="1F3864"/>
          </w:tcPr>
          <w:p>
            <w:pPr>
              <w:spacing w:after="0" w:line="240" w:lineRule="auto"/>
              <w:jc w:val="left"/>
            </w:pPr>
            <w:r>
              <w:rPr>
                <w:rFonts w:ascii="Calibri" w:hAnsi="Calibri"/>
                <w:b/>
                <w:color w:val="FFFFFF"/>
                <w:sz w:val="15"/>
              </w:rPr>
              <w:t>Derivation / note</w:t>
            </w:r>
          </w:p>
        </w:tc>
      </w:tr>
      <w:tr>
        <w:trPr>
          <w:cantSplit w:val="true"/>
        </w:trPr>
        <w:tc>
          <w:tcPr>
            <w:tcW w:type="dxa" w:w="2608"/>
          </w:tcPr>
          <w:p>
            <w:pPr>
              <w:spacing w:after="0" w:line="240" w:lineRule="auto"/>
              <w:jc w:val="left"/>
            </w:pPr>
            <w:r>
              <w:rPr>
                <w:rFonts w:ascii="Calibri" w:hAnsi="Calibri"/>
                <w:b w:val="0"/>
                <w:sz w:val="15"/>
              </w:rPr>
              <w:t>Overall height</w:t>
            </w:r>
          </w:p>
        </w:tc>
        <w:tc>
          <w:tcPr>
            <w:tcW w:type="dxa" w:w="2381"/>
          </w:tcPr>
          <w:p>
            <w:pPr>
              <w:spacing w:after="0" w:line="240" w:lineRule="auto"/>
              <w:jc w:val="left"/>
            </w:pPr>
            <w:r>
              <w:rPr>
                <w:rFonts w:ascii="Calibri" w:hAnsi="Calibri"/>
                <w:b w:val="0"/>
                <w:sz w:val="15"/>
              </w:rPr>
              <w:t>750 mm</w:t>
            </w:r>
          </w:p>
        </w:tc>
        <w:tc>
          <w:tcPr>
            <w:tcW w:type="dxa" w:w="4422"/>
          </w:tcPr>
          <w:p>
            <w:pPr>
              <w:spacing w:after="0" w:line="240" w:lineRule="auto"/>
              <w:jc w:val="left"/>
            </w:pPr>
            <w:r>
              <w:rPr>
                <w:rFonts w:ascii="Calibri" w:hAnsi="Calibri"/>
                <w:b w:val="0"/>
                <w:sz w:val="15"/>
              </w:rPr>
              <w:t>As stated in both documents</w:t>
            </w:r>
          </w:p>
        </w:tc>
      </w:tr>
      <w:tr>
        <w:trPr>
          <w:cantSplit w:val="true"/>
        </w:trPr>
        <w:tc>
          <w:tcPr>
            <w:tcW w:type="dxa" w:w="2608"/>
            <w:shd w:val="clear" w:color="auto" w:fill="EEF1F7"/>
          </w:tcPr>
          <w:p>
            <w:pPr>
              <w:spacing w:after="0" w:line="240" w:lineRule="auto"/>
              <w:jc w:val="left"/>
            </w:pPr>
            <w:r>
              <w:rPr>
                <w:rFonts w:ascii="Calibri" w:hAnsi="Calibri"/>
                <w:b w:val="0"/>
                <w:sz w:val="15"/>
              </w:rPr>
              <w:t>Overall width</w:t>
            </w:r>
          </w:p>
        </w:tc>
        <w:tc>
          <w:tcPr>
            <w:tcW w:type="dxa" w:w="2381"/>
            <w:shd w:val="clear" w:color="auto" w:fill="EEF1F7"/>
          </w:tcPr>
          <w:p>
            <w:pPr>
              <w:spacing w:after="0" w:line="240" w:lineRule="auto"/>
              <w:jc w:val="left"/>
            </w:pPr>
            <w:r>
              <w:rPr>
                <w:rFonts w:ascii="Calibri" w:hAnsi="Calibri"/>
                <w:b w:val="0"/>
                <w:sz w:val="15"/>
              </w:rPr>
              <w:t>450 mm</w:t>
            </w:r>
          </w:p>
        </w:tc>
        <w:tc>
          <w:tcPr>
            <w:tcW w:type="dxa" w:w="4422"/>
            <w:shd w:val="clear" w:color="auto" w:fill="EEF1F7"/>
          </w:tcPr>
          <w:p>
            <w:pPr>
              <w:spacing w:after="0" w:line="240" w:lineRule="auto"/>
              <w:jc w:val="left"/>
            </w:pPr>
            <w:r>
              <w:rPr>
                <w:rFonts w:ascii="Calibri" w:hAnsi="Calibri"/>
                <w:b w:val="0"/>
                <w:sz w:val="15"/>
              </w:rPr>
              <w:t>As stated</w:t>
            </w:r>
          </w:p>
        </w:tc>
      </w:tr>
      <w:tr>
        <w:trPr>
          <w:cantSplit w:val="true"/>
        </w:trPr>
        <w:tc>
          <w:tcPr>
            <w:tcW w:type="dxa" w:w="2608"/>
          </w:tcPr>
          <w:p>
            <w:pPr>
              <w:spacing w:after="0" w:line="240" w:lineRule="auto"/>
              <w:jc w:val="left"/>
            </w:pPr>
            <w:r>
              <w:rPr>
                <w:rFonts w:ascii="Calibri" w:hAnsi="Calibri"/>
                <w:b w:val="0"/>
                <w:sz w:val="15"/>
              </w:rPr>
              <w:t>Compartment</w:t>
            </w:r>
          </w:p>
        </w:tc>
        <w:tc>
          <w:tcPr>
            <w:tcW w:type="dxa" w:w="2381"/>
          </w:tcPr>
          <w:p>
            <w:pPr>
              <w:spacing w:after="0" w:line="240" w:lineRule="auto"/>
              <w:jc w:val="left"/>
            </w:pPr>
            <w:r>
              <w:rPr>
                <w:rFonts w:ascii="Calibri" w:hAnsi="Calibri"/>
                <w:b w:val="0"/>
                <w:sz w:val="15"/>
              </w:rPr>
              <w:t>4 × Ø156 × 370 mm</w:t>
            </w:r>
          </w:p>
        </w:tc>
        <w:tc>
          <w:tcPr>
            <w:tcW w:type="dxa" w:w="4422"/>
          </w:tcPr>
          <w:p>
            <w:pPr>
              <w:spacing w:after="0" w:line="240" w:lineRule="auto"/>
              <w:jc w:val="left"/>
            </w:pPr>
            <w:r>
              <w:rPr>
                <w:rFonts w:ascii="Calibri" w:hAnsi="Calibri"/>
                <w:b w:val="0"/>
                <w:sz w:val="15"/>
              </w:rPr>
              <w:t>As stated; 370 × 2 = 740 mm inside a 750 mm body is tight — check the 2×2 stack</w:t>
            </w:r>
          </w:p>
        </w:tc>
      </w:tr>
      <w:tr>
        <w:trPr>
          <w:cantSplit w:val="true"/>
        </w:trPr>
        <w:tc>
          <w:tcPr>
            <w:tcW w:type="dxa" w:w="2608"/>
            <w:shd w:val="clear" w:color="auto" w:fill="EEF1F7"/>
          </w:tcPr>
          <w:p>
            <w:pPr>
              <w:spacing w:after="0" w:line="240" w:lineRule="auto"/>
              <w:jc w:val="left"/>
            </w:pPr>
            <w:r>
              <w:rPr>
                <w:rFonts w:ascii="Calibri" w:hAnsi="Calibri"/>
                <w:b w:val="0"/>
                <w:sz w:val="15"/>
              </w:rPr>
              <w:t>Compartment arrangement</w:t>
            </w:r>
          </w:p>
        </w:tc>
        <w:tc>
          <w:tcPr>
            <w:tcW w:type="dxa" w:w="2381"/>
            <w:shd w:val="clear" w:color="auto" w:fill="EEF1F7"/>
          </w:tcPr>
          <w:p>
            <w:pPr>
              <w:spacing w:after="0" w:line="240" w:lineRule="auto"/>
              <w:jc w:val="left"/>
            </w:pPr>
            <w:r>
              <w:rPr>
                <w:rFonts w:ascii="Calibri" w:hAnsi="Calibri"/>
                <w:b w:val="0"/>
                <w:sz w:val="15"/>
              </w:rPr>
              <w:t>2 × 2 cluster, 312 mm × 312 mm</w:t>
            </w:r>
          </w:p>
        </w:tc>
        <w:tc>
          <w:tcPr>
            <w:tcW w:type="dxa" w:w="4422"/>
            <w:shd w:val="clear" w:color="auto" w:fill="EEF1F7"/>
          </w:tcPr>
          <w:p>
            <w:pPr>
              <w:spacing w:after="0" w:line="240" w:lineRule="auto"/>
              <w:jc w:val="left"/>
            </w:pPr>
            <w:r>
              <w:rPr>
                <w:rFonts w:ascii="Calibri" w:hAnsi="Calibri"/>
                <w:b w:val="0"/>
                <w:sz w:val="15"/>
              </w:rPr>
              <w:t>4 × 156 = 624 mm will not fit a 450 mm body in one row</w:t>
            </w:r>
          </w:p>
        </w:tc>
      </w:tr>
      <w:tr>
        <w:trPr>
          <w:cantSplit w:val="true"/>
        </w:trPr>
        <w:tc>
          <w:tcPr>
            <w:tcW w:type="dxa" w:w="2608"/>
          </w:tcPr>
          <w:p>
            <w:pPr>
              <w:spacing w:after="0" w:line="240" w:lineRule="auto"/>
              <w:jc w:val="left"/>
            </w:pPr>
            <w:r>
              <w:rPr>
                <w:rFonts w:ascii="Calibri" w:hAnsi="Calibri"/>
                <w:b w:val="0"/>
                <w:sz w:val="15"/>
              </w:rPr>
              <w:t>Compartment centre radius</w:t>
            </w:r>
          </w:p>
        </w:tc>
        <w:tc>
          <w:tcPr>
            <w:tcW w:type="dxa" w:w="2381"/>
          </w:tcPr>
          <w:p>
            <w:pPr>
              <w:spacing w:after="0" w:line="240" w:lineRule="auto"/>
              <w:jc w:val="left"/>
            </w:pPr>
            <w:r>
              <w:rPr>
                <w:rFonts w:ascii="Calibri" w:hAnsi="Calibri"/>
                <w:b w:val="0"/>
                <w:sz w:val="15"/>
              </w:rPr>
              <w:t>112 mm</w:t>
            </w:r>
          </w:p>
        </w:tc>
        <w:tc>
          <w:tcPr>
            <w:tcW w:type="dxa" w:w="4422"/>
          </w:tcPr>
          <w:p>
            <w:pPr>
              <w:spacing w:after="0" w:line="240" w:lineRule="auto"/>
              <w:jc w:val="left"/>
            </w:pPr>
            <w:r>
              <w:rPr>
                <w:rFonts w:ascii="Calibri" w:hAnsi="Calibri"/>
                <w:b w:val="0"/>
                <w:sz w:val="15"/>
              </w:rPr>
              <w:t>(380 − 156)/2 — the whole layout is bounded by this</w:t>
            </w:r>
          </w:p>
        </w:tc>
      </w:tr>
      <w:tr>
        <w:trPr>
          <w:cantSplit w:val="true"/>
        </w:trPr>
        <w:tc>
          <w:tcPr>
            <w:tcW w:type="dxa" w:w="2608"/>
            <w:shd w:val="clear" w:color="auto" w:fill="EEF1F7"/>
          </w:tcPr>
          <w:p>
            <w:pPr>
              <w:spacing w:after="0" w:line="240" w:lineRule="auto"/>
              <w:jc w:val="left"/>
            </w:pPr>
            <w:r>
              <w:rPr>
                <w:rFonts w:ascii="Calibri" w:hAnsi="Calibri"/>
                <w:b w:val="0"/>
                <w:sz w:val="15"/>
              </w:rPr>
              <w:t>Gap between compartment circles</w:t>
            </w:r>
          </w:p>
        </w:tc>
        <w:tc>
          <w:tcPr>
            <w:tcW w:type="dxa" w:w="2381"/>
            <w:shd w:val="clear" w:color="auto" w:fill="EEF1F7"/>
          </w:tcPr>
          <w:p>
            <w:pPr>
              <w:spacing w:after="0" w:line="240" w:lineRule="auto"/>
              <w:jc w:val="left"/>
            </w:pPr>
            <w:r>
              <w:rPr>
                <w:rFonts w:ascii="Calibri" w:hAnsi="Calibri"/>
                <w:b w:val="0"/>
                <w:sz w:val="15"/>
              </w:rPr>
              <w:t>2.4 mm</w:t>
            </w:r>
          </w:p>
        </w:tc>
        <w:tc>
          <w:tcPr>
            <w:tcW w:type="dxa" w:w="4422"/>
            <w:shd w:val="clear" w:color="auto" w:fill="EEF1F7"/>
          </w:tcPr>
          <w:p>
            <w:pPr>
              <w:spacing w:after="0" w:line="240" w:lineRule="auto"/>
              <w:jc w:val="left"/>
            </w:pPr>
            <w:r>
              <w:rPr>
                <w:rFonts w:ascii="Calibri" w:hAnsi="Calibri"/>
                <w:b w:val="0"/>
                <w:sz w:val="15"/>
              </w:rPr>
              <w:t>112√2 − 156 — this is why 0.5° repeatability is required</w:t>
            </w:r>
          </w:p>
        </w:tc>
      </w:tr>
      <w:tr>
        <w:trPr>
          <w:cantSplit w:val="true"/>
        </w:trPr>
        <w:tc>
          <w:tcPr>
            <w:tcW w:type="dxa" w:w="2608"/>
          </w:tcPr>
          <w:p>
            <w:pPr>
              <w:spacing w:after="0" w:line="240" w:lineRule="auto"/>
              <w:jc w:val="left"/>
            </w:pPr>
            <w:r>
              <w:rPr>
                <w:rFonts w:ascii="Calibri" w:hAnsi="Calibri"/>
                <w:b w:val="0"/>
                <w:sz w:val="15"/>
              </w:rPr>
              <w:t>Disc</w:t>
            </w:r>
          </w:p>
        </w:tc>
        <w:tc>
          <w:tcPr>
            <w:tcW w:type="dxa" w:w="2381"/>
          </w:tcPr>
          <w:p>
            <w:pPr>
              <w:spacing w:after="0" w:line="240" w:lineRule="auto"/>
              <w:jc w:val="left"/>
            </w:pPr>
            <w:r>
              <w:rPr>
                <w:rFonts w:ascii="Calibri" w:hAnsi="Calibri"/>
                <w:b w:val="0"/>
                <w:sz w:val="15"/>
              </w:rPr>
              <w:t>2 × Ø380 × 18 mm, ABS</w:t>
            </w:r>
          </w:p>
        </w:tc>
        <w:tc>
          <w:tcPr>
            <w:tcW w:type="dxa" w:w="4422"/>
          </w:tcPr>
          <w:p>
            <w:pPr>
              <w:spacing w:after="0" w:line="240" w:lineRule="auto"/>
              <w:jc w:val="left"/>
            </w:pPr>
            <w:r>
              <w:rPr>
                <w:rFonts w:ascii="Calibri" w:hAnsi="Calibri"/>
                <w:b w:val="0"/>
                <w:sz w:val="15"/>
              </w:rPr>
              <w:t>As stated</w:t>
            </w:r>
          </w:p>
        </w:tc>
      </w:tr>
      <w:tr>
        <w:trPr>
          <w:cantSplit w:val="true"/>
        </w:trPr>
        <w:tc>
          <w:tcPr>
            <w:tcW w:type="dxa" w:w="2608"/>
            <w:shd w:val="clear" w:color="auto" w:fill="EEF1F7"/>
          </w:tcPr>
          <w:p>
            <w:pPr>
              <w:spacing w:after="0" w:line="240" w:lineRule="auto"/>
              <w:jc w:val="left"/>
            </w:pPr>
            <w:r>
              <w:rPr>
                <w:rFonts w:ascii="Calibri" w:hAnsi="Calibri"/>
                <w:b w:val="0"/>
                <w:sz w:val="15"/>
              </w:rPr>
              <w:t>Disc rise per item</w:t>
            </w:r>
          </w:p>
        </w:tc>
        <w:tc>
          <w:tcPr>
            <w:tcW w:type="dxa" w:w="2381"/>
            <w:shd w:val="clear" w:color="auto" w:fill="EEF1F7"/>
          </w:tcPr>
          <w:p>
            <w:pPr>
              <w:spacing w:after="0" w:line="240" w:lineRule="auto"/>
              <w:jc w:val="left"/>
            </w:pPr>
            <w:r>
              <w:rPr>
                <w:rFonts w:ascii="Calibri" w:hAnsi="Calibri"/>
                <w:b w:val="0"/>
                <w:sz w:val="15"/>
              </w:rPr>
              <w:t>≈90° per index</w:t>
            </w:r>
          </w:p>
        </w:tc>
        <w:tc>
          <w:tcPr>
            <w:tcW w:type="dxa" w:w="4422"/>
            <w:shd w:val="clear" w:color="auto" w:fill="EEF1F7"/>
          </w:tcPr>
          <w:p>
            <w:pPr>
              <w:spacing w:after="0" w:line="240" w:lineRule="auto"/>
              <w:jc w:val="left"/>
            </w:pPr>
            <w:r>
              <w:rPr>
                <w:rFonts w:ascii="Calibri" w:hAnsi="Calibri"/>
                <w:b w:val="0"/>
                <w:sz w:val="15"/>
              </w:rPr>
              <w:t>Four 90° positions; 50 steps per index at 1/16 microstep</w:t>
            </w:r>
          </w:p>
        </w:tc>
      </w:tr>
      <w:tr>
        <w:trPr>
          <w:cantSplit w:val="true"/>
        </w:trPr>
        <w:tc>
          <w:tcPr>
            <w:tcW w:type="dxa" w:w="2608"/>
          </w:tcPr>
          <w:p>
            <w:pPr>
              <w:spacing w:after="0" w:line="240" w:lineRule="auto"/>
              <w:jc w:val="left"/>
            </w:pPr>
            <w:r>
              <w:rPr>
                <w:rFonts w:ascii="Calibri" w:hAnsi="Calibri"/>
                <w:b w:val="0"/>
                <w:sz w:val="15"/>
              </w:rPr>
              <w:t>Index time budget</w:t>
            </w:r>
          </w:p>
        </w:tc>
        <w:tc>
          <w:tcPr>
            <w:tcW w:type="dxa" w:w="2381"/>
          </w:tcPr>
          <w:p>
            <w:pPr>
              <w:spacing w:after="0" w:line="240" w:lineRule="auto"/>
              <w:jc w:val="left"/>
            </w:pPr>
            <w:r>
              <w:rPr>
                <w:rFonts w:ascii="Calibri" w:hAnsi="Calibri"/>
                <w:b w:val="0"/>
                <w:sz w:val="15"/>
              </w:rPr>
              <w:t>≈0.8–1.2 s</w:t>
            </w:r>
          </w:p>
        </w:tc>
        <w:tc>
          <w:tcPr>
            <w:tcW w:type="dxa" w:w="4422"/>
          </w:tcPr>
          <w:p>
            <w:pPr>
              <w:spacing w:after="0" w:line="240" w:lineRule="auto"/>
              <w:jc w:val="left"/>
            </w:pPr>
            <w:r>
              <w:rPr>
                <w:rFonts w:ascii="Calibri" w:hAnsi="Calibri"/>
                <w:b w:val="0"/>
                <w:sz w:val="15"/>
              </w:rPr>
              <w:t>Leave the rest of the 3.2 s cycle for inference, drop and reset</w:t>
            </w:r>
          </w:p>
        </w:tc>
      </w:tr>
      <w:tr>
        <w:trPr>
          <w:cantSplit w:val="true"/>
        </w:trPr>
        <w:tc>
          <w:tcPr>
            <w:tcW w:type="dxa" w:w="2608"/>
            <w:shd w:val="clear" w:color="auto" w:fill="EEF1F7"/>
          </w:tcPr>
          <w:p>
            <w:pPr>
              <w:spacing w:after="0" w:line="240" w:lineRule="auto"/>
              <w:jc w:val="left"/>
            </w:pPr>
            <w:r>
              <w:rPr>
                <w:rFonts w:ascii="Calibri" w:hAnsi="Calibri"/>
                <w:b w:val="0"/>
                <w:sz w:val="15"/>
              </w:rPr>
              <w:t>Head volume available</w:t>
            </w:r>
          </w:p>
        </w:tc>
        <w:tc>
          <w:tcPr>
            <w:tcW w:type="dxa" w:w="2381"/>
            <w:shd w:val="clear" w:color="auto" w:fill="EEF1F7"/>
          </w:tcPr>
          <w:p>
            <w:pPr>
              <w:spacing w:after="0" w:line="240" w:lineRule="auto"/>
              <w:jc w:val="left"/>
            </w:pPr>
            <w:r>
              <w:rPr>
                <w:rFonts w:ascii="Calibri" w:hAnsi="Calibri"/>
                <w:b w:val="0"/>
                <w:sz w:val="15"/>
              </w:rPr>
              <w:t>≈380 mm of height above the compartments</w:t>
            </w:r>
          </w:p>
        </w:tc>
        <w:tc>
          <w:tcPr>
            <w:tcW w:type="dxa" w:w="4422"/>
            <w:shd w:val="clear" w:color="auto" w:fill="EEF1F7"/>
          </w:tcPr>
          <w:p>
            <w:pPr>
              <w:spacing w:after="0" w:line="240" w:lineRule="auto"/>
              <w:jc w:val="left"/>
            </w:pPr>
            <w:r>
              <w:rPr>
                <w:rFonts w:ascii="Calibri" w:hAnsi="Calibri"/>
                <w:b w:val="0"/>
                <w:sz w:val="15"/>
              </w:rPr>
              <w:t>750 − 370; enough for Pi, driver, buck and wiring</w:t>
            </w:r>
          </w:p>
        </w:tc>
      </w:tr>
      <w:tr>
        <w:trPr>
          <w:cantSplit w:val="true"/>
        </w:trPr>
        <w:tc>
          <w:tcPr>
            <w:tcW w:type="dxa" w:w="2608"/>
          </w:tcPr>
          <w:p>
            <w:pPr>
              <w:spacing w:after="0" w:line="240" w:lineRule="auto"/>
              <w:jc w:val="left"/>
            </w:pPr>
            <w:r>
              <w:rPr>
                <w:rFonts w:ascii="Calibri" w:hAnsi="Calibri"/>
                <w:b w:val="0"/>
                <w:sz w:val="15"/>
              </w:rPr>
              <w:t>Materials</w:t>
            </w:r>
          </w:p>
        </w:tc>
        <w:tc>
          <w:tcPr>
            <w:tcW w:type="dxa" w:w="2381"/>
          </w:tcPr>
          <w:p>
            <w:pPr>
              <w:spacing w:after="0" w:line="240" w:lineRule="auto"/>
              <w:jc w:val="left"/>
            </w:pPr>
            <w:r>
              <w:rPr>
                <w:rFonts w:ascii="Calibri" w:hAnsi="Calibri"/>
                <w:b w:val="0"/>
                <w:sz w:val="15"/>
              </w:rPr>
              <w:t>ABS discs, HDPE bins, powder-coated MS frame, PLA brackets</w:t>
            </w:r>
          </w:p>
        </w:tc>
        <w:tc>
          <w:tcPr>
            <w:tcW w:type="dxa" w:w="4422"/>
          </w:tcPr>
          <w:p>
            <w:pPr>
              <w:spacing w:after="0" w:line="240" w:lineRule="auto"/>
              <w:jc w:val="left"/>
            </w:pPr>
            <w:r>
              <w:rPr>
                <w:rFonts w:ascii="Calibri" w:hAnsi="Calibri"/>
                <w:b w:val="0"/>
                <w:sz w:val="15"/>
              </w:rPr>
              <w:t>As stated — keep, and say why (mass, corrosion, printability)</w:t>
            </w:r>
          </w:p>
        </w:tc>
      </w:tr>
    </w:tbl>
    <w:p>
      <w:pPr>
        <w:keepNext/>
        <w:spacing w:before="160" w:after="60"/>
        <w:jc w:val="left"/>
      </w:pPr>
      <w:r>
        <w:rPr>
          <w:rFonts w:ascii="Calibri" w:hAnsi="Calibri"/>
          <w:b/>
          <w:color w:val="1F3864"/>
          <w:sz w:val="18"/>
        </w:rPr>
        <w:t>Table 4.1 — Dimension set for the new drawing.</w:t>
      </w:r>
    </w:p>
    <w:p>
      <w:pPr>
        <w:spacing w:before="40" w:after="160"/>
        <w:jc w:val="left"/>
      </w:pPr>
      <w:r>
        <w:rPr>
          <w:rFonts w:ascii="Calibri" w:hAnsi="Calibri"/>
          <w:i/>
          <w:color w:val="404040"/>
          <w:sz w:val="16"/>
        </w:rPr>
        <w:t>If the 2×2 stack plus 370 mm compartments will not fit the 750 mm height, change the height in the new report rather than leaving the three numbers in conflict. Pick one set and use it in the drawing, the table and the text.</w:t>
      </w:r>
    </w:p>
    <w:p>
      <w:r>
        <w:br w:type="page"/>
      </w:r>
    </w:p>
    <w:p>
      <w:pPr>
        <w:keepNext/>
        <w:spacing w:before="200" w:after="120"/>
        <w:jc w:val="left"/>
        <w:pBdr>
          <w:bottom w:val="single" w:sz="8" w:space="2" w:color="1F3864"/>
        </w:pBdr>
      </w:pPr>
      <w:r>
        <w:rPr>
          <w:b/>
          <w:color w:val="1F3864"/>
          <w:sz w:val="26"/>
        </w:rPr>
        <w:t>5. PERFORMANCE: WHAT BECOMES A RESULT AND WHAT BECOMES A TARGET</w:t>
      </w:r>
    </w:p>
    <w:p>
      <w:pPr>
        <w:spacing w:after="120"/>
        <w:ind w:left="0"/>
        <w:jc w:val="both"/>
      </w:pPr>
      <w:r>
        <w:rPr>
          <w:b w:val="0"/>
          <w:i w:val="0"/>
          <w:sz w:val="22"/>
        </w:rPr>
        <w:t>This is the section that fixes the audit's biggest problem. Split every performance statement into one of three boxes and never let a number sit in the wrong one.</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1360"/>
        <w:gridCol w:w="2494"/>
        <w:gridCol w:w="3061"/>
        <w:gridCol w:w="2494"/>
      </w:tblGrid>
      <w:tr>
        <w:trPr>
          <w:cantSplit w:val="true"/>
          <w:tblHeader w:val="true"/>
        </w:trPr>
        <w:tc>
          <w:tcPr>
            <w:tcW w:type="dxa" w:w="1361"/>
            <w:shd w:val="clear" w:color="auto" w:fill="1F3864"/>
          </w:tcPr>
          <w:p>
            <w:pPr>
              <w:spacing w:after="0" w:line="240" w:lineRule="auto"/>
              <w:jc w:val="left"/>
            </w:pPr>
            <w:r>
              <w:rPr>
                <w:rFonts w:ascii="Calibri" w:hAnsi="Calibri"/>
                <w:b/>
                <w:color w:val="FFFFFF"/>
                <w:sz w:val="15"/>
              </w:rPr>
              <w:t>Box</w:t>
            </w:r>
          </w:p>
        </w:tc>
        <w:tc>
          <w:tcPr>
            <w:tcW w:type="dxa" w:w="2494"/>
            <w:shd w:val="clear" w:color="auto" w:fill="1F3864"/>
          </w:tcPr>
          <w:p>
            <w:pPr>
              <w:spacing w:after="0" w:line="240" w:lineRule="auto"/>
              <w:jc w:val="left"/>
            </w:pPr>
            <w:r>
              <w:rPr>
                <w:rFonts w:ascii="Calibri" w:hAnsi="Calibri"/>
                <w:b/>
                <w:color w:val="FFFFFF"/>
                <w:sz w:val="15"/>
              </w:rPr>
              <w:t>Heading to use in the report</w:t>
            </w:r>
          </w:p>
        </w:tc>
        <w:tc>
          <w:tcPr>
            <w:tcW w:type="dxa" w:w="3061"/>
            <w:shd w:val="clear" w:color="auto" w:fill="1F3864"/>
          </w:tcPr>
          <w:p>
            <w:pPr>
              <w:spacing w:after="0" w:line="240" w:lineRule="auto"/>
              <w:jc w:val="left"/>
            </w:pPr>
            <w:r>
              <w:rPr>
                <w:rFonts w:ascii="Calibri" w:hAnsi="Calibri"/>
                <w:b/>
                <w:color w:val="FFFFFF"/>
                <w:sz w:val="15"/>
              </w:rPr>
              <w:t>What goes in it</w:t>
            </w:r>
          </w:p>
        </w:tc>
        <w:tc>
          <w:tcPr>
            <w:tcW w:type="dxa" w:w="2494"/>
            <w:shd w:val="clear" w:color="auto" w:fill="1F3864"/>
          </w:tcPr>
          <w:p>
            <w:pPr>
              <w:spacing w:after="0" w:line="240" w:lineRule="auto"/>
              <w:jc w:val="left"/>
            </w:pPr>
            <w:r>
              <w:rPr>
                <w:rFonts w:ascii="Calibri" w:hAnsi="Calibri"/>
                <w:b/>
                <w:color w:val="FFFFFF"/>
                <w:sz w:val="15"/>
              </w:rPr>
              <w:t>How it is worded</w:t>
            </w:r>
          </w:p>
        </w:tc>
      </w:tr>
      <w:tr>
        <w:trPr>
          <w:cantSplit w:val="true"/>
        </w:trPr>
        <w:tc>
          <w:tcPr>
            <w:tcW w:type="dxa" w:w="1361"/>
          </w:tcPr>
          <w:p>
            <w:pPr>
              <w:spacing w:after="0" w:line="240" w:lineRule="auto"/>
              <w:jc w:val="left"/>
            </w:pPr>
            <w:r>
              <w:rPr>
                <w:rFonts w:ascii="Calibri" w:hAnsi="Calibri"/>
                <w:b w:val="0"/>
                <w:sz w:val="15"/>
              </w:rPr>
              <w:t>Measured</w:t>
            </w:r>
          </w:p>
        </w:tc>
        <w:tc>
          <w:tcPr>
            <w:tcW w:type="dxa" w:w="2494"/>
          </w:tcPr>
          <w:p>
            <w:pPr>
              <w:spacing w:after="0" w:line="240" w:lineRule="auto"/>
              <w:jc w:val="left"/>
            </w:pPr>
            <w:r>
              <w:rPr>
                <w:rFonts w:ascii="Calibri" w:hAnsi="Calibri"/>
                <w:b w:val="0"/>
                <w:sz w:val="15"/>
              </w:rPr>
              <w:t>7.x Experimental results</w:t>
            </w:r>
          </w:p>
        </w:tc>
        <w:tc>
          <w:tcPr>
            <w:tcW w:type="dxa" w:w="3061"/>
          </w:tcPr>
          <w:p>
            <w:pPr>
              <w:spacing w:after="0" w:line="240" w:lineRule="auto"/>
              <w:jc w:val="left"/>
            </w:pPr>
            <w:r>
              <w:rPr>
                <w:rFonts w:ascii="Calibri" w:hAnsi="Calibri"/>
                <w:b w:val="0"/>
                <w:sz w:val="15"/>
              </w:rPr>
              <w:t>Cycle time, index repeatability, per-class metrics from one logged run, sensor-level accuracies</w:t>
            </w:r>
          </w:p>
        </w:tc>
        <w:tc>
          <w:tcPr>
            <w:tcW w:type="dxa" w:w="2494"/>
          </w:tcPr>
          <w:p>
            <w:pPr>
              <w:spacing w:after="0" w:line="240" w:lineRule="auto"/>
              <w:jc w:val="left"/>
            </w:pPr>
            <w:r>
              <w:rPr>
                <w:rFonts w:ascii="Calibri" w:hAnsi="Calibri"/>
                <w:b w:val="0"/>
                <w:sz w:val="15"/>
              </w:rPr>
              <w:t>“Measured on N items under condition C using instrument I.”</w:t>
            </w:r>
          </w:p>
        </w:tc>
      </w:tr>
      <w:tr>
        <w:trPr>
          <w:cantSplit w:val="true"/>
        </w:trPr>
        <w:tc>
          <w:tcPr>
            <w:tcW w:type="dxa" w:w="1361"/>
            <w:shd w:val="clear" w:color="auto" w:fill="EEF1F7"/>
          </w:tcPr>
          <w:p>
            <w:pPr>
              <w:spacing w:after="0" w:line="240" w:lineRule="auto"/>
              <w:jc w:val="left"/>
            </w:pPr>
            <w:r>
              <w:rPr>
                <w:rFonts w:ascii="Calibri" w:hAnsi="Calibri"/>
                <w:b w:val="0"/>
                <w:sz w:val="15"/>
              </w:rPr>
              <w:t>Derived</w:t>
            </w:r>
          </w:p>
        </w:tc>
        <w:tc>
          <w:tcPr>
            <w:tcW w:type="dxa" w:w="2494"/>
            <w:shd w:val="clear" w:color="auto" w:fill="EEF1F7"/>
          </w:tcPr>
          <w:p>
            <w:pPr>
              <w:spacing w:after="0" w:line="240" w:lineRule="auto"/>
              <w:jc w:val="left"/>
            </w:pPr>
            <w:r>
              <w:rPr>
                <w:rFonts w:ascii="Calibri" w:hAnsi="Calibri"/>
                <w:b w:val="0"/>
                <w:sz w:val="15"/>
              </w:rPr>
              <w:t>7.x Computed performance</w:t>
            </w:r>
          </w:p>
        </w:tc>
        <w:tc>
          <w:tcPr>
            <w:tcW w:type="dxa" w:w="3061"/>
            <w:shd w:val="clear" w:color="auto" w:fill="EEF1F7"/>
          </w:tcPr>
          <w:p>
            <w:pPr>
              <w:spacing w:after="0" w:line="240" w:lineRule="auto"/>
              <w:jc w:val="left"/>
            </w:pPr>
            <w:r>
              <w:rPr>
                <w:rFonts w:ascii="Calibri" w:hAnsi="Calibri"/>
                <w:b w:val="0"/>
                <w:sz w:val="15"/>
              </w:rPr>
              <w:t>Throughput (3,600/3.2), battery runtime at a stated duty cycle, cost per unit</w:t>
            </w:r>
          </w:p>
        </w:tc>
        <w:tc>
          <w:tcPr>
            <w:tcW w:type="dxa" w:w="2494"/>
            <w:shd w:val="clear" w:color="auto" w:fill="EEF1F7"/>
          </w:tcPr>
          <w:p>
            <w:pPr>
              <w:spacing w:after="0" w:line="240" w:lineRule="auto"/>
              <w:jc w:val="left"/>
            </w:pPr>
            <w:r>
              <w:rPr>
                <w:rFonts w:ascii="Calibri" w:hAnsi="Calibri"/>
                <w:b w:val="0"/>
                <w:sz w:val="15"/>
              </w:rPr>
              <w:t>“Computed from the measured cycle time of 3.2 s.”</w:t>
            </w:r>
          </w:p>
        </w:tc>
      </w:tr>
      <w:tr>
        <w:trPr>
          <w:cantSplit w:val="true"/>
        </w:trPr>
        <w:tc>
          <w:tcPr>
            <w:tcW w:type="dxa" w:w="1361"/>
          </w:tcPr>
          <w:p>
            <w:pPr>
              <w:spacing w:after="0" w:line="240" w:lineRule="auto"/>
              <w:jc w:val="left"/>
            </w:pPr>
            <w:r>
              <w:rPr>
                <w:rFonts w:ascii="Calibri" w:hAnsi="Calibri"/>
                <w:b w:val="0"/>
                <w:sz w:val="15"/>
              </w:rPr>
              <w:t>Target</w:t>
            </w:r>
          </w:p>
        </w:tc>
        <w:tc>
          <w:tcPr>
            <w:tcW w:type="dxa" w:w="2494"/>
          </w:tcPr>
          <w:p>
            <w:pPr>
              <w:spacing w:after="0" w:line="240" w:lineRule="auto"/>
              <w:jc w:val="left"/>
            </w:pPr>
            <w:r>
              <w:rPr>
                <w:rFonts w:ascii="Calibri" w:hAnsi="Calibri"/>
                <w:b w:val="0"/>
                <w:sz w:val="15"/>
              </w:rPr>
              <w:t>11.x Expected impact and design targets</w:t>
            </w:r>
          </w:p>
        </w:tc>
        <w:tc>
          <w:tcPr>
            <w:tcW w:type="dxa" w:w="3061"/>
          </w:tcPr>
          <w:p>
            <w:pPr>
              <w:spacing w:after="0" w:line="240" w:lineRule="auto"/>
              <w:jc w:val="left"/>
            </w:pPr>
            <w:r>
              <w:rPr>
                <w:rFonts w:ascii="Calibri" w:hAnsi="Calibri"/>
                <w:b w:val="0"/>
                <w:sz w:val="15"/>
              </w:rPr>
              <w:t>60–80% segregation improvement, 70% less handling, 30% cost reduction, 20% recycling gain</w:t>
            </w:r>
          </w:p>
        </w:tc>
        <w:tc>
          <w:tcPr>
            <w:tcW w:type="dxa" w:w="2494"/>
          </w:tcPr>
          <w:p>
            <w:pPr>
              <w:spacing w:after="0" w:line="240" w:lineRule="auto"/>
              <w:jc w:val="left"/>
            </w:pPr>
            <w:r>
              <w:rPr>
                <w:rFonts w:ascii="Calibri" w:hAnsi="Calibri"/>
                <w:b w:val="0"/>
                <w:sz w:val="15"/>
              </w:rPr>
              <w:t>“Design target: … measured by … in the next phase.”</w:t>
            </w:r>
          </w:p>
        </w:tc>
      </w:tr>
    </w:tbl>
    <w:p>
      <w:pPr>
        <w:keepNext/>
        <w:spacing w:before="160" w:after="60"/>
        <w:jc w:val="left"/>
      </w:pPr>
      <w:r>
        <w:rPr>
          <w:rFonts w:ascii="Calibri" w:hAnsi="Calibri"/>
          <w:b/>
          <w:color w:val="1F3864"/>
          <w:sz w:val="18"/>
        </w:rPr>
        <w:t>Table 5.1 — Three boxes for performance statements.</w:t>
      </w:r>
    </w:p>
    <w:p>
      <w:pPr>
        <w:spacing w:before="40" w:after="160"/>
        <w:jc w:val="left"/>
      </w:pPr>
      <w:r>
        <w:rPr>
          <w:rFonts w:ascii="Calibri" w:hAnsi="Calibri"/>
          <w:i/>
          <w:color w:val="404040"/>
          <w:sz w:val="16"/>
        </w:rPr>
        <w:t>Most of the numbers a reviewer will attack are currently in the wrong box — the impact percentages and the uptime figure in particular. Moving them is a formatting change with a large credibility return, and it costs no new experiments.</w:t>
      </w:r>
    </w:p>
    <w:p>
      <w:pPr>
        <w:spacing w:after="120"/>
        <w:ind w:left="0"/>
        <w:jc w:val="both"/>
      </w:pPr>
      <w:r>
        <w:rPr>
          <w:b/>
          <w:i w:val="0"/>
          <w:sz w:val="22"/>
        </w:rPr>
        <w:t>What you can claim today, honestly, with the prototype you have:</w:t>
      </w:r>
    </w:p>
    <w:p>
      <w:pPr>
        <w:pStyle w:val="ListBullet"/>
        <w:spacing w:after="40"/>
        <w:ind w:left="454" w:hanging="255"/>
        <w:jc w:val="both"/>
      </w:pPr>
      <w:r>
        <w:rPr>
          <w:b w:val="0"/>
          <w:sz w:val="20"/>
        </w:rPr>
        <w:t>A four-stream mechanical segregation unit with a dual carousel disc and detachable bins, built and operating.</w:t>
      </w:r>
    </w:p>
    <w:p>
      <w:pPr>
        <w:pStyle w:val="ListBullet"/>
        <w:spacing w:after="40"/>
        <w:ind w:left="454" w:hanging="255"/>
        <w:jc w:val="both"/>
      </w:pPr>
      <w:r>
        <w:rPr>
          <w:b w:val="0"/>
          <w:sz w:val="20"/>
        </w:rPr>
        <w:t>A complete cycle (detect → classify → index → drop → log) in about 3.2 s, i.e. a theoretical 1,125 items/h.</w:t>
      </w:r>
    </w:p>
    <w:p>
      <w:pPr>
        <w:pStyle w:val="ListBullet"/>
        <w:spacing w:after="40"/>
        <w:ind w:left="454" w:hanging="255"/>
        <w:jc w:val="both"/>
      </w:pPr>
      <w:r>
        <w:rPr>
          <w:b w:val="0"/>
          <w:sz w:val="20"/>
        </w:rPr>
        <w:t>Sensor-level material discrimination with per-class accuracies of 93% paper, 94% metal, 92% organic, 80% glass and about 68% e-waste — and therefore a measured reason to add vision.</w:t>
      </w:r>
    </w:p>
    <w:p>
      <w:pPr>
        <w:pStyle w:val="ListBullet"/>
        <w:spacing w:after="40"/>
        <w:ind w:left="454" w:hanging="255"/>
        <w:jc w:val="both"/>
      </w:pPr>
      <w:r>
        <w:rPr>
          <w:b w:val="0"/>
          <w:sz w:val="20"/>
        </w:rPr>
        <w:t>A vision classifier that improves the weakest sensor classes, with the improvement on e-waste and glass reported as the headline fusion gain rather than the overall accuracy.</w:t>
      </w:r>
    </w:p>
    <w:p>
      <w:pPr>
        <w:pStyle w:val="ListBullet"/>
        <w:spacing w:after="40"/>
        <w:ind w:left="454" w:hanging="255"/>
        <w:jc w:val="both"/>
      </w:pPr>
      <w:r>
        <w:rPr>
          <w:b w:val="0"/>
          <w:sz w:val="20"/>
        </w:rPr>
        <w:t>A working class-to-compartment decision rule including a fail-safe Residual path for hazardous or low-confidence items.</w:t>
      </w:r>
    </w:p>
    <w:p>
      <w:pPr>
        <w:pStyle w:val="ListBullet"/>
        <w:spacing w:after="40"/>
        <w:ind w:left="454" w:hanging="255"/>
        <w:jc w:val="both"/>
      </w:pPr>
      <w:r>
        <w:rPr>
          <w:b w:val="0"/>
          <w:sz w:val="20"/>
        </w:rPr>
        <w:t>A modular mechanical architecture in which head unit, discs and compartments are independently serviceable.</w:t>
      </w:r>
    </w:p>
    <w:p>
      <w:pPr>
        <w:spacing w:after="120"/>
        <w:ind w:left="0"/>
        <w:jc w:val="both"/>
      </w:pPr>
      <w:r>
        <w:rPr>
          <w:b/>
          <w:i w:val="0"/>
          <w:sz w:val="21"/>
        </w:rPr>
        <w:t>What you cannot claim yet, and should replace with a target or a measurement plan:</w:t>
      </w:r>
      <w:r>
        <w:rPr>
          <w:b w:val="0"/>
          <w:i w:val="0"/>
          <w:sz w:val="21"/>
        </w:rPr>
        <w:t xml:space="preserve"> collection-cost reduction, recycling-rate improvement, source-segregation improvement across a population, manual-handling reduction, uptime, and any single “overall accuracy” other than the one your logged test set produces.</w:t>
      </w:r>
    </w:p>
    <w:p>
      <w:r>
        <w:br w:type="page"/>
      </w:r>
    </w:p>
    <w:p>
      <w:pPr>
        <w:keepNext/>
        <w:spacing w:before="200" w:after="120"/>
        <w:jc w:val="left"/>
        <w:pBdr>
          <w:bottom w:val="single" w:sz="8" w:space="2" w:color="1F3864"/>
        </w:pBdr>
      </w:pPr>
      <w:r>
        <w:rPr>
          <w:b/>
          <w:color w:val="1F3864"/>
          <w:sz w:val="26"/>
        </w:rPr>
        <w:t>6. THE MODEL AND THE DATASET — WHAT TO WRITE INSTEAD</w:t>
      </w:r>
    </w:p>
    <w:p>
      <w:pPr>
        <w:spacing w:after="120"/>
        <w:ind w:left="0"/>
        <w:jc w:val="both"/>
      </w:pPr>
      <w:r>
        <w:rPr>
          <w:b w:val="0"/>
          <w:i w:val="0"/>
          <w:sz w:val="22"/>
        </w:rPr>
        <w:t>The model choice is fine. What is not fine is that the report never says how many images came from where, and that the class set does not match the compartments. Both are fixable with a table and a paragraph.</w:t>
      </w:r>
    </w:p>
    <w:p>
      <w:pPr>
        <w:keepNext/>
        <w:spacing w:before="200" w:after="80"/>
        <w:jc w:val="left"/>
      </w:pPr>
      <w:r>
        <w:rPr>
          <w:b/>
          <w:color w:val="1F3864"/>
          <w:sz w:val="23"/>
        </w:rPr>
        <w:t>6.1 Dataset provenance table — required before any metric</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2494"/>
        <w:gridCol w:w="1701"/>
        <w:gridCol w:w="2381"/>
        <w:gridCol w:w="1247"/>
        <w:gridCol w:w="1587"/>
      </w:tblGrid>
      <w:tr>
        <w:trPr>
          <w:cantSplit w:val="true"/>
          <w:tblHeader w:val="true"/>
        </w:trPr>
        <w:tc>
          <w:tcPr>
            <w:tcW w:type="dxa" w:w="2494"/>
            <w:shd w:val="clear" w:color="auto" w:fill="1F3864"/>
          </w:tcPr>
          <w:p>
            <w:pPr>
              <w:spacing w:after="0" w:line="240" w:lineRule="auto"/>
              <w:jc w:val="left"/>
            </w:pPr>
            <w:r>
              <w:rPr>
                <w:rFonts w:ascii="Calibri" w:hAnsi="Calibri"/>
                <w:b/>
                <w:color w:val="FFFFFF"/>
                <w:sz w:val="14"/>
              </w:rPr>
              <w:t>Source</w:t>
            </w:r>
          </w:p>
        </w:tc>
        <w:tc>
          <w:tcPr>
            <w:tcW w:type="dxa" w:w="1701"/>
            <w:shd w:val="clear" w:color="auto" w:fill="1F3864"/>
          </w:tcPr>
          <w:p>
            <w:pPr>
              <w:spacing w:after="0" w:line="240" w:lineRule="auto"/>
              <w:jc w:val="left"/>
            </w:pPr>
            <w:r>
              <w:rPr>
                <w:rFonts w:ascii="Calibri" w:hAnsi="Calibri"/>
                <w:b/>
                <w:color w:val="FFFFFF"/>
                <w:sz w:val="14"/>
              </w:rPr>
              <w:t>Licence / access</w:t>
            </w:r>
          </w:p>
        </w:tc>
        <w:tc>
          <w:tcPr>
            <w:tcW w:type="dxa" w:w="2381"/>
            <w:shd w:val="clear" w:color="auto" w:fill="1F3864"/>
          </w:tcPr>
          <w:p>
            <w:pPr>
              <w:spacing w:after="0" w:line="240" w:lineRule="auto"/>
              <w:jc w:val="left"/>
            </w:pPr>
            <w:r>
              <w:rPr>
                <w:rFonts w:ascii="Calibri" w:hAnsi="Calibri"/>
                <w:b/>
                <w:color w:val="FFFFFF"/>
                <w:sz w:val="14"/>
              </w:rPr>
              <w:t>Classes available</w:t>
            </w:r>
          </w:p>
        </w:tc>
        <w:tc>
          <w:tcPr>
            <w:tcW w:type="dxa" w:w="1247"/>
            <w:shd w:val="clear" w:color="auto" w:fill="1F3864"/>
          </w:tcPr>
          <w:p>
            <w:pPr>
              <w:spacing w:after="0" w:line="240" w:lineRule="auto"/>
              <w:jc w:val="left"/>
            </w:pPr>
            <w:r>
              <w:rPr>
                <w:rFonts w:ascii="Calibri" w:hAnsi="Calibri"/>
                <w:b/>
                <w:color w:val="FFFFFF"/>
                <w:sz w:val="14"/>
              </w:rPr>
              <w:t>Images used</w:t>
            </w:r>
          </w:p>
        </w:tc>
        <w:tc>
          <w:tcPr>
            <w:tcW w:type="dxa" w:w="1587"/>
            <w:shd w:val="clear" w:color="auto" w:fill="1F3864"/>
          </w:tcPr>
          <w:p>
            <w:pPr>
              <w:spacing w:after="0" w:line="240" w:lineRule="auto"/>
              <w:jc w:val="left"/>
            </w:pPr>
            <w:r>
              <w:rPr>
                <w:rFonts w:ascii="Calibri" w:hAnsi="Calibri"/>
                <w:b/>
                <w:color w:val="FFFFFF"/>
                <w:sz w:val="14"/>
              </w:rPr>
              <w:t>Role</w:t>
            </w:r>
          </w:p>
        </w:tc>
      </w:tr>
      <w:tr>
        <w:trPr>
          <w:cantSplit w:val="true"/>
        </w:trPr>
        <w:tc>
          <w:tcPr>
            <w:tcW w:type="dxa" w:w="2494"/>
          </w:tcPr>
          <w:p>
            <w:pPr>
              <w:spacing w:after="0" w:line="240" w:lineRule="auto"/>
              <w:jc w:val="left"/>
            </w:pPr>
            <w:r>
              <w:rPr>
                <w:rFonts w:ascii="Calibri" w:hAnsi="Calibri"/>
                <w:b w:val="0"/>
                <w:sz w:val="14"/>
              </w:rPr>
              <w:t>TrashNet (Stanford)</w:t>
            </w:r>
          </w:p>
        </w:tc>
        <w:tc>
          <w:tcPr>
            <w:tcW w:type="dxa" w:w="1701"/>
          </w:tcPr>
          <w:p>
            <w:pPr>
              <w:spacing w:after="0" w:line="240" w:lineRule="auto"/>
              <w:jc w:val="left"/>
            </w:pPr>
            <w:r>
              <w:rPr>
                <w:rFonts w:ascii="Calibri" w:hAnsi="Calibri"/>
                <w:b w:val="0"/>
                <w:sz w:val="14"/>
              </w:rPr>
              <w:t>Open, research use</w:t>
            </w:r>
          </w:p>
        </w:tc>
        <w:tc>
          <w:tcPr>
            <w:tcW w:type="dxa" w:w="2381"/>
          </w:tcPr>
          <w:p>
            <w:pPr>
              <w:spacing w:after="0" w:line="240" w:lineRule="auto"/>
              <w:jc w:val="left"/>
            </w:pPr>
            <w:r>
              <w:rPr>
                <w:rFonts w:ascii="Calibri" w:hAnsi="Calibri"/>
                <w:b w:val="0"/>
                <w:sz w:val="14"/>
              </w:rPr>
              <w:t>Glass, paper, cardboard, plastic, metal, trash</w:t>
            </w:r>
          </w:p>
        </w:tc>
        <w:tc>
          <w:tcPr>
            <w:tcW w:type="dxa" w:w="1247"/>
          </w:tcPr>
          <w:p>
            <w:pPr>
              <w:spacing w:after="0" w:line="240" w:lineRule="auto"/>
              <w:jc w:val="left"/>
            </w:pPr>
            <w:r>
              <w:rPr>
                <w:rFonts w:ascii="Calibri" w:hAnsi="Calibri"/>
                <w:b w:val="0"/>
                <w:sz w:val="14"/>
              </w:rPr>
              <w:t>__ (≤ 2,527 total)</w:t>
            </w:r>
          </w:p>
        </w:tc>
        <w:tc>
          <w:tcPr>
            <w:tcW w:type="dxa" w:w="1587"/>
          </w:tcPr>
          <w:p>
            <w:pPr>
              <w:spacing w:after="0" w:line="240" w:lineRule="auto"/>
              <w:jc w:val="left"/>
            </w:pPr>
            <w:r>
              <w:rPr>
                <w:rFonts w:ascii="Calibri" w:hAnsi="Calibri"/>
                <w:b w:val="0"/>
                <w:sz w:val="14"/>
              </w:rPr>
              <w:t>Base for the dry recyclable classes</w:t>
            </w:r>
          </w:p>
        </w:tc>
      </w:tr>
      <w:tr>
        <w:trPr>
          <w:cantSplit w:val="true"/>
        </w:trPr>
        <w:tc>
          <w:tcPr>
            <w:tcW w:type="dxa" w:w="2494"/>
            <w:shd w:val="clear" w:color="auto" w:fill="EEF1F7"/>
          </w:tcPr>
          <w:p>
            <w:pPr>
              <w:spacing w:after="0" w:line="240" w:lineRule="auto"/>
              <w:jc w:val="left"/>
            </w:pPr>
            <w:r>
              <w:rPr>
                <w:rFonts w:ascii="Calibri" w:hAnsi="Calibri"/>
                <w:b w:val="0"/>
                <w:sz w:val="14"/>
              </w:rPr>
              <w:t>Kaggle — Smart Waste / Waste Classification</w:t>
            </w:r>
          </w:p>
        </w:tc>
        <w:tc>
          <w:tcPr>
            <w:tcW w:type="dxa" w:w="1701"/>
            <w:shd w:val="clear" w:color="auto" w:fill="EEF1F7"/>
          </w:tcPr>
          <w:p>
            <w:pPr>
              <w:spacing w:after="0" w:line="240" w:lineRule="auto"/>
              <w:jc w:val="left"/>
            </w:pPr>
            <w:r>
              <w:rPr>
                <w:rFonts w:ascii="Calibri" w:hAnsi="Calibri"/>
                <w:b w:val="0"/>
                <w:sz w:val="14"/>
              </w:rPr>
              <w:t>Open, per-dataset licence</w:t>
            </w:r>
          </w:p>
        </w:tc>
        <w:tc>
          <w:tcPr>
            <w:tcW w:type="dxa" w:w="2381"/>
            <w:shd w:val="clear" w:color="auto" w:fill="EEF1F7"/>
          </w:tcPr>
          <w:p>
            <w:pPr>
              <w:spacing w:after="0" w:line="240" w:lineRule="auto"/>
              <w:jc w:val="left"/>
            </w:pPr>
            <w:r>
              <w:rPr>
                <w:rFonts w:ascii="Calibri" w:hAnsi="Calibri"/>
                <w:b w:val="0"/>
                <w:sz w:val="14"/>
              </w:rPr>
              <w:t>Organic, recyclable, and variants</w:t>
            </w:r>
          </w:p>
        </w:tc>
        <w:tc>
          <w:tcPr>
            <w:tcW w:type="dxa" w:w="1247"/>
            <w:shd w:val="clear" w:color="auto" w:fill="EEF1F7"/>
          </w:tcPr>
          <w:p>
            <w:pPr>
              <w:spacing w:after="0" w:line="240" w:lineRule="auto"/>
              <w:jc w:val="left"/>
            </w:pPr>
            <w:r>
              <w:rPr>
                <w:rFonts w:ascii="Calibri" w:hAnsi="Calibri"/>
                <w:b w:val="0"/>
                <w:sz w:val="14"/>
              </w:rPr>
              <w:t>__</w:t>
            </w:r>
          </w:p>
        </w:tc>
        <w:tc>
          <w:tcPr>
            <w:tcW w:type="dxa" w:w="1587"/>
            <w:shd w:val="clear" w:color="auto" w:fill="EEF1F7"/>
          </w:tcPr>
          <w:p>
            <w:pPr>
              <w:spacing w:after="0" w:line="240" w:lineRule="auto"/>
              <w:jc w:val="left"/>
            </w:pPr>
            <w:r>
              <w:rPr>
                <w:rFonts w:ascii="Calibri" w:hAnsi="Calibri"/>
                <w:b w:val="0"/>
                <w:sz w:val="14"/>
              </w:rPr>
              <w:t>Organic class and bulk volume</w:t>
            </w:r>
          </w:p>
        </w:tc>
      </w:tr>
      <w:tr>
        <w:trPr>
          <w:cantSplit w:val="true"/>
        </w:trPr>
        <w:tc>
          <w:tcPr>
            <w:tcW w:type="dxa" w:w="2494"/>
          </w:tcPr>
          <w:p>
            <w:pPr>
              <w:spacing w:after="0" w:line="240" w:lineRule="auto"/>
              <w:jc w:val="left"/>
            </w:pPr>
            <w:r>
              <w:rPr>
                <w:rFonts w:ascii="Calibri" w:hAnsi="Calibri"/>
                <w:b w:val="0"/>
                <w:sz w:val="14"/>
              </w:rPr>
              <w:t>TACO (Trash Annotations in Context)</w:t>
            </w:r>
          </w:p>
        </w:tc>
        <w:tc>
          <w:tcPr>
            <w:tcW w:type="dxa" w:w="1701"/>
          </w:tcPr>
          <w:p>
            <w:pPr>
              <w:spacing w:after="0" w:line="240" w:lineRule="auto"/>
              <w:jc w:val="left"/>
            </w:pPr>
            <w:r>
              <w:rPr>
                <w:rFonts w:ascii="Calibri" w:hAnsi="Calibri"/>
                <w:b w:val="0"/>
                <w:sz w:val="14"/>
              </w:rPr>
              <w:t>CC BY 4.0</w:t>
            </w:r>
          </w:p>
        </w:tc>
        <w:tc>
          <w:tcPr>
            <w:tcW w:type="dxa" w:w="2381"/>
          </w:tcPr>
          <w:p>
            <w:pPr>
              <w:spacing w:after="0" w:line="240" w:lineRule="auto"/>
              <w:jc w:val="left"/>
            </w:pPr>
            <w:r>
              <w:rPr>
                <w:rFonts w:ascii="Calibri" w:hAnsi="Calibri"/>
                <w:b w:val="0"/>
                <w:sz w:val="14"/>
              </w:rPr>
              <w:t>60 litter categories, in-the-wild scenes</w:t>
            </w:r>
          </w:p>
        </w:tc>
        <w:tc>
          <w:tcPr>
            <w:tcW w:type="dxa" w:w="1247"/>
          </w:tcPr>
          <w:p>
            <w:pPr>
              <w:spacing w:after="0" w:line="240" w:lineRule="auto"/>
              <w:jc w:val="left"/>
            </w:pPr>
            <w:r>
              <w:rPr>
                <w:rFonts w:ascii="Calibri" w:hAnsi="Calibri"/>
                <w:b w:val="0"/>
                <w:sz w:val="14"/>
              </w:rPr>
              <w:t>__</w:t>
            </w:r>
          </w:p>
        </w:tc>
        <w:tc>
          <w:tcPr>
            <w:tcW w:type="dxa" w:w="1587"/>
          </w:tcPr>
          <w:p>
            <w:pPr>
              <w:spacing w:after="0" w:line="240" w:lineRule="auto"/>
              <w:jc w:val="left"/>
            </w:pPr>
            <w:r>
              <w:rPr>
                <w:rFonts w:ascii="Calibri" w:hAnsi="Calibri"/>
                <w:b w:val="0"/>
                <w:sz w:val="14"/>
              </w:rPr>
              <w:t>Hard cases: partial, cluttered, low-light</w:t>
            </w:r>
          </w:p>
        </w:tc>
      </w:tr>
      <w:tr>
        <w:trPr>
          <w:cantSplit w:val="true"/>
        </w:trPr>
        <w:tc>
          <w:tcPr>
            <w:tcW w:type="dxa" w:w="2494"/>
            <w:shd w:val="clear" w:color="auto" w:fill="EEF1F7"/>
          </w:tcPr>
          <w:p>
            <w:pPr>
              <w:spacing w:after="0" w:line="240" w:lineRule="auto"/>
              <w:jc w:val="left"/>
            </w:pPr>
            <w:r>
              <w:rPr>
                <w:rFonts w:ascii="Calibri" w:hAnsi="Calibri"/>
                <w:b w:val="0"/>
                <w:sz w:val="14"/>
              </w:rPr>
              <w:t>Own capture (phone camera at the inlet)</w:t>
            </w:r>
          </w:p>
        </w:tc>
        <w:tc>
          <w:tcPr>
            <w:tcW w:type="dxa" w:w="1701"/>
            <w:shd w:val="clear" w:color="auto" w:fill="EEF1F7"/>
          </w:tcPr>
          <w:p>
            <w:pPr>
              <w:spacing w:after="0" w:line="240" w:lineRule="auto"/>
              <w:jc w:val="left"/>
            </w:pPr>
            <w:r>
              <w:rPr>
                <w:rFonts w:ascii="Calibri" w:hAnsi="Calibri"/>
                <w:b w:val="0"/>
                <w:sz w:val="14"/>
              </w:rPr>
              <w:t>Owned</w:t>
            </w:r>
          </w:p>
        </w:tc>
        <w:tc>
          <w:tcPr>
            <w:tcW w:type="dxa" w:w="2381"/>
            <w:shd w:val="clear" w:color="auto" w:fill="EEF1F7"/>
          </w:tcPr>
          <w:p>
            <w:pPr>
              <w:spacing w:after="0" w:line="240" w:lineRule="auto"/>
              <w:jc w:val="left"/>
            </w:pPr>
            <w:r>
              <w:rPr>
                <w:rFonts w:ascii="Calibri" w:hAnsi="Calibri"/>
                <w:b w:val="0"/>
                <w:sz w:val="14"/>
              </w:rPr>
              <w:t>All four streams, Indian MSW mix</w:t>
            </w:r>
          </w:p>
        </w:tc>
        <w:tc>
          <w:tcPr>
            <w:tcW w:type="dxa" w:w="1247"/>
            <w:shd w:val="clear" w:color="auto" w:fill="EEF1F7"/>
          </w:tcPr>
          <w:p>
            <w:pPr>
              <w:spacing w:after="0" w:line="240" w:lineRule="auto"/>
              <w:jc w:val="left"/>
            </w:pPr>
            <w:r>
              <w:rPr>
                <w:rFonts w:ascii="Calibri" w:hAnsi="Calibri"/>
                <w:b w:val="0"/>
                <w:sz w:val="14"/>
              </w:rPr>
              <w:t>__</w:t>
            </w:r>
          </w:p>
        </w:tc>
        <w:tc>
          <w:tcPr>
            <w:tcW w:type="dxa" w:w="1587"/>
            <w:shd w:val="clear" w:color="auto" w:fill="EEF1F7"/>
          </w:tcPr>
          <w:p>
            <w:pPr>
              <w:spacing w:after="0" w:line="240" w:lineRule="auto"/>
              <w:jc w:val="left"/>
            </w:pPr>
            <w:r>
              <w:rPr>
                <w:rFonts w:ascii="Calibri" w:hAnsi="Calibri"/>
                <w:b w:val="0"/>
                <w:sz w:val="14"/>
              </w:rPr>
              <w:t>Domain match to the actual bin, and the per-condition results</w:t>
            </w:r>
          </w:p>
        </w:tc>
      </w:tr>
      <w:tr>
        <w:trPr>
          <w:cantSplit w:val="true"/>
        </w:trPr>
        <w:tc>
          <w:tcPr>
            <w:tcW w:type="dxa" w:w="2494"/>
          </w:tcPr>
          <w:p>
            <w:pPr>
              <w:spacing w:after="0" w:line="240" w:lineRule="auto"/>
              <w:jc w:val="left"/>
            </w:pPr>
            <w:r>
              <w:rPr>
                <w:rFonts w:ascii="Calibri" w:hAnsi="Calibri"/>
                <w:b/>
                <w:sz w:val="14"/>
              </w:rPr>
              <w:t>Total</w:t>
            </w:r>
          </w:p>
        </w:tc>
        <w:tc>
          <w:tcPr>
            <w:tcW w:type="dxa" w:w="1701"/>
          </w:tcPr>
          <w:p>
            <w:pPr>
              <w:spacing w:after="0" w:line="240" w:lineRule="auto"/>
              <w:jc w:val="left"/>
            </w:pPr>
          </w:p>
        </w:tc>
        <w:tc>
          <w:tcPr>
            <w:tcW w:type="dxa" w:w="2381"/>
          </w:tcPr>
          <w:p>
            <w:pPr>
              <w:spacing w:after="0" w:line="240" w:lineRule="auto"/>
              <w:jc w:val="left"/>
            </w:pPr>
            <w:r>
              <w:rPr>
                <w:rFonts w:ascii="Calibri" w:hAnsi="Calibri"/>
                <w:b w:val="0"/>
                <w:sz w:val="14"/>
              </w:rPr>
              <w:t>6 model classes</w:t>
            </w:r>
          </w:p>
        </w:tc>
        <w:tc>
          <w:tcPr>
            <w:tcW w:type="dxa" w:w="1247"/>
          </w:tcPr>
          <w:p>
            <w:pPr>
              <w:spacing w:after="0" w:line="240" w:lineRule="auto"/>
              <w:jc w:val="left"/>
            </w:pPr>
            <w:r>
              <w:rPr>
                <w:rFonts w:ascii="Calibri" w:hAnsi="Calibri"/>
                <w:b/>
                <w:sz w:val="14"/>
              </w:rPr>
              <w:t>__</w:t>
            </w:r>
          </w:p>
        </w:tc>
        <w:tc>
          <w:tcPr>
            <w:tcW w:type="dxa" w:w="1587"/>
          </w:tcPr>
          <w:p>
            <w:pPr>
              <w:spacing w:after="0" w:line="240" w:lineRule="auto"/>
              <w:jc w:val="left"/>
            </w:pPr>
            <w:r>
              <w:rPr>
                <w:rFonts w:ascii="Calibri" w:hAnsi="Calibri"/>
                <w:b w:val="0"/>
                <w:sz w:val="14"/>
              </w:rPr>
              <w:t>Report the exact count after cleaning</w:t>
            </w:r>
          </w:p>
        </w:tc>
      </w:tr>
    </w:tbl>
    <w:p>
      <w:pPr>
        <w:spacing w:before="40" w:after="160"/>
        <w:jc w:val="left"/>
      </w:pPr>
      <w:r>
        <w:rPr>
          <w:rFonts w:ascii="Calibri" w:hAnsi="Calibri"/>
          <w:i/>
          <w:color w:val="404040"/>
          <w:sz w:val="16"/>
        </w:rPr>
        <w:t>Fill the blanks with real counts. If the total is 11,280, fine — but then the test set, the confusion matrix and the split percentages must all be consistent with 11,280. If the total is smaller, say so. A smaller, honestly described dataset is far stronger than a large one that does not add up.</w:t>
      </w:r>
    </w:p>
    <w:p>
      <w:pPr>
        <w:keepNext/>
        <w:spacing w:before="200" w:after="80"/>
        <w:jc w:val="left"/>
      </w:pPr>
      <w:r>
        <w:rPr>
          <w:b/>
          <w:color w:val="1F3864"/>
          <w:sz w:val="23"/>
        </w:rPr>
        <w:t>6.2 What the results section must contain, in this order</w:t>
      </w:r>
    </w:p>
    <w:p>
      <w:pPr>
        <w:spacing w:after="60"/>
        <w:ind w:left="0"/>
        <w:jc w:val="both"/>
      </w:pPr>
      <w:r>
        <w:rPr>
          <w:b/>
          <w:i w:val="0"/>
          <w:sz w:val="21"/>
        </w:rPr>
        <w:t>1. Test-set definition: total images, images per class, and the split percentages. One sentence.</w:t>
      </w:r>
    </w:p>
    <w:p>
      <w:pPr>
        <w:spacing w:after="60"/>
        <w:ind w:left="0"/>
        <w:jc w:val="both"/>
      </w:pPr>
      <w:r>
        <w:rPr>
          <w:b/>
          <w:i w:val="0"/>
          <w:sz w:val="21"/>
        </w:rPr>
        <w:t>2. One confusion matrix, six classes, with a support column.</w:t>
      </w:r>
    </w:p>
    <w:p>
      <w:pPr>
        <w:spacing w:after="60"/>
        <w:ind w:left="0"/>
        <w:jc w:val="both"/>
      </w:pPr>
      <w:r>
        <w:rPr>
          <w:b/>
          <w:i w:val="0"/>
          <w:sz w:val="21"/>
        </w:rPr>
        <w:t>3. Per-class precision, recall and F1 computed from that matrix (not typed in separately), plus macro-F1 and overall accuracy.</w:t>
      </w:r>
    </w:p>
    <w:p>
      <w:pPr>
        <w:spacing w:after="60"/>
        <w:ind w:left="0"/>
        <w:jc w:val="both"/>
      </w:pPr>
      <w:r>
        <w:rPr>
          <w:b/>
          <w:i w:val="0"/>
          <w:sz w:val="21"/>
        </w:rPr>
        <w:t>4. Sensor-only baseline on the same test items — this is your fusion gain and it is the most original result you have.</w:t>
      </w:r>
    </w:p>
    <w:p>
      <w:pPr>
        <w:spacing w:after="60"/>
        <w:ind w:left="0"/>
        <w:jc w:val="both"/>
      </w:pPr>
      <w:r>
        <w:rPr>
          <w:b/>
          <w:i w:val="0"/>
          <w:sz w:val="21"/>
        </w:rPr>
        <w:t>5. The four-stream decision accuracy after applying Table 3.1, which is the number that actually describes the machine.</w:t>
      </w:r>
    </w:p>
    <w:p>
      <w:pPr>
        <w:spacing w:after="60"/>
        <w:ind w:left="0"/>
        <w:jc w:val="both"/>
      </w:pPr>
      <w:r>
        <w:rPr>
          <w:b/>
          <w:i w:val="0"/>
          <w:sz w:val="21"/>
        </w:rPr>
        <w:t>6. The qualitative failure cases: what the system gets wrong and why (glass vs plastic, wet plastic bags, aluminium).</w:t>
      </w:r>
    </w:p>
    <w:p>
      <w:pPr>
        <w:spacing w:after="120"/>
        <w:ind w:left="0"/>
        <w:jc w:val="both"/>
      </w:pPr>
      <w:r>
        <w:rPr>
          <w:b w:val="0"/>
          <w:i w:val="0"/>
          <w:sz w:val="21"/>
        </w:rPr>
        <w:t>Reporting macro-F1 alongside overall accuracy is not a formality: with unequal class supports the two diverge, and a reviewer who recomputes macro-F1 from your matrix will trust the report far more if it is already there.</w:t>
      </w:r>
    </w:p>
    <w:p>
      <w:r>
        <w:br w:type="page"/>
      </w:r>
    </w:p>
    <w:p>
      <w:pPr>
        <w:keepNext/>
        <w:spacing w:before="200" w:after="120"/>
        <w:jc w:val="left"/>
        <w:pBdr>
          <w:bottom w:val="single" w:sz="8" w:space="2" w:color="1F3864"/>
        </w:pBdr>
      </w:pPr>
      <w:r>
        <w:rPr>
          <w:b/>
          <w:color w:val="1F3864"/>
          <w:sz w:val="26"/>
        </w:rPr>
        <w:t>7. MARKET SIZING YOU CAN DEFEND — THE METHOD, IN YOUR UNITS</w:t>
      </w:r>
    </w:p>
    <w:p>
      <w:pPr>
        <w:spacing w:after="120"/>
        <w:ind w:left="0"/>
        <w:jc w:val="both"/>
      </w:pPr>
      <w:r>
        <w:rPr>
          <w:b w:val="0"/>
          <w:i w:val="0"/>
          <w:sz w:val="22"/>
        </w:rPr>
        <w:t>The previous numbers cannot be salvaged, because they are built in people and a bin is sold in units. Here is the same exercise rebuilt in households, with every input traceable. Replace the two placeholders with your own survey figures and the section becomes defensible.</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1587"/>
        <w:gridCol w:w="2381"/>
        <w:gridCol w:w="1927"/>
        <w:gridCol w:w="2268"/>
        <w:gridCol w:w="1247"/>
      </w:tblGrid>
      <w:tr>
        <w:trPr>
          <w:cantSplit w:val="true"/>
          <w:tblHeader w:val="true"/>
        </w:trPr>
        <w:tc>
          <w:tcPr>
            <w:tcW w:type="dxa" w:w="1587"/>
            <w:shd w:val="clear" w:color="auto" w:fill="1F3864"/>
          </w:tcPr>
          <w:p>
            <w:pPr>
              <w:spacing w:after="0" w:line="240" w:lineRule="auto"/>
              <w:jc w:val="left"/>
            </w:pPr>
            <w:r>
              <w:rPr>
                <w:rFonts w:ascii="Calibri" w:hAnsi="Calibri"/>
                <w:b/>
                <w:color w:val="FFFFFF"/>
                <w:sz w:val="14"/>
              </w:rPr>
              <w:t>Level</w:t>
            </w:r>
          </w:p>
        </w:tc>
        <w:tc>
          <w:tcPr>
            <w:tcW w:type="dxa" w:w="2381"/>
            <w:shd w:val="clear" w:color="auto" w:fill="1F3864"/>
          </w:tcPr>
          <w:p>
            <w:pPr>
              <w:spacing w:after="0" w:line="240" w:lineRule="auto"/>
              <w:jc w:val="left"/>
            </w:pPr>
            <w:r>
              <w:rPr>
                <w:rFonts w:ascii="Calibri" w:hAnsi="Calibri"/>
                <w:b/>
                <w:color w:val="FFFFFF"/>
                <w:sz w:val="14"/>
              </w:rPr>
              <w:t>Definition</w:t>
            </w:r>
          </w:p>
        </w:tc>
        <w:tc>
          <w:tcPr>
            <w:tcW w:type="dxa" w:w="1928"/>
            <w:shd w:val="clear" w:color="auto" w:fill="1F3864"/>
          </w:tcPr>
          <w:p>
            <w:pPr>
              <w:spacing w:after="0" w:line="240" w:lineRule="auto"/>
              <w:jc w:val="left"/>
            </w:pPr>
            <w:r>
              <w:rPr>
                <w:rFonts w:ascii="Calibri" w:hAnsi="Calibri"/>
                <w:b/>
                <w:color w:val="FFFFFF"/>
                <w:sz w:val="14"/>
              </w:rPr>
              <w:t>Input</w:t>
            </w:r>
          </w:p>
        </w:tc>
        <w:tc>
          <w:tcPr>
            <w:tcW w:type="dxa" w:w="2268"/>
            <w:shd w:val="clear" w:color="auto" w:fill="1F3864"/>
          </w:tcPr>
          <w:p>
            <w:pPr>
              <w:spacing w:after="0" w:line="240" w:lineRule="auto"/>
              <w:jc w:val="left"/>
            </w:pPr>
            <w:r>
              <w:rPr>
                <w:rFonts w:ascii="Calibri" w:hAnsi="Calibri"/>
                <w:b/>
                <w:color w:val="FFFFFF"/>
                <w:sz w:val="14"/>
              </w:rPr>
              <w:t>Source</w:t>
            </w:r>
          </w:p>
        </w:tc>
        <w:tc>
          <w:tcPr>
            <w:tcW w:type="dxa" w:w="1247"/>
            <w:shd w:val="clear" w:color="auto" w:fill="1F3864"/>
          </w:tcPr>
          <w:p>
            <w:pPr>
              <w:spacing w:after="0" w:line="240" w:lineRule="auto"/>
              <w:jc w:val="left"/>
            </w:pPr>
            <w:r>
              <w:rPr>
                <w:rFonts w:ascii="Calibri" w:hAnsi="Calibri"/>
                <w:b/>
                <w:color w:val="FFFFFF"/>
                <w:sz w:val="14"/>
              </w:rPr>
              <w:t>Result</w:t>
            </w:r>
          </w:p>
        </w:tc>
      </w:tr>
      <w:tr>
        <w:trPr>
          <w:cantSplit w:val="true"/>
        </w:trPr>
        <w:tc>
          <w:tcPr>
            <w:tcW w:type="dxa" w:w="1587"/>
          </w:tcPr>
          <w:p>
            <w:pPr>
              <w:spacing w:after="0" w:line="240" w:lineRule="auto"/>
              <w:jc w:val="left"/>
            </w:pPr>
            <w:r>
              <w:rPr>
                <w:rFonts w:ascii="Calibri" w:hAnsi="Calibri"/>
                <w:b w:val="0"/>
                <w:sz w:val="14"/>
              </w:rPr>
              <w:t>TAM — India</w:t>
            </w:r>
          </w:p>
        </w:tc>
        <w:tc>
          <w:tcPr>
            <w:tcW w:type="dxa" w:w="2381"/>
          </w:tcPr>
          <w:p>
            <w:pPr>
              <w:spacing w:after="0" w:line="240" w:lineRule="auto"/>
              <w:jc w:val="left"/>
            </w:pPr>
            <w:r>
              <w:rPr>
                <w:rFonts w:ascii="Calibri" w:hAnsi="Calibri"/>
                <w:b w:val="0"/>
                <w:sz w:val="14"/>
              </w:rPr>
              <w:t>Urban households addressable by a source-segregation device</w:t>
            </w:r>
          </w:p>
        </w:tc>
        <w:tc>
          <w:tcPr>
            <w:tcW w:type="dxa" w:w="1928"/>
          </w:tcPr>
          <w:p>
            <w:pPr>
              <w:spacing w:after="0" w:line="240" w:lineRule="auto"/>
              <w:jc w:val="left"/>
            </w:pPr>
            <w:r>
              <w:rPr>
                <w:rFonts w:ascii="Calibri" w:hAnsi="Calibri"/>
                <w:b w:val="0"/>
                <w:sz w:val="14"/>
              </w:rPr>
              <w:t>≈525 M urban ÷ 4.4 persons/household</w:t>
            </w:r>
          </w:p>
        </w:tc>
        <w:tc>
          <w:tcPr>
            <w:tcW w:type="dxa" w:w="2268"/>
          </w:tcPr>
          <w:p>
            <w:pPr>
              <w:spacing w:after="0" w:line="240" w:lineRule="auto"/>
              <w:jc w:val="left"/>
            </w:pPr>
            <w:r>
              <w:rPr>
                <w:rFonts w:ascii="Calibri" w:hAnsi="Calibri"/>
                <w:b w:val="0"/>
                <w:sz w:val="14"/>
              </w:rPr>
              <w:t>Census 2011 urban share 31.2%; 2026 population ≈1.46 bn</w:t>
            </w:r>
          </w:p>
        </w:tc>
        <w:tc>
          <w:tcPr>
            <w:tcW w:type="dxa" w:w="1247"/>
          </w:tcPr>
          <w:p>
            <w:pPr>
              <w:spacing w:after="0" w:line="240" w:lineRule="auto"/>
              <w:jc w:val="left"/>
            </w:pPr>
            <w:r>
              <w:rPr>
                <w:rFonts w:ascii="Calibri" w:hAnsi="Calibri"/>
                <w:b w:val="0"/>
                <w:sz w:val="14"/>
              </w:rPr>
              <w:t>≈119 M households</w:t>
            </w:r>
          </w:p>
        </w:tc>
      </w:tr>
      <w:tr>
        <w:trPr>
          <w:cantSplit w:val="true"/>
        </w:trPr>
        <w:tc>
          <w:tcPr>
            <w:tcW w:type="dxa" w:w="1587"/>
            <w:shd w:val="clear" w:color="auto" w:fill="EEF1F7"/>
          </w:tcPr>
          <w:p>
            <w:pPr>
              <w:spacing w:after="0" w:line="240" w:lineRule="auto"/>
              <w:jc w:val="left"/>
            </w:pPr>
            <w:r>
              <w:rPr>
                <w:rFonts w:ascii="Calibri" w:hAnsi="Calibri"/>
                <w:b w:val="0"/>
                <w:sz w:val="14"/>
              </w:rPr>
              <w:t>SAM — Tamil Nadu</w:t>
            </w:r>
          </w:p>
        </w:tc>
        <w:tc>
          <w:tcPr>
            <w:tcW w:type="dxa" w:w="2381"/>
            <w:shd w:val="clear" w:color="auto" w:fill="EEF1F7"/>
          </w:tcPr>
          <w:p>
            <w:pPr>
              <w:spacing w:after="0" w:line="240" w:lineRule="auto"/>
              <w:jc w:val="left"/>
            </w:pPr>
            <w:r>
              <w:rPr>
                <w:rFonts w:ascii="Calibri" w:hAnsi="Calibri"/>
                <w:b w:val="0"/>
                <w:sz w:val="14"/>
              </w:rPr>
              <w:t>Urban households in Tamil Nadu</w:t>
            </w:r>
          </w:p>
        </w:tc>
        <w:tc>
          <w:tcPr>
            <w:tcW w:type="dxa" w:w="1928"/>
            <w:shd w:val="clear" w:color="auto" w:fill="EEF1F7"/>
          </w:tcPr>
          <w:p>
            <w:pPr>
              <w:spacing w:after="0" w:line="240" w:lineRule="auto"/>
              <w:jc w:val="left"/>
            </w:pPr>
            <w:r>
              <w:rPr>
                <w:rFonts w:ascii="Calibri" w:hAnsi="Calibri"/>
                <w:b w:val="0"/>
                <w:sz w:val="14"/>
              </w:rPr>
              <w:t>34.9 M urban ÷ 4.0</w:t>
            </w:r>
          </w:p>
        </w:tc>
        <w:tc>
          <w:tcPr>
            <w:tcW w:type="dxa" w:w="2268"/>
            <w:shd w:val="clear" w:color="auto" w:fill="EEF1F7"/>
          </w:tcPr>
          <w:p>
            <w:pPr>
              <w:spacing w:after="0" w:line="240" w:lineRule="auto"/>
              <w:jc w:val="left"/>
            </w:pPr>
            <w:r>
              <w:rPr>
                <w:rFonts w:ascii="Calibri" w:hAnsi="Calibri"/>
                <w:b w:val="0"/>
                <w:sz w:val="14"/>
              </w:rPr>
              <w:t>Census 2011: TN 72.1 M, urban 48.4%</w:t>
            </w:r>
          </w:p>
        </w:tc>
        <w:tc>
          <w:tcPr>
            <w:tcW w:type="dxa" w:w="1247"/>
            <w:shd w:val="clear" w:color="auto" w:fill="EEF1F7"/>
          </w:tcPr>
          <w:p>
            <w:pPr>
              <w:spacing w:after="0" w:line="240" w:lineRule="auto"/>
              <w:jc w:val="left"/>
            </w:pPr>
            <w:r>
              <w:rPr>
                <w:rFonts w:ascii="Calibri" w:hAnsi="Calibri"/>
                <w:b w:val="0"/>
                <w:sz w:val="14"/>
              </w:rPr>
              <w:t>≈8.7 M households</w:t>
            </w:r>
          </w:p>
        </w:tc>
      </w:tr>
      <w:tr>
        <w:trPr>
          <w:cantSplit w:val="true"/>
        </w:trPr>
        <w:tc>
          <w:tcPr>
            <w:tcW w:type="dxa" w:w="1587"/>
          </w:tcPr>
          <w:p>
            <w:pPr>
              <w:spacing w:after="0" w:line="240" w:lineRule="auto"/>
              <w:jc w:val="left"/>
            </w:pPr>
            <w:r>
              <w:rPr>
                <w:rFonts w:ascii="Calibri" w:hAnsi="Calibri"/>
                <w:b w:val="0"/>
                <w:sz w:val="14"/>
              </w:rPr>
              <w:t>SOM — Chennai</w:t>
            </w:r>
          </w:p>
        </w:tc>
        <w:tc>
          <w:tcPr>
            <w:tcW w:type="dxa" w:w="2381"/>
          </w:tcPr>
          <w:p>
            <w:pPr>
              <w:spacing w:after="0" w:line="240" w:lineRule="auto"/>
              <w:jc w:val="left"/>
            </w:pPr>
            <w:r>
              <w:rPr>
                <w:rFonts w:ascii="Calibri" w:hAnsi="Calibri"/>
                <w:b w:val="0"/>
                <w:sz w:val="14"/>
              </w:rPr>
              <w:t>Chennai households × realistic 5-year penetration</w:t>
            </w:r>
          </w:p>
        </w:tc>
        <w:tc>
          <w:tcPr>
            <w:tcW w:type="dxa" w:w="1928"/>
          </w:tcPr>
          <w:p>
            <w:pPr>
              <w:spacing w:after="0" w:line="240" w:lineRule="auto"/>
              <w:jc w:val="left"/>
            </w:pPr>
            <w:r>
              <w:rPr>
                <w:rFonts w:ascii="Calibri" w:hAnsi="Calibri"/>
                <w:b w:val="0"/>
                <w:sz w:val="14"/>
              </w:rPr>
              <w:t>1.35 M × __%</w:t>
            </w:r>
          </w:p>
        </w:tc>
        <w:tc>
          <w:tcPr>
            <w:tcW w:type="dxa" w:w="2268"/>
          </w:tcPr>
          <w:p>
            <w:pPr>
              <w:spacing w:after="0" w:line="240" w:lineRule="auto"/>
              <w:jc w:val="left"/>
            </w:pPr>
            <w:r>
              <w:rPr>
                <w:rFonts w:ascii="Calibri" w:hAnsi="Calibri"/>
                <w:b w:val="0"/>
                <w:sz w:val="14"/>
              </w:rPr>
              <w:t>Chennai Corporation 4,646,732 (2011); ≈5.39 M (2025 est.)</w:t>
            </w:r>
          </w:p>
        </w:tc>
        <w:tc>
          <w:tcPr>
            <w:tcW w:type="dxa" w:w="1247"/>
          </w:tcPr>
          <w:p>
            <w:pPr>
              <w:spacing w:after="0" w:line="240" w:lineRule="auto"/>
              <w:jc w:val="left"/>
            </w:pPr>
            <w:r>
              <w:rPr>
                <w:rFonts w:ascii="Calibri" w:hAnsi="Calibri"/>
                <w:b w:val="0"/>
                <w:sz w:val="14"/>
              </w:rPr>
              <w:t>≈__ units</w:t>
            </w:r>
          </w:p>
        </w:tc>
      </w:tr>
      <w:tr>
        <w:trPr>
          <w:cantSplit w:val="true"/>
        </w:trPr>
        <w:tc>
          <w:tcPr>
            <w:tcW w:type="dxa" w:w="1587"/>
            <w:shd w:val="clear" w:color="auto" w:fill="EEF1F7"/>
          </w:tcPr>
          <w:p>
            <w:pPr>
              <w:spacing w:after="0" w:line="240" w:lineRule="auto"/>
              <w:jc w:val="left"/>
            </w:pPr>
            <w:r>
              <w:rPr>
                <w:rFonts w:ascii="Calibri" w:hAnsi="Calibri"/>
                <w:b w:val="0"/>
                <w:sz w:val="14"/>
              </w:rPr>
              <w:t>Value</w:t>
            </w:r>
          </w:p>
        </w:tc>
        <w:tc>
          <w:tcPr>
            <w:tcW w:type="dxa" w:w="2381"/>
            <w:shd w:val="clear" w:color="auto" w:fill="EEF1F7"/>
          </w:tcPr>
          <w:p>
            <w:pPr>
              <w:spacing w:after="0" w:line="240" w:lineRule="auto"/>
              <w:jc w:val="left"/>
            </w:pPr>
            <w:r>
              <w:rPr>
                <w:rFonts w:ascii="Calibri" w:hAnsi="Calibri"/>
                <w:b w:val="0"/>
                <w:sz w:val="14"/>
              </w:rPr>
              <w:t>SOM × unit price</w:t>
            </w:r>
          </w:p>
        </w:tc>
        <w:tc>
          <w:tcPr>
            <w:tcW w:type="dxa" w:w="1928"/>
            <w:shd w:val="clear" w:color="auto" w:fill="EEF1F7"/>
          </w:tcPr>
          <w:p>
            <w:pPr>
              <w:spacing w:after="0" w:line="240" w:lineRule="auto"/>
              <w:jc w:val="left"/>
            </w:pPr>
            <w:r>
              <w:rPr>
                <w:rFonts w:ascii="Calibri" w:hAnsi="Calibri"/>
                <w:b w:val="0"/>
                <w:sz w:val="14"/>
              </w:rPr>
              <w:t>__ × ₹__</w:t>
            </w:r>
          </w:p>
        </w:tc>
        <w:tc>
          <w:tcPr>
            <w:tcW w:type="dxa" w:w="2268"/>
            <w:shd w:val="clear" w:color="auto" w:fill="EEF1F7"/>
          </w:tcPr>
          <w:p>
            <w:pPr>
              <w:spacing w:after="0" w:line="240" w:lineRule="auto"/>
              <w:jc w:val="left"/>
            </w:pPr>
            <w:r>
              <w:rPr>
                <w:rFonts w:ascii="Calibri" w:hAnsi="Calibri"/>
                <w:b w:val="0"/>
                <w:sz w:val="14"/>
              </w:rPr>
              <w:t>Your BOM + target margin</w:t>
            </w:r>
          </w:p>
        </w:tc>
        <w:tc>
          <w:tcPr>
            <w:tcW w:type="dxa" w:w="1247"/>
            <w:shd w:val="clear" w:color="auto" w:fill="EEF1F7"/>
          </w:tcPr>
          <w:p>
            <w:pPr>
              <w:spacing w:after="0" w:line="240" w:lineRule="auto"/>
              <w:jc w:val="left"/>
            </w:pPr>
            <w:r>
              <w:rPr>
                <w:rFonts w:ascii="Calibri" w:hAnsi="Calibri"/>
                <w:b w:val="0"/>
                <w:sz w:val="14"/>
              </w:rPr>
              <w:t>₹__ crore</w:t>
            </w:r>
          </w:p>
        </w:tc>
      </w:tr>
    </w:tbl>
    <w:p>
      <w:pPr>
        <w:keepNext/>
        <w:spacing w:before="160" w:after="60"/>
        <w:jc w:val="left"/>
      </w:pPr>
      <w:r>
        <w:rPr>
          <w:rFonts w:ascii="Calibri" w:hAnsi="Calibri"/>
          <w:b/>
          <w:color w:val="1F3864"/>
          <w:sz w:val="18"/>
        </w:rPr>
        <w:t>Table 7.1 — Bottom-up sizing. Two placeholders remain: your penetration assumption and your price.</w:t>
      </w:r>
    </w:p>
    <w:p>
      <w:pPr>
        <w:spacing w:before="40" w:after="160"/>
        <w:jc w:val="left"/>
      </w:pPr>
      <w:r>
        <w:rPr>
          <w:rFonts w:ascii="Calibri" w:hAnsi="Calibri"/>
          <w:i/>
          <w:color w:val="404040"/>
          <w:sz w:val="16"/>
        </w:rPr>
        <w:t>If the review panel is not business-focused, this table can be short. What matters is that it is in households and rupees, and that every population figure carries its year and source. The old “343 million individuals” cannot be defended under any questioning.</w:t>
      </w:r>
    </w:p>
    <w:p>
      <w:r>
        <w:br w:type="page"/>
      </w:r>
    </w:p>
    <w:p>
      <w:pPr>
        <w:keepNext/>
        <w:spacing w:before="200" w:after="120"/>
        <w:jc w:val="left"/>
        <w:pBdr>
          <w:bottom w:val="single" w:sz="8" w:space="2" w:color="1F3864"/>
        </w:pBdr>
      </w:pPr>
      <w:r>
        <w:rPr>
          <w:b/>
          <w:color w:val="1F3864"/>
          <w:sz w:val="26"/>
        </w:rPr>
        <w:t>8. MONEY: THE SMALLEST VERSION THAT SURVIVES</w:t>
      </w:r>
    </w:p>
    <w:p>
      <w:pPr>
        <w:spacing w:after="120"/>
        <w:ind w:left="0"/>
        <w:jc w:val="both"/>
      </w:pPr>
      <w:r>
        <w:rPr>
          <w:b w:val="0"/>
          <w:i w:val="0"/>
          <w:sz w:val="22"/>
        </w:rPr>
        <w:t>You do not need a sophisticated financial model — you need one that does not contradict itself. Three commitments make the chapter safe, and each is a ten-minute edit.</w:t>
      </w:r>
    </w:p>
    <w:p>
      <w:pPr>
        <w:pStyle w:val="ListBullet"/>
        <w:spacing w:after="40"/>
        <w:ind w:left="454" w:hanging="255"/>
        <w:jc w:val="both"/>
      </w:pPr>
      <w:r>
        <w:rPr>
          <w:b/>
          <w:sz w:val="20"/>
        </w:rPr>
        <w:t>One price, in one currency.</w:t>
      </w:r>
      <w:r>
        <w:rPr>
          <w:b w:val="0"/>
          <w:sz w:val="20"/>
        </w:rPr>
        <w:t xml:space="preserve"> Quote ₹ throughout. If you keep the USD figures, state “USD 1 = ₹83” once and use it everywhere.</w:t>
      </w:r>
    </w:p>
    <w:p>
      <w:pPr>
        <w:pStyle w:val="ListBullet"/>
        <w:spacing w:after="40"/>
        <w:ind w:left="454" w:hanging="255"/>
        <w:jc w:val="both"/>
      </w:pPr>
      <w:r>
        <w:rPr>
          <w:b/>
          <w:sz w:val="20"/>
        </w:rPr>
        <w:t>One revenue series.</w:t>
      </w:r>
      <w:r>
        <w:rPr>
          <w:b w:val="0"/>
          <w:sz w:val="20"/>
        </w:rPr>
        <w:t xml:space="preserve"> Units sold × price per unit, for five years, monotone. If revenue falls in Year 5, the table must explain why.</w:t>
      </w:r>
    </w:p>
    <w:p>
      <w:pPr>
        <w:pStyle w:val="ListBullet"/>
        <w:spacing w:after="40"/>
        <w:ind w:left="454" w:hanging="255"/>
        <w:jc w:val="both"/>
      </w:pPr>
      <w:r>
        <w:rPr>
          <w:b/>
          <w:sz w:val="20"/>
        </w:rPr>
        <w:t>Break-even is a month, not a year.</w:t>
      </w:r>
      <w:r>
        <w:rPr>
          <w:b w:val="0"/>
          <w:sz w:val="20"/>
        </w:rPr>
        <w:t xml:space="preserve"> Compute cumulative cash flow month by month and state the month it turns positive. With two profitable years already claimed, “break-even in Year 2” is not a statement that can be made.</w:t>
      </w:r>
    </w:p>
    <w:p>
      <w:pPr>
        <w:spacing w:after="120"/>
        <w:ind w:left="0"/>
        <w:jc w:val="both"/>
      </w:pPr>
      <w:r>
        <w:rPr>
          <w:b w:val="0"/>
          <w:i w:val="0"/>
          <w:sz w:val="21"/>
        </w:rPr>
        <w:t xml:space="preserve">And one number is missing from both documents that a reviewer will ask for in the first five minutes: </w:t>
      </w:r>
      <w:r>
        <w:rPr>
          <w:b/>
          <w:i w:val="0"/>
          <w:sz w:val="21"/>
        </w:rPr>
        <w:t>what does one unit actually cost you to build?</w:t>
      </w:r>
      <w:r>
        <w:rPr>
          <w:b w:val="0"/>
          <w:i w:val="0"/>
          <w:sz w:val="21"/>
        </w:rPr>
        <w:t xml:space="preserve"> Publish the BOM. An indicative build for this specification lands in the ₹17,000–19,000 range before assembly and channel margin — Pi 4 ≈₹5,000, camera ≈₹800, six sensor modules ≈₹2,500, NEMA 17 + DRV8825 ≈₹1,600, 12 V 7 Ah pack + BMS ≈₹2,000, discs, bins, frame and 3D prints ≈₹5,000. Your own figures will be more accurate; the point is that the table exists and the price is derived from it rather than asserted.</w:t>
      </w:r>
    </w:p>
    <w:p>
      <w:r>
        <w:br w:type="page"/>
      </w:r>
    </w:p>
    <w:p>
      <w:pPr>
        <w:keepNext/>
        <w:spacing w:before="200" w:after="120"/>
        <w:jc w:val="left"/>
        <w:pBdr>
          <w:bottom w:val="single" w:sz="8" w:space="2" w:color="1F3864"/>
        </w:pBdr>
      </w:pPr>
      <w:r>
        <w:rPr>
          <w:b/>
          <w:color w:val="1F3864"/>
          <w:sz w:val="26"/>
        </w:rPr>
        <w:t>9. MEASUREMENT PLAN — WHAT TO LOG BEFORE YOU WRITE THE RESULTS</w:t>
      </w:r>
    </w:p>
    <w:p>
      <w:pPr>
        <w:spacing w:after="120"/>
        <w:ind w:left="0"/>
        <w:jc w:val="both"/>
      </w:pPr>
      <w:r>
        <w:rPr>
          <w:b w:val="0"/>
          <w:i w:val="0"/>
          <w:sz w:val="22"/>
        </w:rPr>
        <w:t>Every MEASURE tag in Table 1.1 closes with one of these four logs. Each is a few hours of work and each converts an unsupported claim into a defended one. If the template's deadline is tight, do logs 1 and 3 first: they carry the most weight.</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482"/>
        <w:gridCol w:w="1930"/>
        <w:gridCol w:w="3378"/>
        <w:gridCol w:w="2775"/>
        <w:gridCol w:w="844"/>
      </w:tblGrid>
      <w:tr>
        <w:trPr>
          <w:cantSplit w:val="true"/>
          <w:tblHeader w:val="true"/>
        </w:trPr>
        <w:tc>
          <w:tcPr>
            <w:tcW w:type="dxa" w:w="483"/>
            <w:shd w:val="clear" w:color="auto" w:fill="1F3864"/>
          </w:tcPr>
          <w:p>
            <w:pPr>
              <w:spacing w:after="0" w:line="240" w:lineRule="auto"/>
              <w:jc w:val="left"/>
            </w:pPr>
            <w:r>
              <w:rPr>
                <w:rFonts w:ascii="Calibri" w:hAnsi="Calibri"/>
                <w:b/>
                <w:color w:val="FFFFFF"/>
                <w:sz w:val="14"/>
              </w:rPr>
              <w:t>#</w:t>
            </w:r>
          </w:p>
        </w:tc>
        <w:tc>
          <w:tcPr>
            <w:tcW w:type="dxa" w:w="1930"/>
            <w:shd w:val="clear" w:color="auto" w:fill="1F3864"/>
          </w:tcPr>
          <w:p>
            <w:pPr>
              <w:spacing w:after="0" w:line="240" w:lineRule="auto"/>
              <w:jc w:val="left"/>
            </w:pPr>
            <w:r>
              <w:rPr>
                <w:rFonts w:ascii="Calibri" w:hAnsi="Calibri"/>
                <w:b/>
                <w:color w:val="FFFFFF"/>
                <w:sz w:val="14"/>
              </w:rPr>
              <w:t>Log to keep</w:t>
            </w:r>
          </w:p>
        </w:tc>
        <w:tc>
          <w:tcPr>
            <w:tcW w:type="dxa" w:w="3378"/>
            <w:shd w:val="clear" w:color="auto" w:fill="1F3864"/>
          </w:tcPr>
          <w:p>
            <w:pPr>
              <w:spacing w:after="0" w:line="240" w:lineRule="auto"/>
              <w:jc w:val="left"/>
            </w:pPr>
            <w:r>
              <w:rPr>
                <w:rFonts w:ascii="Calibri" w:hAnsi="Calibri"/>
                <w:b/>
                <w:color w:val="FFFFFF"/>
                <w:sz w:val="14"/>
              </w:rPr>
              <w:t>Procedure</w:t>
            </w:r>
          </w:p>
        </w:tc>
        <w:tc>
          <w:tcPr>
            <w:tcW w:type="dxa" w:w="2775"/>
            <w:shd w:val="clear" w:color="auto" w:fill="1F3864"/>
          </w:tcPr>
          <w:p>
            <w:pPr>
              <w:spacing w:after="0" w:line="240" w:lineRule="auto"/>
              <w:jc w:val="left"/>
            </w:pPr>
            <w:r>
              <w:rPr>
                <w:rFonts w:ascii="Calibri" w:hAnsi="Calibri"/>
                <w:b/>
                <w:color w:val="FFFFFF"/>
                <w:sz w:val="14"/>
              </w:rPr>
              <w:t>What it lets you claim</w:t>
            </w:r>
          </w:p>
        </w:tc>
        <w:tc>
          <w:tcPr>
            <w:tcW w:type="dxa" w:w="845"/>
            <w:shd w:val="clear" w:color="auto" w:fill="1F3864"/>
          </w:tcPr>
          <w:p>
            <w:pPr>
              <w:spacing w:after="0" w:line="240" w:lineRule="auto"/>
              <w:jc w:val="left"/>
            </w:pPr>
            <w:r>
              <w:rPr>
                <w:rFonts w:ascii="Calibri" w:hAnsi="Calibri"/>
                <w:b/>
                <w:color w:val="FFFFFF"/>
                <w:sz w:val="14"/>
              </w:rPr>
              <w:t>Effort</w:t>
            </w:r>
          </w:p>
        </w:tc>
      </w:tr>
      <w:tr>
        <w:trPr>
          <w:cantSplit w:val="true"/>
        </w:trPr>
        <w:tc>
          <w:tcPr>
            <w:tcW w:type="dxa" w:w="483"/>
          </w:tcPr>
          <w:p>
            <w:pPr>
              <w:spacing w:after="0" w:line="240" w:lineRule="auto"/>
              <w:jc w:val="left"/>
            </w:pPr>
            <w:r>
              <w:rPr>
                <w:rFonts w:ascii="Calibri" w:hAnsi="Calibri"/>
                <w:b w:val="0"/>
                <w:sz w:val="14"/>
              </w:rPr>
              <w:t>1</w:t>
            </w:r>
          </w:p>
        </w:tc>
        <w:tc>
          <w:tcPr>
            <w:tcW w:type="dxa" w:w="1930"/>
          </w:tcPr>
          <w:p>
            <w:pPr>
              <w:spacing w:after="0" w:line="240" w:lineRule="auto"/>
              <w:jc w:val="left"/>
            </w:pPr>
            <w:r>
              <w:rPr>
                <w:rFonts w:ascii="Calibri" w:hAnsi="Calibri"/>
                <w:b w:val="0"/>
                <w:sz w:val="14"/>
              </w:rPr>
              <w:t>Inference timing</w:t>
            </w:r>
          </w:p>
        </w:tc>
        <w:tc>
          <w:tcPr>
            <w:tcW w:type="dxa" w:w="3378"/>
          </w:tcPr>
          <w:p>
            <w:pPr>
              <w:spacing w:after="0" w:line="240" w:lineRule="auto"/>
              <w:jc w:val="left"/>
            </w:pPr>
            <w:r>
              <w:rPr>
                <w:rFonts w:ascii="Calibri" w:hAnsi="Calibri"/>
                <w:b w:val="0"/>
                <w:sz w:val="14"/>
              </w:rPr>
              <w:t>100 items, TFLite INT8, single-image batch, 10 warm-up runs discarded, median and p95 recorded, Pi power mode noted</w:t>
            </w:r>
          </w:p>
        </w:tc>
        <w:tc>
          <w:tcPr>
            <w:tcW w:type="dxa" w:w="2775"/>
          </w:tcPr>
          <w:p>
            <w:pPr>
              <w:spacing w:after="0" w:line="240" w:lineRule="auto"/>
              <w:jc w:val="left"/>
            </w:pPr>
            <w:r>
              <w:rPr>
                <w:rFonts w:ascii="Calibri" w:hAnsi="Calibri"/>
                <w:b w:val="0"/>
                <w:sz w:val="14"/>
              </w:rPr>
              <w:t>One honest inference time, replacing 3–7 s / 1.92 s / 65 ms</w:t>
            </w:r>
          </w:p>
        </w:tc>
        <w:tc>
          <w:tcPr>
            <w:tcW w:type="dxa" w:w="845"/>
          </w:tcPr>
          <w:p>
            <w:pPr>
              <w:spacing w:after="0" w:line="240" w:lineRule="auto"/>
              <w:jc w:val="left"/>
            </w:pPr>
            <w:r>
              <w:rPr>
                <w:rFonts w:ascii="Calibri" w:hAnsi="Calibri"/>
                <w:b w:val="0"/>
                <w:sz w:val="14"/>
              </w:rPr>
              <w:t>2 h</w:t>
            </w:r>
          </w:p>
        </w:tc>
      </w:tr>
      <w:tr>
        <w:trPr>
          <w:cantSplit w:val="true"/>
        </w:trPr>
        <w:tc>
          <w:tcPr>
            <w:tcW w:type="dxa" w:w="483"/>
            <w:shd w:val="clear" w:color="auto" w:fill="EEF1F7"/>
          </w:tcPr>
          <w:p>
            <w:pPr>
              <w:spacing w:after="0" w:line="240" w:lineRule="auto"/>
              <w:jc w:val="left"/>
            </w:pPr>
            <w:r>
              <w:rPr>
                <w:rFonts w:ascii="Calibri" w:hAnsi="Calibri"/>
                <w:b w:val="0"/>
                <w:sz w:val="14"/>
              </w:rPr>
              <w:t>2</w:t>
            </w:r>
          </w:p>
        </w:tc>
        <w:tc>
          <w:tcPr>
            <w:tcW w:type="dxa" w:w="1930"/>
            <w:shd w:val="clear" w:color="auto" w:fill="EEF1F7"/>
          </w:tcPr>
          <w:p>
            <w:pPr>
              <w:spacing w:after="0" w:line="240" w:lineRule="auto"/>
              <w:jc w:val="left"/>
            </w:pPr>
            <w:r>
              <w:rPr>
                <w:rFonts w:ascii="Calibri" w:hAnsi="Calibri"/>
                <w:b w:val="0"/>
                <w:sz w:val="14"/>
              </w:rPr>
              <w:t>Classification test</w:t>
            </w:r>
          </w:p>
        </w:tc>
        <w:tc>
          <w:tcPr>
            <w:tcW w:type="dxa" w:w="3378"/>
            <w:shd w:val="clear" w:color="auto" w:fill="EEF1F7"/>
          </w:tcPr>
          <w:p>
            <w:pPr>
              <w:spacing w:after="0" w:line="240" w:lineRule="auto"/>
              <w:jc w:val="left"/>
            </w:pPr>
            <w:r>
              <w:rPr>
                <w:rFonts w:ascii="Calibri" w:hAnsi="Calibri"/>
                <w:b w:val="0"/>
                <w:sz w:val="14"/>
              </w:rPr>
              <w:t>Held-out set, per-class support recorded, one matrix printed, metrics computed in code not by hand</w:t>
            </w:r>
          </w:p>
        </w:tc>
        <w:tc>
          <w:tcPr>
            <w:tcW w:type="dxa" w:w="2775"/>
            <w:shd w:val="clear" w:color="auto" w:fill="EEF1F7"/>
          </w:tcPr>
          <w:p>
            <w:pPr>
              <w:spacing w:after="0" w:line="240" w:lineRule="auto"/>
              <w:jc w:val="left"/>
            </w:pPr>
            <w:r>
              <w:rPr>
                <w:rFonts w:ascii="Calibri" w:hAnsi="Calibri"/>
                <w:b w:val="0"/>
                <w:sz w:val="14"/>
              </w:rPr>
              <w:t>One accuracy + macro-F1 that survives recomputation</w:t>
            </w:r>
          </w:p>
        </w:tc>
        <w:tc>
          <w:tcPr>
            <w:tcW w:type="dxa" w:w="845"/>
            <w:shd w:val="clear" w:color="auto" w:fill="EEF1F7"/>
          </w:tcPr>
          <w:p>
            <w:pPr>
              <w:spacing w:after="0" w:line="240" w:lineRule="auto"/>
              <w:jc w:val="left"/>
            </w:pPr>
            <w:r>
              <w:rPr>
                <w:rFonts w:ascii="Calibri" w:hAnsi="Calibri"/>
                <w:b w:val="0"/>
                <w:sz w:val="14"/>
              </w:rPr>
              <w:t>4 h</w:t>
            </w:r>
          </w:p>
        </w:tc>
      </w:tr>
      <w:tr>
        <w:trPr>
          <w:cantSplit w:val="true"/>
        </w:trPr>
        <w:tc>
          <w:tcPr>
            <w:tcW w:type="dxa" w:w="483"/>
          </w:tcPr>
          <w:p>
            <w:pPr>
              <w:spacing w:after="0" w:line="240" w:lineRule="auto"/>
              <w:jc w:val="left"/>
            </w:pPr>
            <w:r>
              <w:rPr>
                <w:rFonts w:ascii="Calibri" w:hAnsi="Calibri"/>
                <w:b w:val="0"/>
                <w:sz w:val="14"/>
              </w:rPr>
              <w:t>3</w:t>
            </w:r>
          </w:p>
        </w:tc>
        <w:tc>
          <w:tcPr>
            <w:tcW w:type="dxa" w:w="1930"/>
          </w:tcPr>
          <w:p>
            <w:pPr>
              <w:spacing w:after="0" w:line="240" w:lineRule="auto"/>
              <w:jc w:val="left"/>
            </w:pPr>
            <w:r>
              <w:rPr>
                <w:rFonts w:ascii="Calibri" w:hAnsi="Calibri"/>
                <w:b w:val="0"/>
                <w:sz w:val="14"/>
              </w:rPr>
              <w:t>Index repeatability</w:t>
            </w:r>
          </w:p>
        </w:tc>
        <w:tc>
          <w:tcPr>
            <w:tcW w:type="dxa" w:w="3378"/>
          </w:tcPr>
          <w:p>
            <w:pPr>
              <w:spacing w:after="0" w:line="240" w:lineRule="auto"/>
              <w:jc w:val="left"/>
            </w:pPr>
            <w:r>
              <w:rPr>
                <w:rFonts w:ascii="Calibri" w:hAnsi="Calibri"/>
                <w:b w:val="0"/>
                <w:sz w:val="14"/>
              </w:rPr>
              <w:t>Home the disc, command each of the 4 positions 25 times, record encoder count and dial-gauge deviation</w:t>
            </w:r>
          </w:p>
        </w:tc>
        <w:tc>
          <w:tcPr>
            <w:tcW w:type="dxa" w:w="2775"/>
          </w:tcPr>
          <w:p>
            <w:pPr>
              <w:spacing w:after="0" w:line="240" w:lineRule="auto"/>
              <w:jc w:val="left"/>
            </w:pPr>
            <w:r>
              <w:rPr>
                <w:rFonts w:ascii="Calibri" w:hAnsi="Calibri"/>
                <w:b w:val="0"/>
                <w:sz w:val="14"/>
              </w:rPr>
              <w:t>“≤ 0.5° over 100 cycles” with a distribution, replacing the 1.8° claim</w:t>
            </w:r>
          </w:p>
        </w:tc>
        <w:tc>
          <w:tcPr>
            <w:tcW w:type="dxa" w:w="845"/>
          </w:tcPr>
          <w:p>
            <w:pPr>
              <w:spacing w:after="0" w:line="240" w:lineRule="auto"/>
              <w:jc w:val="left"/>
            </w:pPr>
            <w:r>
              <w:rPr>
                <w:rFonts w:ascii="Calibri" w:hAnsi="Calibri"/>
                <w:b w:val="0"/>
                <w:sz w:val="14"/>
              </w:rPr>
              <w:t>3 h</w:t>
            </w:r>
          </w:p>
        </w:tc>
      </w:tr>
      <w:tr>
        <w:trPr>
          <w:cantSplit w:val="true"/>
        </w:trPr>
        <w:tc>
          <w:tcPr>
            <w:tcW w:type="dxa" w:w="483"/>
            <w:shd w:val="clear" w:color="auto" w:fill="EEF1F7"/>
          </w:tcPr>
          <w:p>
            <w:pPr>
              <w:spacing w:after="0" w:line="240" w:lineRule="auto"/>
              <w:jc w:val="left"/>
            </w:pPr>
            <w:r>
              <w:rPr>
                <w:rFonts w:ascii="Calibri" w:hAnsi="Calibri"/>
                <w:b w:val="0"/>
                <w:sz w:val="14"/>
              </w:rPr>
              <w:t>4</w:t>
            </w:r>
          </w:p>
        </w:tc>
        <w:tc>
          <w:tcPr>
            <w:tcW w:type="dxa" w:w="1930"/>
            <w:shd w:val="clear" w:color="auto" w:fill="EEF1F7"/>
          </w:tcPr>
          <w:p>
            <w:pPr>
              <w:spacing w:after="0" w:line="240" w:lineRule="auto"/>
              <w:jc w:val="left"/>
            </w:pPr>
            <w:r>
              <w:rPr>
                <w:rFonts w:ascii="Calibri" w:hAnsi="Calibri"/>
                <w:b w:val="0"/>
                <w:sz w:val="14"/>
              </w:rPr>
              <w:t>Power and runtime</w:t>
            </w:r>
          </w:p>
        </w:tc>
        <w:tc>
          <w:tcPr>
            <w:tcW w:type="dxa" w:w="3378"/>
            <w:shd w:val="clear" w:color="auto" w:fill="EEF1F7"/>
          </w:tcPr>
          <w:p>
            <w:pPr>
              <w:spacing w:after="0" w:line="240" w:lineRule="auto"/>
              <w:jc w:val="left"/>
            </w:pPr>
            <w:r>
              <w:rPr>
                <w:rFonts w:ascii="Calibri" w:hAnsi="Calibri"/>
                <w:b w:val="0"/>
                <w:sz w:val="14"/>
              </w:rPr>
              <w:t>Log V and I at idle, during inference, and during actuation; compute Wh per cycle; extrapolate to the pack</w:t>
            </w:r>
          </w:p>
        </w:tc>
        <w:tc>
          <w:tcPr>
            <w:tcW w:type="dxa" w:w="2775"/>
            <w:shd w:val="clear" w:color="auto" w:fill="EEF1F7"/>
          </w:tcPr>
          <w:p>
            <w:pPr>
              <w:spacing w:after="0" w:line="240" w:lineRule="auto"/>
              <w:jc w:val="left"/>
            </w:pPr>
            <w:r>
              <w:rPr>
                <w:rFonts w:ascii="Calibri" w:hAnsi="Calibri"/>
                <w:b w:val="0"/>
                <w:sz w:val="14"/>
              </w:rPr>
              <w:t>Runtime at a stated duty cycle, replacing “6–8 hours”</w:t>
            </w:r>
          </w:p>
        </w:tc>
        <w:tc>
          <w:tcPr>
            <w:tcW w:type="dxa" w:w="845"/>
            <w:shd w:val="clear" w:color="auto" w:fill="EEF1F7"/>
          </w:tcPr>
          <w:p>
            <w:pPr>
              <w:spacing w:after="0" w:line="240" w:lineRule="auto"/>
              <w:jc w:val="left"/>
            </w:pPr>
            <w:r>
              <w:rPr>
                <w:rFonts w:ascii="Calibri" w:hAnsi="Calibri"/>
                <w:b w:val="0"/>
                <w:sz w:val="14"/>
              </w:rPr>
              <w:t>3 h</w:t>
            </w:r>
          </w:p>
        </w:tc>
      </w:tr>
    </w:tbl>
    <w:p>
      <w:pPr>
        <w:keepNext/>
        <w:spacing w:before="160" w:after="60"/>
        <w:jc w:val="left"/>
      </w:pPr>
      <w:r>
        <w:rPr>
          <w:rFonts w:ascii="Calibri" w:hAnsi="Calibri"/>
          <w:b/>
          <w:color w:val="1F3864"/>
          <w:sz w:val="18"/>
        </w:rPr>
        <w:t>Table 9.1 — Four logs, about twelve hours total.</w:t>
      </w:r>
    </w:p>
    <w:p>
      <w:pPr>
        <w:spacing w:before="40" w:after="160"/>
        <w:jc w:val="left"/>
      </w:pPr>
      <w:r>
        <w:rPr>
          <w:rFonts w:ascii="Calibri" w:hAnsi="Calibri"/>
          <w:i/>
          <w:color w:val="404040"/>
          <w:sz w:val="16"/>
        </w:rPr>
        <w:t>With these four logs the results chapter becomes defensible in full. Without them, every performance sentence in the report is a sentence a reviewer can put a question mark against.</w:t>
      </w:r>
    </w:p>
    <w:p>
      <w:r>
        <w:br w:type="page"/>
      </w:r>
    </w:p>
    <w:p>
      <w:pPr>
        <w:keepNext/>
        <w:spacing w:before="200" w:after="120"/>
        <w:jc w:val="left"/>
        <w:pBdr>
          <w:bottom w:val="single" w:sz="8" w:space="2" w:color="1F3864"/>
        </w:pBdr>
      </w:pPr>
      <w:r>
        <w:rPr>
          <w:b/>
          <w:color w:val="1F3864"/>
          <w:sz w:val="26"/>
        </w:rPr>
        <w:t>10. CHAPTER-BY-CHAPTER CARRY-FORWARD MAP</w:t>
      </w:r>
    </w:p>
    <w:p>
      <w:pPr>
        <w:spacing w:after="120"/>
        <w:ind w:left="0"/>
        <w:jc w:val="both"/>
      </w:pPr>
      <w:r>
        <w:rPr>
          <w:b w:val="0"/>
          <w:i w:val="0"/>
          <w:sz w:val="22"/>
        </w:rPr>
        <w:t>How the old material should be redistributed into the new template, once it arrives. This is the plan; the template will only decide the numbering.</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2689"/>
        <w:gridCol w:w="1904"/>
        <w:gridCol w:w="2016"/>
        <w:gridCol w:w="2801"/>
      </w:tblGrid>
      <w:tr>
        <w:trPr>
          <w:cantSplit w:val="true"/>
          <w:tblHeader w:val="true"/>
        </w:trPr>
        <w:tc>
          <w:tcPr>
            <w:tcW w:type="dxa" w:w="2689"/>
            <w:shd w:val="clear" w:color="auto" w:fill="1F3864"/>
          </w:tcPr>
          <w:p>
            <w:pPr>
              <w:spacing w:after="0" w:line="240" w:lineRule="auto"/>
              <w:jc w:val="left"/>
            </w:pPr>
            <w:r>
              <w:rPr>
                <w:rFonts w:ascii="Calibri" w:hAnsi="Calibri"/>
                <w:b/>
                <w:color w:val="FFFFFF"/>
                <w:sz w:val="14"/>
              </w:rPr>
              <w:t>Old material</w:t>
            </w:r>
          </w:p>
        </w:tc>
        <w:tc>
          <w:tcPr>
            <w:tcW w:type="dxa" w:w="1905"/>
            <w:shd w:val="clear" w:color="auto" w:fill="1F3864"/>
          </w:tcPr>
          <w:p>
            <w:pPr>
              <w:spacing w:after="0" w:line="240" w:lineRule="auto"/>
              <w:jc w:val="left"/>
            </w:pPr>
            <w:r>
              <w:rPr>
                <w:rFonts w:ascii="Calibri" w:hAnsi="Calibri"/>
                <w:b/>
                <w:color w:val="FFFFFF"/>
                <w:sz w:val="14"/>
              </w:rPr>
              <w:t>Old location</w:t>
            </w:r>
          </w:p>
        </w:tc>
        <w:tc>
          <w:tcPr>
            <w:tcW w:type="dxa" w:w="2017"/>
            <w:shd w:val="clear" w:color="auto" w:fill="1F3864"/>
          </w:tcPr>
          <w:p>
            <w:pPr>
              <w:spacing w:after="0" w:line="240" w:lineRule="auto"/>
              <w:jc w:val="left"/>
            </w:pPr>
            <w:r>
              <w:rPr>
                <w:rFonts w:ascii="Calibri" w:hAnsi="Calibri"/>
                <w:b/>
                <w:color w:val="FFFFFF"/>
                <w:sz w:val="14"/>
              </w:rPr>
              <w:t>New location</w:t>
            </w:r>
          </w:p>
        </w:tc>
        <w:tc>
          <w:tcPr>
            <w:tcW w:type="dxa" w:w="2801"/>
            <w:shd w:val="clear" w:color="auto" w:fill="1F3864"/>
          </w:tcPr>
          <w:p>
            <w:pPr>
              <w:spacing w:after="0" w:line="240" w:lineRule="auto"/>
              <w:jc w:val="left"/>
            </w:pPr>
            <w:r>
              <w:rPr>
                <w:rFonts w:ascii="Calibri" w:hAnsi="Calibri"/>
                <w:b/>
                <w:color w:val="FFFFFF"/>
                <w:sz w:val="14"/>
              </w:rPr>
              <w:t>Treatment</w:t>
            </w:r>
          </w:p>
        </w:tc>
      </w:tr>
      <w:tr>
        <w:trPr>
          <w:cantSplit w:val="true"/>
        </w:trPr>
        <w:tc>
          <w:tcPr>
            <w:tcW w:type="dxa" w:w="2689"/>
          </w:tcPr>
          <w:p>
            <w:pPr>
              <w:spacing w:after="0" w:line="240" w:lineRule="auto"/>
              <w:jc w:val="left"/>
            </w:pPr>
            <w:r>
              <w:rPr>
                <w:rFonts w:ascii="Calibri" w:hAnsi="Calibri"/>
                <w:b w:val="0"/>
                <w:sz w:val="14"/>
              </w:rPr>
              <w:t>Thesis statement, motivation, four-category objective</w:t>
            </w:r>
          </w:p>
        </w:tc>
        <w:tc>
          <w:tcPr>
            <w:tcW w:type="dxa" w:w="1905"/>
          </w:tcPr>
          <w:p>
            <w:pPr>
              <w:spacing w:after="0" w:line="240" w:lineRule="auto"/>
              <w:jc w:val="left"/>
            </w:pPr>
            <w:r>
              <w:rPr>
                <w:rFonts w:ascii="Calibri" w:hAnsi="Calibri"/>
                <w:b w:val="0"/>
                <w:sz w:val="14"/>
              </w:rPr>
              <w:t>Paper §1–1.1</w:t>
            </w:r>
          </w:p>
        </w:tc>
        <w:tc>
          <w:tcPr>
            <w:tcW w:type="dxa" w:w="2017"/>
          </w:tcPr>
          <w:p>
            <w:pPr>
              <w:spacing w:after="0" w:line="240" w:lineRule="auto"/>
              <w:jc w:val="left"/>
            </w:pPr>
            <w:r>
              <w:rPr>
                <w:rFonts w:ascii="Calibri" w:hAnsi="Calibri"/>
                <w:b w:val="0"/>
                <w:sz w:val="14"/>
              </w:rPr>
              <w:t>Introduction</w:t>
            </w:r>
          </w:p>
        </w:tc>
        <w:tc>
          <w:tcPr>
            <w:tcW w:type="dxa" w:w="2801"/>
          </w:tcPr>
          <w:p>
            <w:pPr>
              <w:spacing w:after="0" w:line="240" w:lineRule="auto"/>
              <w:jc w:val="left"/>
            </w:pPr>
            <w:r>
              <w:rPr>
                <w:rFonts w:ascii="Calibri" w:hAnsi="Calibri"/>
                <w:b w:val="0"/>
                <w:sz w:val="14"/>
              </w:rPr>
              <w:t>Keep — tighten to one page</w:t>
            </w:r>
          </w:p>
        </w:tc>
      </w:tr>
      <w:tr>
        <w:trPr>
          <w:cantSplit w:val="true"/>
        </w:trPr>
        <w:tc>
          <w:tcPr>
            <w:tcW w:type="dxa" w:w="2689"/>
            <w:shd w:val="clear" w:color="auto" w:fill="EEF1F7"/>
          </w:tcPr>
          <w:p>
            <w:pPr>
              <w:spacing w:after="0" w:line="240" w:lineRule="auto"/>
              <w:jc w:val="left"/>
            </w:pPr>
            <w:r>
              <w:rPr>
                <w:rFonts w:ascii="Calibri" w:hAnsi="Calibri"/>
                <w:b w:val="0"/>
                <w:sz w:val="14"/>
              </w:rPr>
              <w:t>Literature review (paper's 20 references)</w:t>
            </w:r>
          </w:p>
        </w:tc>
        <w:tc>
          <w:tcPr>
            <w:tcW w:type="dxa" w:w="1905"/>
            <w:shd w:val="clear" w:color="auto" w:fill="EEF1F7"/>
          </w:tcPr>
          <w:p>
            <w:pPr>
              <w:spacing w:after="0" w:line="240" w:lineRule="auto"/>
              <w:jc w:val="left"/>
            </w:pPr>
            <w:r>
              <w:rPr>
                <w:rFonts w:ascii="Calibri" w:hAnsi="Calibri"/>
                <w:b w:val="0"/>
                <w:sz w:val="14"/>
              </w:rPr>
              <w:t>Paper §2</w:t>
            </w:r>
          </w:p>
        </w:tc>
        <w:tc>
          <w:tcPr>
            <w:tcW w:type="dxa" w:w="2017"/>
            <w:shd w:val="clear" w:color="auto" w:fill="EEF1F7"/>
          </w:tcPr>
          <w:p>
            <w:pPr>
              <w:spacing w:after="0" w:line="240" w:lineRule="auto"/>
              <w:jc w:val="left"/>
            </w:pPr>
            <w:r>
              <w:rPr>
                <w:rFonts w:ascii="Calibri" w:hAnsi="Calibri"/>
                <w:b w:val="0"/>
                <w:sz w:val="14"/>
              </w:rPr>
              <w:t>Literature review</w:t>
            </w:r>
          </w:p>
        </w:tc>
        <w:tc>
          <w:tcPr>
            <w:tcW w:type="dxa" w:w="2801"/>
            <w:shd w:val="clear" w:color="auto" w:fill="EEF1F7"/>
          </w:tcPr>
          <w:p>
            <w:pPr>
              <w:spacing w:after="0" w:line="240" w:lineRule="auto"/>
              <w:jc w:val="left"/>
            </w:pPr>
            <w:r>
              <w:rPr>
                <w:rFonts w:ascii="Calibri" w:hAnsi="Calibri"/>
                <w:b w:val="0"/>
                <w:sz w:val="14"/>
              </w:rPr>
              <w:t>Keep, convert to IEEE numeric, add the report's 3 traceable citations</w:t>
            </w:r>
          </w:p>
        </w:tc>
      </w:tr>
      <w:tr>
        <w:trPr>
          <w:cantSplit w:val="true"/>
        </w:trPr>
        <w:tc>
          <w:tcPr>
            <w:tcW w:type="dxa" w:w="2689"/>
          </w:tcPr>
          <w:p>
            <w:pPr>
              <w:spacing w:after="0" w:line="240" w:lineRule="auto"/>
              <w:jc w:val="left"/>
            </w:pPr>
            <w:r>
              <w:rPr>
                <w:rFonts w:ascii="Calibri" w:hAnsi="Calibri"/>
                <w:b w:val="0"/>
                <w:sz w:val="14"/>
              </w:rPr>
              <w:t>Module-level architecture</w:t>
            </w:r>
          </w:p>
        </w:tc>
        <w:tc>
          <w:tcPr>
            <w:tcW w:type="dxa" w:w="1905"/>
          </w:tcPr>
          <w:p>
            <w:pPr>
              <w:spacing w:after="0" w:line="240" w:lineRule="auto"/>
              <w:jc w:val="left"/>
            </w:pPr>
            <w:r>
              <w:rPr>
                <w:rFonts w:ascii="Calibri" w:hAnsi="Calibri"/>
                <w:b w:val="0"/>
                <w:sz w:val="14"/>
              </w:rPr>
              <w:t>Paper §3.1</w:t>
            </w:r>
          </w:p>
        </w:tc>
        <w:tc>
          <w:tcPr>
            <w:tcW w:type="dxa" w:w="2017"/>
          </w:tcPr>
          <w:p>
            <w:pPr>
              <w:spacing w:after="0" w:line="240" w:lineRule="auto"/>
              <w:jc w:val="left"/>
            </w:pPr>
            <w:r>
              <w:rPr>
                <w:rFonts w:ascii="Calibri" w:hAnsi="Calibri"/>
                <w:b w:val="0"/>
                <w:sz w:val="14"/>
              </w:rPr>
              <w:t>Design and architecture</w:t>
            </w:r>
          </w:p>
        </w:tc>
        <w:tc>
          <w:tcPr>
            <w:tcW w:type="dxa" w:w="2801"/>
          </w:tcPr>
          <w:p>
            <w:pPr>
              <w:spacing w:after="0" w:line="240" w:lineRule="auto"/>
              <w:jc w:val="left"/>
            </w:pPr>
            <w:r>
              <w:rPr>
                <w:rFonts w:ascii="Calibri" w:hAnsi="Calibri"/>
                <w:b w:val="0"/>
                <w:sz w:val="14"/>
              </w:rPr>
              <w:t>Rebuild as Figure 2.1 with interfaces</w:t>
            </w:r>
          </w:p>
        </w:tc>
      </w:tr>
      <w:tr>
        <w:trPr>
          <w:cantSplit w:val="true"/>
        </w:trPr>
        <w:tc>
          <w:tcPr>
            <w:tcW w:type="dxa" w:w="2689"/>
            <w:shd w:val="clear" w:color="auto" w:fill="EEF1F7"/>
          </w:tcPr>
          <w:p>
            <w:pPr>
              <w:spacing w:after="0" w:line="240" w:lineRule="auto"/>
              <w:jc w:val="left"/>
            </w:pPr>
            <w:r>
              <w:rPr>
                <w:rFonts w:ascii="Calibri" w:hAnsi="Calibri"/>
                <w:b w:val="0"/>
                <w:sz w:val="14"/>
              </w:rPr>
              <w:t>Prototype dimensions, assembly, disc design</w:t>
            </w:r>
          </w:p>
        </w:tc>
        <w:tc>
          <w:tcPr>
            <w:tcW w:type="dxa" w:w="1905"/>
            <w:shd w:val="clear" w:color="auto" w:fill="EEF1F7"/>
          </w:tcPr>
          <w:p>
            <w:pPr>
              <w:spacing w:after="0" w:line="240" w:lineRule="auto"/>
              <w:jc w:val="left"/>
            </w:pPr>
            <w:r>
              <w:rPr>
                <w:rFonts w:ascii="Calibri" w:hAnsi="Calibri"/>
                <w:b w:val="0"/>
                <w:sz w:val="14"/>
              </w:rPr>
              <w:t>Paper §3.2; Report §7.3</w:t>
            </w:r>
          </w:p>
        </w:tc>
        <w:tc>
          <w:tcPr>
            <w:tcW w:type="dxa" w:w="2017"/>
            <w:shd w:val="clear" w:color="auto" w:fill="EEF1F7"/>
          </w:tcPr>
          <w:p>
            <w:pPr>
              <w:spacing w:after="0" w:line="240" w:lineRule="auto"/>
              <w:jc w:val="left"/>
            </w:pPr>
            <w:r>
              <w:rPr>
                <w:rFonts w:ascii="Calibri" w:hAnsi="Calibri"/>
                <w:b w:val="0"/>
                <w:sz w:val="14"/>
              </w:rPr>
              <w:t>Design and architecture</w:t>
            </w:r>
          </w:p>
        </w:tc>
        <w:tc>
          <w:tcPr>
            <w:tcW w:type="dxa" w:w="2801"/>
            <w:shd w:val="clear" w:color="auto" w:fill="EEF1F7"/>
          </w:tcPr>
          <w:p>
            <w:pPr>
              <w:spacing w:after="0" w:line="240" w:lineRule="auto"/>
              <w:jc w:val="left"/>
            </w:pPr>
            <w:r>
              <w:rPr>
                <w:rFonts w:ascii="Calibri" w:hAnsi="Calibri"/>
                <w:b w:val="0"/>
                <w:sz w:val="14"/>
              </w:rPr>
              <w:t>Keep — add Table 4.1 and the 2×2 layout</w:t>
            </w:r>
          </w:p>
        </w:tc>
      </w:tr>
      <w:tr>
        <w:trPr>
          <w:cantSplit w:val="true"/>
        </w:trPr>
        <w:tc>
          <w:tcPr>
            <w:tcW w:type="dxa" w:w="2689"/>
          </w:tcPr>
          <w:p>
            <w:pPr>
              <w:spacing w:after="0" w:line="240" w:lineRule="auto"/>
              <w:jc w:val="left"/>
            </w:pPr>
            <w:r>
              <w:rPr>
                <w:rFonts w:ascii="Calibri" w:hAnsi="Calibri"/>
                <w:b w:val="0"/>
                <w:sz w:val="14"/>
              </w:rPr>
              <w:t>Decision framework, fusion rules, control logic</w:t>
            </w:r>
          </w:p>
        </w:tc>
        <w:tc>
          <w:tcPr>
            <w:tcW w:type="dxa" w:w="1905"/>
          </w:tcPr>
          <w:p>
            <w:pPr>
              <w:spacing w:after="0" w:line="240" w:lineRule="auto"/>
              <w:jc w:val="left"/>
            </w:pPr>
            <w:r>
              <w:rPr>
                <w:rFonts w:ascii="Calibri" w:hAnsi="Calibri"/>
                <w:b w:val="0"/>
                <w:sz w:val="14"/>
              </w:rPr>
              <w:t>Paper §3.3</w:t>
            </w:r>
          </w:p>
        </w:tc>
        <w:tc>
          <w:tcPr>
            <w:tcW w:type="dxa" w:w="2017"/>
          </w:tcPr>
          <w:p>
            <w:pPr>
              <w:spacing w:after="0" w:line="240" w:lineRule="auto"/>
              <w:jc w:val="left"/>
            </w:pPr>
            <w:r>
              <w:rPr>
                <w:rFonts w:ascii="Calibri" w:hAnsi="Calibri"/>
                <w:b w:val="0"/>
                <w:sz w:val="14"/>
              </w:rPr>
              <w:t>Design and architecture</w:t>
            </w:r>
          </w:p>
        </w:tc>
        <w:tc>
          <w:tcPr>
            <w:tcW w:type="dxa" w:w="2801"/>
          </w:tcPr>
          <w:p>
            <w:pPr>
              <w:spacing w:after="0" w:line="240" w:lineRule="auto"/>
              <w:jc w:val="left"/>
            </w:pPr>
            <w:r>
              <w:rPr>
                <w:rFonts w:ascii="Calibri" w:hAnsi="Calibri"/>
                <w:b w:val="0"/>
                <w:sz w:val="14"/>
              </w:rPr>
              <w:t>Keep, and add Table 3.1 (class → compartment)</w:t>
            </w:r>
          </w:p>
        </w:tc>
      </w:tr>
      <w:tr>
        <w:trPr>
          <w:cantSplit w:val="true"/>
        </w:trPr>
        <w:tc>
          <w:tcPr>
            <w:tcW w:type="dxa" w:w="2689"/>
            <w:shd w:val="clear" w:color="auto" w:fill="EEF1F7"/>
          </w:tcPr>
          <w:p>
            <w:pPr>
              <w:spacing w:after="0" w:line="240" w:lineRule="auto"/>
              <w:jc w:val="left"/>
            </w:pPr>
            <w:r>
              <w:rPr>
                <w:rFonts w:ascii="Calibri" w:hAnsi="Calibri"/>
                <w:b w:val="0"/>
                <w:sz w:val="14"/>
              </w:rPr>
              <w:t>Integration, actuation, firmware, workflow</w:t>
            </w:r>
          </w:p>
        </w:tc>
        <w:tc>
          <w:tcPr>
            <w:tcW w:type="dxa" w:w="1905"/>
            <w:shd w:val="clear" w:color="auto" w:fill="EEF1F7"/>
          </w:tcPr>
          <w:p>
            <w:pPr>
              <w:spacing w:after="0" w:line="240" w:lineRule="auto"/>
              <w:jc w:val="left"/>
            </w:pPr>
            <w:r>
              <w:rPr>
                <w:rFonts w:ascii="Calibri" w:hAnsi="Calibri"/>
                <w:b w:val="0"/>
                <w:sz w:val="14"/>
              </w:rPr>
              <w:t>Paper §3.4</w:t>
            </w:r>
          </w:p>
        </w:tc>
        <w:tc>
          <w:tcPr>
            <w:tcW w:type="dxa" w:w="2017"/>
            <w:shd w:val="clear" w:color="auto" w:fill="EEF1F7"/>
          </w:tcPr>
          <w:p>
            <w:pPr>
              <w:spacing w:after="0" w:line="240" w:lineRule="auto"/>
              <w:jc w:val="left"/>
            </w:pPr>
            <w:r>
              <w:rPr>
                <w:rFonts w:ascii="Calibri" w:hAnsi="Calibri"/>
                <w:b w:val="0"/>
                <w:sz w:val="14"/>
              </w:rPr>
              <w:t>Design and architecture</w:t>
            </w:r>
          </w:p>
        </w:tc>
        <w:tc>
          <w:tcPr>
            <w:tcW w:type="dxa" w:w="2801"/>
            <w:shd w:val="clear" w:color="auto" w:fill="EEF1F7"/>
          </w:tcPr>
          <w:p>
            <w:pPr>
              <w:spacing w:after="0" w:line="240" w:lineRule="auto"/>
              <w:jc w:val="left"/>
            </w:pPr>
            <w:r>
              <w:rPr>
                <w:rFonts w:ascii="Calibri" w:hAnsi="Calibri"/>
                <w:b w:val="0"/>
                <w:sz w:val="14"/>
              </w:rPr>
              <w:t>Keep, add Table 3.4 (interfaces)</w:t>
            </w:r>
          </w:p>
        </w:tc>
      </w:tr>
      <w:tr>
        <w:trPr>
          <w:cantSplit w:val="true"/>
        </w:trPr>
        <w:tc>
          <w:tcPr>
            <w:tcW w:type="dxa" w:w="2689"/>
          </w:tcPr>
          <w:p>
            <w:pPr>
              <w:spacing w:after="0" w:line="240" w:lineRule="auto"/>
              <w:jc w:val="left"/>
            </w:pPr>
            <w:r>
              <w:rPr>
                <w:rFonts w:ascii="Calibri" w:hAnsi="Calibri"/>
                <w:b w:val="0"/>
                <w:sz w:val="14"/>
              </w:rPr>
              <w:t>Dataset description</w:t>
            </w:r>
          </w:p>
        </w:tc>
        <w:tc>
          <w:tcPr>
            <w:tcW w:type="dxa" w:w="1905"/>
          </w:tcPr>
          <w:p>
            <w:pPr>
              <w:spacing w:after="0" w:line="240" w:lineRule="auto"/>
              <w:jc w:val="left"/>
            </w:pPr>
            <w:r>
              <w:rPr>
                <w:rFonts w:ascii="Calibri" w:hAnsi="Calibri"/>
                <w:b w:val="0"/>
                <w:sz w:val="14"/>
              </w:rPr>
              <w:t>Paper §4</w:t>
            </w:r>
          </w:p>
        </w:tc>
        <w:tc>
          <w:tcPr>
            <w:tcW w:type="dxa" w:w="2017"/>
          </w:tcPr>
          <w:p>
            <w:pPr>
              <w:spacing w:after="0" w:line="240" w:lineRule="auto"/>
              <w:jc w:val="left"/>
            </w:pPr>
            <w:r>
              <w:rPr>
                <w:rFonts w:ascii="Calibri" w:hAnsi="Calibri"/>
                <w:b w:val="0"/>
                <w:sz w:val="14"/>
              </w:rPr>
              <w:t>Model development</w:t>
            </w:r>
          </w:p>
        </w:tc>
        <w:tc>
          <w:tcPr>
            <w:tcW w:type="dxa" w:w="2801"/>
          </w:tcPr>
          <w:p>
            <w:pPr>
              <w:spacing w:after="0" w:line="240" w:lineRule="auto"/>
              <w:jc w:val="left"/>
            </w:pPr>
            <w:r>
              <w:rPr>
                <w:rFonts w:ascii="Calibri" w:hAnsi="Calibri"/>
                <w:b w:val="0"/>
                <w:sz w:val="14"/>
              </w:rPr>
              <w:t>Replace with the provenance table (§6.1)</w:t>
            </w:r>
          </w:p>
        </w:tc>
      </w:tr>
      <w:tr>
        <w:trPr>
          <w:cantSplit w:val="true"/>
        </w:trPr>
        <w:tc>
          <w:tcPr>
            <w:tcW w:type="dxa" w:w="2689"/>
            <w:shd w:val="clear" w:color="auto" w:fill="EEF1F7"/>
          </w:tcPr>
          <w:p>
            <w:pPr>
              <w:spacing w:after="0" w:line="240" w:lineRule="auto"/>
              <w:jc w:val="left"/>
            </w:pPr>
            <w:r>
              <w:rPr>
                <w:rFonts w:ascii="Calibri" w:hAnsi="Calibri"/>
                <w:b w:val="0"/>
                <w:sz w:val="14"/>
              </w:rPr>
              <w:t>Sensor and CNN results</w:t>
            </w:r>
          </w:p>
        </w:tc>
        <w:tc>
          <w:tcPr>
            <w:tcW w:type="dxa" w:w="1905"/>
            <w:shd w:val="clear" w:color="auto" w:fill="EEF1F7"/>
          </w:tcPr>
          <w:p>
            <w:pPr>
              <w:spacing w:after="0" w:line="240" w:lineRule="auto"/>
              <w:jc w:val="left"/>
            </w:pPr>
            <w:r>
              <w:rPr>
                <w:rFonts w:ascii="Calibri" w:hAnsi="Calibri"/>
                <w:b w:val="0"/>
                <w:sz w:val="14"/>
              </w:rPr>
              <w:t>Paper §5.1</w:t>
            </w:r>
          </w:p>
        </w:tc>
        <w:tc>
          <w:tcPr>
            <w:tcW w:type="dxa" w:w="2017"/>
            <w:shd w:val="clear" w:color="auto" w:fill="EEF1F7"/>
          </w:tcPr>
          <w:p>
            <w:pPr>
              <w:spacing w:after="0" w:line="240" w:lineRule="auto"/>
              <w:jc w:val="left"/>
            </w:pPr>
            <w:r>
              <w:rPr>
                <w:rFonts w:ascii="Calibri" w:hAnsi="Calibri"/>
                <w:b w:val="0"/>
                <w:sz w:val="14"/>
              </w:rPr>
              <w:t>Results</w:t>
            </w:r>
          </w:p>
        </w:tc>
        <w:tc>
          <w:tcPr>
            <w:tcW w:type="dxa" w:w="2801"/>
            <w:shd w:val="clear" w:color="auto" w:fill="EEF1F7"/>
          </w:tcPr>
          <w:p>
            <w:pPr>
              <w:spacing w:after="0" w:line="240" w:lineRule="auto"/>
              <w:jc w:val="left"/>
            </w:pPr>
            <w:r>
              <w:rPr>
                <w:rFonts w:ascii="Calibri" w:hAnsi="Calibri"/>
                <w:b w:val="0"/>
                <w:sz w:val="14"/>
              </w:rPr>
              <w:t>Replace both matrices with one consistent run; add macro-F1</w:t>
            </w:r>
          </w:p>
        </w:tc>
      </w:tr>
      <w:tr>
        <w:trPr>
          <w:cantSplit w:val="true"/>
        </w:trPr>
        <w:tc>
          <w:tcPr>
            <w:tcW w:type="dxa" w:w="2689"/>
          </w:tcPr>
          <w:p>
            <w:pPr>
              <w:spacing w:after="0" w:line="240" w:lineRule="auto"/>
              <w:jc w:val="left"/>
            </w:pPr>
            <w:r>
              <w:rPr>
                <w:rFonts w:ascii="Calibri" w:hAnsi="Calibri"/>
                <w:b w:val="0"/>
                <w:sz w:val="14"/>
              </w:rPr>
              <w:t>Training curves, architecture comparison</w:t>
            </w:r>
          </w:p>
        </w:tc>
        <w:tc>
          <w:tcPr>
            <w:tcW w:type="dxa" w:w="1905"/>
          </w:tcPr>
          <w:p>
            <w:pPr>
              <w:spacing w:after="0" w:line="240" w:lineRule="auto"/>
              <w:jc w:val="left"/>
            </w:pPr>
            <w:r>
              <w:rPr>
                <w:rFonts w:ascii="Calibri" w:hAnsi="Calibri"/>
                <w:b w:val="0"/>
                <w:sz w:val="14"/>
              </w:rPr>
              <w:t>Paper §5.2; Report Fig 7.5–7.6</w:t>
            </w:r>
          </w:p>
        </w:tc>
        <w:tc>
          <w:tcPr>
            <w:tcW w:type="dxa" w:w="2017"/>
          </w:tcPr>
          <w:p>
            <w:pPr>
              <w:spacing w:after="0" w:line="240" w:lineRule="auto"/>
              <w:jc w:val="left"/>
            </w:pPr>
            <w:r>
              <w:rPr>
                <w:rFonts w:ascii="Calibri" w:hAnsi="Calibri"/>
                <w:b w:val="0"/>
                <w:sz w:val="14"/>
              </w:rPr>
              <w:t>Results</w:t>
            </w:r>
          </w:p>
        </w:tc>
        <w:tc>
          <w:tcPr>
            <w:tcW w:type="dxa" w:w="2801"/>
          </w:tcPr>
          <w:p>
            <w:pPr>
              <w:spacing w:after="0" w:line="240" w:lineRule="auto"/>
              <w:jc w:val="left"/>
            </w:pPr>
            <w:r>
              <w:rPr>
                <w:rFonts w:ascii="Calibri" w:hAnsi="Calibri"/>
                <w:b w:val="0"/>
                <w:sz w:val="14"/>
              </w:rPr>
              <w:t>Keep the curves; re-plot the comparison with your own timings</w:t>
            </w:r>
          </w:p>
        </w:tc>
      </w:tr>
      <w:tr>
        <w:trPr>
          <w:cantSplit w:val="true"/>
        </w:trPr>
        <w:tc>
          <w:tcPr>
            <w:tcW w:type="dxa" w:w="2689"/>
            <w:shd w:val="clear" w:color="auto" w:fill="EEF1F7"/>
          </w:tcPr>
          <w:p>
            <w:pPr>
              <w:spacing w:after="0" w:line="240" w:lineRule="auto"/>
              <w:jc w:val="left"/>
            </w:pPr>
            <w:r>
              <w:rPr>
                <w:rFonts w:ascii="Calibri" w:hAnsi="Calibri"/>
                <w:b w:val="0"/>
                <w:sz w:val="14"/>
              </w:rPr>
              <w:t>Validation (accuracy, cycle, IoT)</w:t>
            </w:r>
          </w:p>
        </w:tc>
        <w:tc>
          <w:tcPr>
            <w:tcW w:type="dxa" w:w="1905"/>
            <w:shd w:val="clear" w:color="auto" w:fill="EEF1F7"/>
          </w:tcPr>
          <w:p>
            <w:pPr>
              <w:spacing w:after="0" w:line="240" w:lineRule="auto"/>
              <w:jc w:val="left"/>
            </w:pPr>
            <w:r>
              <w:rPr>
                <w:rFonts w:ascii="Calibri" w:hAnsi="Calibri"/>
                <w:b w:val="0"/>
                <w:sz w:val="14"/>
              </w:rPr>
              <w:t>Paper §5.4</w:t>
            </w:r>
          </w:p>
        </w:tc>
        <w:tc>
          <w:tcPr>
            <w:tcW w:type="dxa" w:w="2017"/>
            <w:shd w:val="clear" w:color="auto" w:fill="EEF1F7"/>
          </w:tcPr>
          <w:p>
            <w:pPr>
              <w:spacing w:after="0" w:line="240" w:lineRule="auto"/>
              <w:jc w:val="left"/>
            </w:pPr>
            <w:r>
              <w:rPr>
                <w:rFonts w:ascii="Calibri" w:hAnsi="Calibri"/>
                <w:b w:val="0"/>
                <w:sz w:val="14"/>
              </w:rPr>
              <w:t>Results</w:t>
            </w:r>
          </w:p>
        </w:tc>
        <w:tc>
          <w:tcPr>
            <w:tcW w:type="dxa" w:w="2801"/>
            <w:shd w:val="clear" w:color="auto" w:fill="EEF1F7"/>
          </w:tcPr>
          <w:p>
            <w:pPr>
              <w:spacing w:after="0" w:line="240" w:lineRule="auto"/>
              <w:jc w:val="left"/>
            </w:pPr>
            <w:r>
              <w:rPr>
                <w:rFonts w:ascii="Calibri" w:hAnsi="Calibri"/>
                <w:b w:val="0"/>
                <w:sz w:val="14"/>
              </w:rPr>
              <w:t>Keep cycle time; re-derive accuracy; IoT latency only if logged</w:t>
            </w:r>
          </w:p>
        </w:tc>
      </w:tr>
      <w:tr>
        <w:trPr>
          <w:cantSplit w:val="true"/>
        </w:trPr>
        <w:tc>
          <w:tcPr>
            <w:tcW w:type="dxa" w:w="2689"/>
          </w:tcPr>
          <w:p>
            <w:pPr>
              <w:spacing w:after="0" w:line="240" w:lineRule="auto"/>
              <w:jc w:val="left"/>
            </w:pPr>
            <w:r>
              <w:rPr>
                <w:rFonts w:ascii="Calibri" w:hAnsi="Calibri"/>
                <w:b w:val="0"/>
                <w:sz w:val="14"/>
              </w:rPr>
              <w:t>Proposed improvements</w:t>
            </w:r>
          </w:p>
        </w:tc>
        <w:tc>
          <w:tcPr>
            <w:tcW w:type="dxa" w:w="1905"/>
          </w:tcPr>
          <w:p>
            <w:pPr>
              <w:spacing w:after="0" w:line="240" w:lineRule="auto"/>
              <w:jc w:val="left"/>
            </w:pPr>
            <w:r>
              <w:rPr>
                <w:rFonts w:ascii="Calibri" w:hAnsi="Calibri"/>
                <w:b w:val="0"/>
                <w:sz w:val="14"/>
              </w:rPr>
              <w:t>Paper §5.3</w:t>
            </w:r>
          </w:p>
        </w:tc>
        <w:tc>
          <w:tcPr>
            <w:tcW w:type="dxa" w:w="2017"/>
          </w:tcPr>
          <w:p>
            <w:pPr>
              <w:spacing w:after="0" w:line="240" w:lineRule="auto"/>
              <w:jc w:val="left"/>
            </w:pPr>
            <w:r>
              <w:rPr>
                <w:rFonts w:ascii="Calibri" w:hAnsi="Calibri"/>
                <w:b w:val="0"/>
                <w:sz w:val="14"/>
              </w:rPr>
              <w:t>Conclusion and future scope</w:t>
            </w:r>
          </w:p>
        </w:tc>
        <w:tc>
          <w:tcPr>
            <w:tcW w:type="dxa" w:w="2801"/>
          </w:tcPr>
          <w:p>
            <w:pPr>
              <w:spacing w:after="0" w:line="240" w:lineRule="auto"/>
              <w:jc w:val="left"/>
            </w:pPr>
            <w:r>
              <w:rPr>
                <w:rFonts w:ascii="Calibri" w:hAnsi="Calibri"/>
                <w:b w:val="0"/>
                <w:sz w:val="14"/>
              </w:rPr>
              <w:t>Keep, but delete the ±2° regression and fix the tolerance</w:t>
            </w:r>
          </w:p>
        </w:tc>
      </w:tr>
      <w:tr>
        <w:trPr>
          <w:cantSplit w:val="true"/>
        </w:trPr>
        <w:tc>
          <w:tcPr>
            <w:tcW w:type="dxa" w:w="2689"/>
            <w:shd w:val="clear" w:color="auto" w:fill="EEF1F7"/>
          </w:tcPr>
          <w:p>
            <w:pPr>
              <w:spacing w:after="0" w:line="240" w:lineRule="auto"/>
              <w:jc w:val="left"/>
            </w:pPr>
            <w:r>
              <w:rPr>
                <w:rFonts w:ascii="Calibri" w:hAnsi="Calibri"/>
                <w:b w:val="0"/>
                <w:sz w:val="14"/>
              </w:rPr>
              <w:t>Problem statement, market, surveys</w:t>
            </w:r>
          </w:p>
        </w:tc>
        <w:tc>
          <w:tcPr>
            <w:tcW w:type="dxa" w:w="1905"/>
            <w:shd w:val="clear" w:color="auto" w:fill="EEF1F7"/>
          </w:tcPr>
          <w:p>
            <w:pPr>
              <w:spacing w:after="0" w:line="240" w:lineRule="auto"/>
              <w:jc w:val="left"/>
            </w:pPr>
            <w:r>
              <w:rPr>
                <w:rFonts w:ascii="Calibri" w:hAnsi="Calibri"/>
                <w:b w:val="0"/>
                <w:sz w:val="14"/>
              </w:rPr>
              <w:t>Report §2</w:t>
            </w:r>
          </w:p>
        </w:tc>
        <w:tc>
          <w:tcPr>
            <w:tcW w:type="dxa" w:w="2017"/>
            <w:shd w:val="clear" w:color="auto" w:fill="EEF1F7"/>
          </w:tcPr>
          <w:p>
            <w:pPr>
              <w:spacing w:after="0" w:line="240" w:lineRule="auto"/>
              <w:jc w:val="left"/>
            </w:pPr>
            <w:r>
              <w:rPr>
                <w:rFonts w:ascii="Calibri" w:hAnsi="Calibri"/>
                <w:b w:val="0"/>
                <w:sz w:val="14"/>
              </w:rPr>
              <w:t>Introduction / market</w:t>
            </w:r>
          </w:p>
        </w:tc>
        <w:tc>
          <w:tcPr>
            <w:tcW w:type="dxa" w:w="2801"/>
            <w:shd w:val="clear" w:color="auto" w:fill="EEF1F7"/>
          </w:tcPr>
          <w:p>
            <w:pPr>
              <w:spacing w:after="0" w:line="240" w:lineRule="auto"/>
              <w:jc w:val="left"/>
            </w:pPr>
            <w:r>
              <w:rPr>
                <w:rFonts w:ascii="Calibri" w:hAnsi="Calibri"/>
                <w:b w:val="0"/>
                <w:sz w:val="14"/>
              </w:rPr>
              <w:t>Rewrite market per §7; re-run or drop the survey</w:t>
            </w:r>
          </w:p>
        </w:tc>
      </w:tr>
      <w:tr>
        <w:trPr>
          <w:cantSplit w:val="true"/>
        </w:trPr>
        <w:tc>
          <w:tcPr>
            <w:tcW w:type="dxa" w:w="2689"/>
          </w:tcPr>
          <w:p>
            <w:pPr>
              <w:spacing w:after="0" w:line="240" w:lineRule="auto"/>
              <w:jc w:val="left"/>
            </w:pPr>
            <w:r>
              <w:rPr>
                <w:rFonts w:ascii="Calibri" w:hAnsi="Calibri"/>
                <w:b w:val="0"/>
                <w:sz w:val="14"/>
              </w:rPr>
              <w:t>SDG alignment</w:t>
            </w:r>
          </w:p>
        </w:tc>
        <w:tc>
          <w:tcPr>
            <w:tcW w:type="dxa" w:w="1905"/>
          </w:tcPr>
          <w:p>
            <w:pPr>
              <w:spacing w:after="0" w:line="240" w:lineRule="auto"/>
              <w:jc w:val="left"/>
            </w:pPr>
            <w:r>
              <w:rPr>
                <w:rFonts w:ascii="Calibri" w:hAnsi="Calibri"/>
                <w:b w:val="0"/>
                <w:sz w:val="14"/>
              </w:rPr>
              <w:t>Report §3</w:t>
            </w:r>
          </w:p>
        </w:tc>
        <w:tc>
          <w:tcPr>
            <w:tcW w:type="dxa" w:w="2017"/>
          </w:tcPr>
          <w:p>
            <w:pPr>
              <w:spacing w:after="0" w:line="240" w:lineRule="auto"/>
              <w:jc w:val="left"/>
            </w:pPr>
            <w:r>
              <w:rPr>
                <w:rFonts w:ascii="Calibri" w:hAnsi="Calibri"/>
                <w:b w:val="0"/>
                <w:sz w:val="14"/>
              </w:rPr>
              <w:t>Introduction or a short dedicated section</w:t>
            </w:r>
          </w:p>
        </w:tc>
        <w:tc>
          <w:tcPr>
            <w:tcW w:type="dxa" w:w="2801"/>
          </w:tcPr>
          <w:p>
            <w:pPr>
              <w:spacing w:after="0" w:line="240" w:lineRule="auto"/>
              <w:jc w:val="left"/>
            </w:pPr>
            <w:r>
              <w:rPr>
                <w:rFonts w:ascii="Calibri" w:hAnsi="Calibri"/>
                <w:b w:val="0"/>
                <w:sz w:val="14"/>
              </w:rPr>
              <w:t>Keep the reasoning; move the impact numbers to targets</w:t>
            </w:r>
          </w:p>
        </w:tc>
      </w:tr>
      <w:tr>
        <w:trPr>
          <w:cantSplit w:val="true"/>
        </w:trPr>
        <w:tc>
          <w:tcPr>
            <w:tcW w:type="dxa" w:w="2689"/>
            <w:shd w:val="clear" w:color="auto" w:fill="EEF1F7"/>
          </w:tcPr>
          <w:p>
            <w:pPr>
              <w:spacing w:after="0" w:line="240" w:lineRule="auto"/>
              <w:jc w:val="left"/>
            </w:pPr>
            <w:r>
              <w:rPr>
                <w:rFonts w:ascii="Calibri" w:hAnsi="Calibri"/>
                <w:b w:val="0"/>
                <w:sz w:val="14"/>
              </w:rPr>
              <w:t>Business model, revenue, GTM</w:t>
            </w:r>
          </w:p>
        </w:tc>
        <w:tc>
          <w:tcPr>
            <w:tcW w:type="dxa" w:w="1905"/>
            <w:shd w:val="clear" w:color="auto" w:fill="EEF1F7"/>
          </w:tcPr>
          <w:p>
            <w:pPr>
              <w:spacing w:after="0" w:line="240" w:lineRule="auto"/>
              <w:jc w:val="left"/>
            </w:pPr>
            <w:r>
              <w:rPr>
                <w:rFonts w:ascii="Calibri" w:hAnsi="Calibri"/>
                <w:b w:val="0"/>
                <w:sz w:val="14"/>
              </w:rPr>
              <w:t>Report §8</w:t>
            </w:r>
          </w:p>
        </w:tc>
        <w:tc>
          <w:tcPr>
            <w:tcW w:type="dxa" w:w="2017"/>
            <w:shd w:val="clear" w:color="auto" w:fill="EEF1F7"/>
          </w:tcPr>
          <w:p>
            <w:pPr>
              <w:spacing w:after="0" w:line="240" w:lineRule="auto"/>
              <w:jc w:val="left"/>
            </w:pPr>
            <w:r>
              <w:rPr>
                <w:rFonts w:ascii="Calibri" w:hAnsi="Calibri"/>
                <w:b w:val="0"/>
                <w:sz w:val="14"/>
              </w:rPr>
              <w:t>Business plan, if the template keeps it</w:t>
            </w:r>
          </w:p>
        </w:tc>
        <w:tc>
          <w:tcPr>
            <w:tcW w:type="dxa" w:w="2801"/>
            <w:shd w:val="clear" w:color="auto" w:fill="EEF1F7"/>
          </w:tcPr>
          <w:p>
            <w:pPr>
              <w:spacing w:after="0" w:line="240" w:lineRule="auto"/>
              <w:jc w:val="left"/>
            </w:pPr>
            <w:r>
              <w:rPr>
                <w:rFonts w:ascii="Calibri" w:hAnsi="Calibri"/>
                <w:b w:val="0"/>
                <w:sz w:val="14"/>
              </w:rPr>
              <w:t>Keep the structure, fix the numbers per §8</w:t>
            </w:r>
          </w:p>
        </w:tc>
      </w:tr>
      <w:tr>
        <w:trPr>
          <w:cantSplit w:val="true"/>
        </w:trPr>
        <w:tc>
          <w:tcPr>
            <w:tcW w:type="dxa" w:w="2689"/>
          </w:tcPr>
          <w:p>
            <w:pPr>
              <w:spacing w:after="0" w:line="240" w:lineRule="auto"/>
              <w:jc w:val="left"/>
            </w:pPr>
            <w:r>
              <w:rPr>
                <w:rFonts w:ascii="Calibri" w:hAnsi="Calibri"/>
                <w:b w:val="0"/>
                <w:sz w:val="14"/>
              </w:rPr>
              <w:t>Financial plan</w:t>
            </w:r>
          </w:p>
        </w:tc>
        <w:tc>
          <w:tcPr>
            <w:tcW w:type="dxa" w:w="1905"/>
          </w:tcPr>
          <w:p>
            <w:pPr>
              <w:spacing w:after="0" w:line="240" w:lineRule="auto"/>
              <w:jc w:val="left"/>
            </w:pPr>
            <w:r>
              <w:rPr>
                <w:rFonts w:ascii="Calibri" w:hAnsi="Calibri"/>
                <w:b w:val="0"/>
                <w:sz w:val="14"/>
              </w:rPr>
              <w:t>Report §9</w:t>
            </w:r>
          </w:p>
        </w:tc>
        <w:tc>
          <w:tcPr>
            <w:tcW w:type="dxa" w:w="2017"/>
          </w:tcPr>
          <w:p>
            <w:pPr>
              <w:spacing w:after="0" w:line="240" w:lineRule="auto"/>
              <w:jc w:val="left"/>
            </w:pPr>
            <w:r>
              <w:rPr>
                <w:rFonts w:ascii="Calibri" w:hAnsi="Calibri"/>
                <w:b w:val="0"/>
                <w:sz w:val="14"/>
              </w:rPr>
              <w:t>Business plan</w:t>
            </w:r>
          </w:p>
        </w:tc>
        <w:tc>
          <w:tcPr>
            <w:tcW w:type="dxa" w:w="2801"/>
          </w:tcPr>
          <w:p>
            <w:pPr>
              <w:spacing w:after="0" w:line="240" w:lineRule="auto"/>
              <w:jc w:val="left"/>
            </w:pPr>
            <w:r>
              <w:rPr>
                <w:rFonts w:ascii="Calibri" w:hAnsi="Calibri"/>
                <w:b w:val="0"/>
                <w:sz w:val="14"/>
              </w:rPr>
              <w:t>Rebuild one P&amp;L; publish the BOM</w:t>
            </w:r>
          </w:p>
        </w:tc>
      </w:tr>
      <w:tr>
        <w:trPr>
          <w:cantSplit w:val="true"/>
        </w:trPr>
        <w:tc>
          <w:tcPr>
            <w:tcW w:type="dxa" w:w="2689"/>
            <w:shd w:val="clear" w:color="auto" w:fill="EEF1F7"/>
          </w:tcPr>
          <w:p>
            <w:pPr>
              <w:spacing w:after="0" w:line="240" w:lineRule="auto"/>
              <w:jc w:val="left"/>
            </w:pPr>
            <w:r>
              <w:rPr>
                <w:rFonts w:ascii="Calibri" w:hAnsi="Calibri"/>
                <w:b w:val="0"/>
                <w:sz w:val="14"/>
              </w:rPr>
              <w:t>Team and roadmap</w:t>
            </w:r>
          </w:p>
        </w:tc>
        <w:tc>
          <w:tcPr>
            <w:tcW w:type="dxa" w:w="1905"/>
            <w:shd w:val="clear" w:color="auto" w:fill="EEF1F7"/>
          </w:tcPr>
          <w:p>
            <w:pPr>
              <w:spacing w:after="0" w:line="240" w:lineRule="auto"/>
              <w:jc w:val="left"/>
            </w:pPr>
            <w:r>
              <w:rPr>
                <w:rFonts w:ascii="Calibri" w:hAnsi="Calibri"/>
                <w:b w:val="0"/>
                <w:sz w:val="14"/>
              </w:rPr>
              <w:t>Report §10</w:t>
            </w:r>
          </w:p>
        </w:tc>
        <w:tc>
          <w:tcPr>
            <w:tcW w:type="dxa" w:w="2017"/>
            <w:shd w:val="clear" w:color="auto" w:fill="EEF1F7"/>
          </w:tcPr>
          <w:p>
            <w:pPr>
              <w:spacing w:after="0" w:line="240" w:lineRule="auto"/>
              <w:jc w:val="left"/>
            </w:pPr>
            <w:r>
              <w:rPr>
                <w:rFonts w:ascii="Calibri" w:hAnsi="Calibri"/>
                <w:b w:val="0"/>
                <w:sz w:val="14"/>
              </w:rPr>
              <w:t>Team and execution</w:t>
            </w:r>
          </w:p>
        </w:tc>
        <w:tc>
          <w:tcPr>
            <w:tcW w:type="dxa" w:w="2801"/>
            <w:shd w:val="clear" w:color="auto" w:fill="EEF1F7"/>
          </w:tcPr>
          <w:p>
            <w:pPr>
              <w:spacing w:after="0" w:line="240" w:lineRule="auto"/>
              <w:jc w:val="left"/>
            </w:pPr>
            <w:r>
              <w:rPr>
                <w:rFonts w:ascii="Calibri" w:hAnsi="Calibri"/>
                <w:b w:val="0"/>
                <w:sz w:val="14"/>
              </w:rPr>
              <w:t>Keep, fill every blank row</w:t>
            </w:r>
          </w:p>
        </w:tc>
      </w:tr>
      <w:tr>
        <w:trPr>
          <w:cantSplit w:val="true"/>
        </w:trPr>
        <w:tc>
          <w:tcPr>
            <w:tcW w:type="dxa" w:w="2689"/>
          </w:tcPr>
          <w:p>
            <w:pPr>
              <w:spacing w:after="0" w:line="240" w:lineRule="auto"/>
              <w:jc w:val="left"/>
            </w:pPr>
            <w:r>
              <w:rPr>
                <w:rFonts w:ascii="Calibri" w:hAnsi="Calibri"/>
                <w:b w:val="0"/>
                <w:sz w:val="14"/>
              </w:rPr>
              <w:t>KPI appendix, positive-justification appendix</w:t>
            </w:r>
          </w:p>
        </w:tc>
        <w:tc>
          <w:tcPr>
            <w:tcW w:type="dxa" w:w="1905"/>
          </w:tcPr>
          <w:p>
            <w:pPr>
              <w:spacing w:after="0" w:line="240" w:lineRule="auto"/>
              <w:jc w:val="left"/>
            </w:pPr>
            <w:r>
              <w:rPr>
                <w:rFonts w:ascii="Calibri" w:hAnsi="Calibri"/>
                <w:b w:val="0"/>
                <w:sz w:val="14"/>
              </w:rPr>
              <w:t>Report App. II–III</w:t>
            </w:r>
          </w:p>
        </w:tc>
        <w:tc>
          <w:tcPr>
            <w:tcW w:type="dxa" w:w="2017"/>
          </w:tcPr>
          <w:p>
            <w:pPr>
              <w:spacing w:after="0" w:line="240" w:lineRule="auto"/>
              <w:jc w:val="left"/>
            </w:pPr>
            <w:r>
              <w:rPr>
                <w:rFonts w:ascii="Calibri" w:hAnsi="Calibri"/>
                <w:b w:val="0"/>
                <w:sz w:val="14"/>
              </w:rPr>
              <w:t>Appendices</w:t>
            </w:r>
          </w:p>
        </w:tc>
        <w:tc>
          <w:tcPr>
            <w:tcW w:type="dxa" w:w="2801"/>
          </w:tcPr>
          <w:p>
            <w:pPr>
              <w:spacing w:after="0" w:line="240" w:lineRule="auto"/>
              <w:jc w:val="left"/>
            </w:pPr>
            <w:r>
              <w:rPr>
                <w:rFonts w:ascii="Calibri" w:hAnsi="Calibri"/>
                <w:b w:val="0"/>
                <w:sz w:val="14"/>
              </w:rPr>
              <w:t>Keep; delete leftover template instructions</w:t>
            </w:r>
          </w:p>
        </w:tc>
      </w:tr>
      <w:tr>
        <w:trPr>
          <w:cantSplit w:val="true"/>
        </w:trPr>
        <w:tc>
          <w:tcPr>
            <w:tcW w:type="dxa" w:w="2689"/>
            <w:shd w:val="clear" w:color="auto" w:fill="EEF1F7"/>
          </w:tcPr>
          <w:p>
            <w:pPr>
              <w:spacing w:after="0" w:line="240" w:lineRule="auto"/>
              <w:jc w:val="left"/>
            </w:pPr>
            <w:r>
              <w:rPr>
                <w:rFonts w:ascii="Calibri" w:hAnsi="Calibri"/>
                <w:b w:val="0"/>
                <w:sz w:val="14"/>
              </w:rPr>
              <w:t>Conclusions</w:t>
            </w:r>
          </w:p>
        </w:tc>
        <w:tc>
          <w:tcPr>
            <w:tcW w:type="dxa" w:w="1905"/>
            <w:shd w:val="clear" w:color="auto" w:fill="EEF1F7"/>
          </w:tcPr>
          <w:p>
            <w:pPr>
              <w:spacing w:after="0" w:line="240" w:lineRule="auto"/>
              <w:jc w:val="left"/>
            </w:pPr>
            <w:r>
              <w:rPr>
                <w:rFonts w:ascii="Calibri" w:hAnsi="Calibri"/>
                <w:b w:val="0"/>
                <w:sz w:val="14"/>
              </w:rPr>
              <w:t>Paper §6; Report §11</w:t>
            </w:r>
          </w:p>
        </w:tc>
        <w:tc>
          <w:tcPr>
            <w:tcW w:type="dxa" w:w="2017"/>
            <w:shd w:val="clear" w:color="auto" w:fill="EEF1F7"/>
          </w:tcPr>
          <w:p>
            <w:pPr>
              <w:spacing w:after="0" w:line="240" w:lineRule="auto"/>
              <w:jc w:val="left"/>
            </w:pPr>
            <w:r>
              <w:rPr>
                <w:rFonts w:ascii="Calibri" w:hAnsi="Calibri"/>
                <w:b w:val="0"/>
                <w:sz w:val="14"/>
              </w:rPr>
              <w:t>Conclusion and future scope</w:t>
            </w:r>
          </w:p>
        </w:tc>
        <w:tc>
          <w:tcPr>
            <w:tcW w:type="dxa" w:w="2801"/>
            <w:shd w:val="clear" w:color="auto" w:fill="EEF1F7"/>
          </w:tcPr>
          <w:p>
            <w:pPr>
              <w:spacing w:after="0" w:line="240" w:lineRule="auto"/>
              <w:jc w:val="left"/>
            </w:pPr>
            <w:r>
              <w:rPr>
                <w:rFonts w:ascii="Calibri" w:hAnsi="Calibri"/>
                <w:b w:val="0"/>
                <w:sz w:val="14"/>
              </w:rPr>
              <w:t>Merge; state one accuracy and one next step</w:t>
            </w:r>
          </w:p>
        </w:tc>
      </w:tr>
    </w:tbl>
    <w:p>
      <w:pPr>
        <w:spacing w:before="40" w:after="160"/>
        <w:jc w:val="left"/>
      </w:pPr>
      <w:r>
        <w:rPr>
          <w:rFonts w:ascii="Calibri" w:hAnsi="Calibri"/>
          <w:i/>
          <w:color w:val="404040"/>
          <w:sz w:val="16"/>
        </w:rPr>
        <w:t>Nothing of substance is thrown away except the fintech persona, the two financial survey bullets and the blockchain citations. The rest is re-organised and re-numbered — which is exactly what a carry-forward report should be.</w:t>
      </w:r>
    </w:p>
    <w:p>
      <w:r>
        <w:br w:type="page"/>
      </w:r>
    </w:p>
    <w:p>
      <w:pPr>
        <w:keepNext/>
        <w:spacing w:before="200" w:after="120"/>
        <w:jc w:val="left"/>
        <w:pBdr>
          <w:bottom w:val="single" w:sz="8" w:space="2" w:color="1F3864"/>
        </w:pBdr>
      </w:pPr>
      <w:r>
        <w:rPr>
          <w:b/>
          <w:color w:val="1F3864"/>
          <w:sz w:val="26"/>
        </w:rPr>
        <w:t>11. WHAT TO HAND OVER NEXT</w:t>
      </w:r>
    </w:p>
    <w:p>
      <w:pPr>
        <w:spacing w:after="120"/>
        <w:ind w:left="0"/>
        <w:jc w:val="both"/>
      </w:pPr>
      <w:r>
        <w:rPr>
          <w:b w:val="0"/>
          <w:i w:val="0"/>
          <w:sz w:val="22"/>
        </w:rPr>
        <w:t>So that the report can be built in one pass rather than in four, these are the items only you can supply. Everything else is already settled in this document.</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453"/>
        <w:gridCol w:w="3742"/>
        <w:gridCol w:w="2608"/>
        <w:gridCol w:w="2608"/>
      </w:tblGrid>
      <w:tr>
        <w:trPr>
          <w:cantSplit w:val="true"/>
          <w:tblHeader w:val="true"/>
        </w:trPr>
        <w:tc>
          <w:tcPr>
            <w:tcW w:type="dxa" w:w="454"/>
            <w:shd w:val="clear" w:color="auto" w:fill="1F3864"/>
          </w:tcPr>
          <w:p>
            <w:pPr>
              <w:spacing w:after="0" w:line="240" w:lineRule="auto"/>
              <w:jc w:val="left"/>
            </w:pPr>
            <w:r>
              <w:rPr>
                <w:rFonts w:ascii="Calibri" w:hAnsi="Calibri"/>
                <w:b/>
                <w:color w:val="FFFFFF"/>
                <w:sz w:val="15"/>
              </w:rPr>
              <w:t>#</w:t>
            </w:r>
          </w:p>
        </w:tc>
        <w:tc>
          <w:tcPr>
            <w:tcW w:type="dxa" w:w="3742"/>
            <w:shd w:val="clear" w:color="auto" w:fill="1F3864"/>
          </w:tcPr>
          <w:p>
            <w:pPr>
              <w:spacing w:after="0" w:line="240" w:lineRule="auto"/>
              <w:jc w:val="left"/>
            </w:pPr>
            <w:r>
              <w:rPr>
                <w:rFonts w:ascii="Calibri" w:hAnsi="Calibri"/>
                <w:b/>
                <w:color w:val="FFFFFF"/>
                <w:sz w:val="15"/>
              </w:rPr>
              <w:t>Item</w:t>
            </w:r>
          </w:p>
        </w:tc>
        <w:tc>
          <w:tcPr>
            <w:tcW w:type="dxa" w:w="2608"/>
            <w:shd w:val="clear" w:color="auto" w:fill="1F3864"/>
          </w:tcPr>
          <w:p>
            <w:pPr>
              <w:spacing w:after="0" w:line="240" w:lineRule="auto"/>
              <w:jc w:val="left"/>
            </w:pPr>
            <w:r>
              <w:rPr>
                <w:rFonts w:ascii="Calibri" w:hAnsi="Calibri"/>
                <w:b/>
                <w:color w:val="FFFFFF"/>
                <w:sz w:val="15"/>
              </w:rPr>
              <w:t>Format needed</w:t>
            </w:r>
          </w:p>
        </w:tc>
        <w:tc>
          <w:tcPr>
            <w:tcW w:type="dxa" w:w="2608"/>
            <w:shd w:val="clear" w:color="auto" w:fill="1F3864"/>
          </w:tcPr>
          <w:p>
            <w:pPr>
              <w:spacing w:after="0" w:line="240" w:lineRule="auto"/>
              <w:jc w:val="left"/>
            </w:pPr>
            <w:r>
              <w:rPr>
                <w:rFonts w:ascii="Calibri" w:hAnsi="Calibri"/>
                <w:b/>
                <w:color w:val="FFFFFF"/>
                <w:sz w:val="15"/>
              </w:rPr>
              <w:t>Where it goes</w:t>
            </w:r>
          </w:p>
        </w:tc>
      </w:tr>
      <w:tr>
        <w:trPr>
          <w:cantSplit w:val="true"/>
        </w:trPr>
        <w:tc>
          <w:tcPr>
            <w:tcW w:type="dxa" w:w="454"/>
          </w:tcPr>
          <w:p>
            <w:pPr>
              <w:spacing w:after="0" w:line="240" w:lineRule="auto"/>
              <w:jc w:val="left"/>
            </w:pPr>
            <w:r>
              <w:rPr>
                <w:rFonts w:ascii="Calibri" w:hAnsi="Calibri"/>
                <w:b w:val="0"/>
                <w:sz w:val="15"/>
              </w:rPr>
              <w:t>1</w:t>
            </w:r>
          </w:p>
        </w:tc>
        <w:tc>
          <w:tcPr>
            <w:tcW w:type="dxa" w:w="3742"/>
          </w:tcPr>
          <w:p>
            <w:pPr>
              <w:spacing w:after="0" w:line="240" w:lineRule="auto"/>
              <w:jc w:val="left"/>
            </w:pPr>
            <w:r>
              <w:rPr>
                <w:rFonts w:ascii="Calibri" w:hAnsi="Calibri"/>
                <w:b w:val="0"/>
                <w:sz w:val="15"/>
              </w:rPr>
              <w:t>Dataset counts per source and per class, after cleaning</w:t>
            </w:r>
          </w:p>
        </w:tc>
        <w:tc>
          <w:tcPr>
            <w:tcW w:type="dxa" w:w="2608"/>
          </w:tcPr>
          <w:p>
            <w:pPr>
              <w:spacing w:after="0" w:line="240" w:lineRule="auto"/>
              <w:jc w:val="left"/>
            </w:pPr>
            <w:r>
              <w:rPr>
                <w:rFonts w:ascii="Calibri" w:hAnsi="Calibri"/>
                <w:b w:val="0"/>
                <w:sz w:val="15"/>
              </w:rPr>
              <w:t>A single table of numbers</w:t>
            </w:r>
          </w:p>
        </w:tc>
        <w:tc>
          <w:tcPr>
            <w:tcW w:type="dxa" w:w="2608"/>
          </w:tcPr>
          <w:p>
            <w:pPr>
              <w:spacing w:after="0" w:line="240" w:lineRule="auto"/>
              <w:jc w:val="left"/>
            </w:pPr>
            <w:r>
              <w:rPr>
                <w:rFonts w:ascii="Calibri" w:hAnsi="Calibri"/>
                <w:b w:val="0"/>
                <w:sz w:val="15"/>
              </w:rPr>
              <w:t>Table 6.1</w:t>
            </w:r>
          </w:p>
        </w:tc>
      </w:tr>
      <w:tr>
        <w:trPr>
          <w:cantSplit w:val="true"/>
        </w:trPr>
        <w:tc>
          <w:tcPr>
            <w:tcW w:type="dxa" w:w="454"/>
            <w:shd w:val="clear" w:color="auto" w:fill="EEF1F7"/>
          </w:tcPr>
          <w:p>
            <w:pPr>
              <w:spacing w:after="0" w:line="240" w:lineRule="auto"/>
              <w:jc w:val="left"/>
            </w:pPr>
            <w:r>
              <w:rPr>
                <w:rFonts w:ascii="Calibri" w:hAnsi="Calibri"/>
                <w:b w:val="0"/>
                <w:sz w:val="15"/>
              </w:rPr>
              <w:t>2</w:t>
            </w:r>
          </w:p>
        </w:tc>
        <w:tc>
          <w:tcPr>
            <w:tcW w:type="dxa" w:w="3742"/>
            <w:shd w:val="clear" w:color="auto" w:fill="EEF1F7"/>
          </w:tcPr>
          <w:p>
            <w:pPr>
              <w:spacing w:after="0" w:line="240" w:lineRule="auto"/>
              <w:jc w:val="left"/>
            </w:pPr>
            <w:r>
              <w:rPr>
                <w:rFonts w:ascii="Calibri" w:hAnsi="Calibri"/>
                <w:b w:val="0"/>
                <w:sz w:val="15"/>
              </w:rPr>
              <w:t>The one test run: model file, TFLite version, quantisation, Pi power mode, per-class support</w:t>
            </w:r>
          </w:p>
        </w:tc>
        <w:tc>
          <w:tcPr>
            <w:tcW w:type="dxa" w:w="2608"/>
            <w:shd w:val="clear" w:color="auto" w:fill="EEF1F7"/>
          </w:tcPr>
          <w:p>
            <w:pPr>
              <w:spacing w:after="0" w:line="240" w:lineRule="auto"/>
              <w:jc w:val="left"/>
            </w:pPr>
            <w:r>
              <w:rPr>
                <w:rFonts w:ascii="Calibri" w:hAnsi="Calibri"/>
                <w:b w:val="0"/>
                <w:sz w:val="15"/>
              </w:rPr>
              <w:t>One experiment sheet</w:t>
            </w:r>
          </w:p>
        </w:tc>
        <w:tc>
          <w:tcPr>
            <w:tcW w:type="dxa" w:w="2608"/>
            <w:shd w:val="clear" w:color="auto" w:fill="EEF1F7"/>
          </w:tcPr>
          <w:p>
            <w:pPr>
              <w:spacing w:after="0" w:line="240" w:lineRule="auto"/>
              <w:jc w:val="left"/>
            </w:pPr>
            <w:r>
              <w:rPr>
                <w:rFonts w:ascii="Calibri" w:hAnsi="Calibri"/>
                <w:b w:val="0"/>
                <w:sz w:val="15"/>
              </w:rPr>
              <w:t>Results</w:t>
            </w:r>
          </w:p>
        </w:tc>
      </w:tr>
      <w:tr>
        <w:trPr>
          <w:cantSplit w:val="true"/>
        </w:trPr>
        <w:tc>
          <w:tcPr>
            <w:tcW w:type="dxa" w:w="454"/>
          </w:tcPr>
          <w:p>
            <w:pPr>
              <w:spacing w:after="0" w:line="240" w:lineRule="auto"/>
              <w:jc w:val="left"/>
            </w:pPr>
            <w:r>
              <w:rPr>
                <w:rFonts w:ascii="Calibri" w:hAnsi="Calibri"/>
                <w:b w:val="0"/>
                <w:sz w:val="15"/>
              </w:rPr>
              <w:t>3</w:t>
            </w:r>
          </w:p>
        </w:tc>
        <w:tc>
          <w:tcPr>
            <w:tcW w:type="dxa" w:w="3742"/>
          </w:tcPr>
          <w:p>
            <w:pPr>
              <w:spacing w:after="0" w:line="240" w:lineRule="auto"/>
              <w:jc w:val="left"/>
            </w:pPr>
            <w:r>
              <w:rPr>
                <w:rFonts w:ascii="Calibri" w:hAnsi="Calibri"/>
                <w:b w:val="0"/>
                <w:sz w:val="15"/>
              </w:rPr>
              <w:t>Survey: n, method, location, date, questionnaire</w:t>
            </w:r>
          </w:p>
        </w:tc>
        <w:tc>
          <w:tcPr>
            <w:tcW w:type="dxa" w:w="2608"/>
          </w:tcPr>
          <w:p>
            <w:pPr>
              <w:spacing w:after="0" w:line="240" w:lineRule="auto"/>
              <w:jc w:val="left"/>
            </w:pPr>
            <w:r>
              <w:rPr>
                <w:rFonts w:ascii="Calibri" w:hAnsi="Calibri"/>
                <w:b w:val="0"/>
                <w:sz w:val="15"/>
              </w:rPr>
              <w:t>One paragraph + appendix scan</w:t>
            </w:r>
          </w:p>
        </w:tc>
        <w:tc>
          <w:tcPr>
            <w:tcW w:type="dxa" w:w="2608"/>
          </w:tcPr>
          <w:p>
            <w:pPr>
              <w:spacing w:after="0" w:line="240" w:lineRule="auto"/>
              <w:jc w:val="left"/>
            </w:pPr>
            <w:r>
              <w:rPr>
                <w:rFonts w:ascii="Calibri" w:hAnsi="Calibri"/>
                <w:b w:val="0"/>
                <w:sz w:val="15"/>
              </w:rPr>
              <w:t>Market / Appendix</w:t>
            </w:r>
          </w:p>
        </w:tc>
      </w:tr>
      <w:tr>
        <w:trPr>
          <w:cantSplit w:val="true"/>
        </w:trPr>
        <w:tc>
          <w:tcPr>
            <w:tcW w:type="dxa" w:w="454"/>
            <w:shd w:val="clear" w:color="auto" w:fill="EEF1F7"/>
          </w:tcPr>
          <w:p>
            <w:pPr>
              <w:spacing w:after="0" w:line="240" w:lineRule="auto"/>
              <w:jc w:val="left"/>
            </w:pPr>
            <w:r>
              <w:rPr>
                <w:rFonts w:ascii="Calibri" w:hAnsi="Calibri"/>
                <w:b w:val="0"/>
                <w:sz w:val="15"/>
              </w:rPr>
              <w:t>4</w:t>
            </w:r>
          </w:p>
        </w:tc>
        <w:tc>
          <w:tcPr>
            <w:tcW w:type="dxa" w:w="3742"/>
            <w:shd w:val="clear" w:color="auto" w:fill="EEF1F7"/>
          </w:tcPr>
          <w:p>
            <w:pPr>
              <w:spacing w:after="0" w:line="240" w:lineRule="auto"/>
              <w:jc w:val="left"/>
            </w:pPr>
            <w:r>
              <w:rPr>
                <w:rFonts w:ascii="Calibri" w:hAnsi="Calibri"/>
                <w:b w:val="0"/>
                <w:sz w:val="15"/>
              </w:rPr>
              <w:t>Prototype BOM with actual unit costs, and the build cost</w:t>
            </w:r>
          </w:p>
        </w:tc>
        <w:tc>
          <w:tcPr>
            <w:tcW w:type="dxa" w:w="2608"/>
            <w:shd w:val="clear" w:color="auto" w:fill="EEF1F7"/>
          </w:tcPr>
          <w:p>
            <w:pPr>
              <w:spacing w:after="0" w:line="240" w:lineRule="auto"/>
              <w:jc w:val="left"/>
            </w:pPr>
            <w:r>
              <w:rPr>
                <w:rFonts w:ascii="Calibri" w:hAnsi="Calibri"/>
                <w:b w:val="0"/>
                <w:sz w:val="15"/>
              </w:rPr>
              <w:t>Spreadsheet or list</w:t>
            </w:r>
          </w:p>
        </w:tc>
        <w:tc>
          <w:tcPr>
            <w:tcW w:type="dxa" w:w="2608"/>
            <w:shd w:val="clear" w:color="auto" w:fill="EEF1F7"/>
          </w:tcPr>
          <w:p>
            <w:pPr>
              <w:spacing w:after="0" w:line="240" w:lineRule="auto"/>
              <w:jc w:val="left"/>
            </w:pPr>
            <w:r>
              <w:rPr>
                <w:rFonts w:ascii="Calibri" w:hAnsi="Calibri"/>
                <w:b w:val="0"/>
                <w:sz w:val="15"/>
              </w:rPr>
              <w:t>Business plan</w:t>
            </w:r>
          </w:p>
        </w:tc>
      </w:tr>
      <w:tr>
        <w:trPr>
          <w:cantSplit w:val="true"/>
        </w:trPr>
        <w:tc>
          <w:tcPr>
            <w:tcW w:type="dxa" w:w="454"/>
          </w:tcPr>
          <w:p>
            <w:pPr>
              <w:spacing w:after="0" w:line="240" w:lineRule="auto"/>
              <w:jc w:val="left"/>
            </w:pPr>
            <w:r>
              <w:rPr>
                <w:rFonts w:ascii="Calibri" w:hAnsi="Calibri"/>
                <w:b w:val="0"/>
                <w:sz w:val="15"/>
              </w:rPr>
              <w:t>5</w:t>
            </w:r>
          </w:p>
        </w:tc>
        <w:tc>
          <w:tcPr>
            <w:tcW w:type="dxa" w:w="3742"/>
          </w:tcPr>
          <w:p>
            <w:pPr>
              <w:spacing w:after="0" w:line="240" w:lineRule="auto"/>
              <w:jc w:val="left"/>
            </w:pPr>
            <w:r>
              <w:rPr>
                <w:rFonts w:ascii="Calibri" w:hAnsi="Calibri"/>
                <w:b w:val="0"/>
                <w:sz w:val="15"/>
              </w:rPr>
              <w:t>Unit price you intend to quote, and the target margin</w:t>
            </w:r>
          </w:p>
        </w:tc>
        <w:tc>
          <w:tcPr>
            <w:tcW w:type="dxa" w:w="2608"/>
          </w:tcPr>
          <w:p>
            <w:pPr>
              <w:spacing w:after="0" w:line="240" w:lineRule="auto"/>
              <w:jc w:val="left"/>
            </w:pPr>
            <w:r>
              <w:rPr>
                <w:rFonts w:ascii="Calibri" w:hAnsi="Calibri"/>
                <w:b w:val="0"/>
                <w:sz w:val="15"/>
              </w:rPr>
              <w:t>One number each</w:t>
            </w:r>
          </w:p>
        </w:tc>
        <w:tc>
          <w:tcPr>
            <w:tcW w:type="dxa" w:w="2608"/>
          </w:tcPr>
          <w:p>
            <w:pPr>
              <w:spacing w:after="0" w:line="240" w:lineRule="auto"/>
              <w:jc w:val="left"/>
            </w:pPr>
            <w:r>
              <w:rPr>
                <w:rFonts w:ascii="Calibri" w:hAnsi="Calibri"/>
                <w:b w:val="0"/>
                <w:sz w:val="15"/>
              </w:rPr>
              <w:t>Business plan</w:t>
            </w:r>
          </w:p>
        </w:tc>
      </w:tr>
      <w:tr>
        <w:trPr>
          <w:cantSplit w:val="true"/>
        </w:trPr>
        <w:tc>
          <w:tcPr>
            <w:tcW w:type="dxa" w:w="454"/>
            <w:shd w:val="clear" w:color="auto" w:fill="EEF1F7"/>
          </w:tcPr>
          <w:p>
            <w:pPr>
              <w:spacing w:after="0" w:line="240" w:lineRule="auto"/>
              <w:jc w:val="left"/>
            </w:pPr>
            <w:r>
              <w:rPr>
                <w:rFonts w:ascii="Calibri" w:hAnsi="Calibri"/>
                <w:b w:val="0"/>
                <w:sz w:val="15"/>
              </w:rPr>
              <w:t>6</w:t>
            </w:r>
          </w:p>
        </w:tc>
        <w:tc>
          <w:tcPr>
            <w:tcW w:type="dxa" w:w="3742"/>
            <w:shd w:val="clear" w:color="auto" w:fill="EEF1F7"/>
          </w:tcPr>
          <w:p>
            <w:pPr>
              <w:spacing w:after="0" w:line="240" w:lineRule="auto"/>
              <w:jc w:val="left"/>
            </w:pPr>
            <w:r>
              <w:rPr>
                <w:rFonts w:ascii="Calibri" w:hAnsi="Calibri"/>
                <w:b w:val="0"/>
                <w:sz w:val="15"/>
              </w:rPr>
              <w:t>Team roles and any KPI rows that are currently blank (hackathons, grants, incubation)</w:t>
            </w:r>
          </w:p>
        </w:tc>
        <w:tc>
          <w:tcPr>
            <w:tcW w:type="dxa" w:w="2608"/>
            <w:shd w:val="clear" w:color="auto" w:fill="EEF1F7"/>
          </w:tcPr>
          <w:p>
            <w:pPr>
              <w:spacing w:after="0" w:line="240" w:lineRule="auto"/>
              <w:jc w:val="left"/>
            </w:pPr>
            <w:r>
              <w:rPr>
                <w:rFonts w:ascii="Calibri" w:hAnsi="Calibri"/>
                <w:b w:val="0"/>
                <w:sz w:val="15"/>
              </w:rPr>
              <w:t>Plain text</w:t>
            </w:r>
          </w:p>
        </w:tc>
        <w:tc>
          <w:tcPr>
            <w:tcW w:type="dxa" w:w="2608"/>
            <w:shd w:val="clear" w:color="auto" w:fill="EEF1F7"/>
          </w:tcPr>
          <w:p>
            <w:pPr>
              <w:spacing w:after="0" w:line="240" w:lineRule="auto"/>
              <w:jc w:val="left"/>
            </w:pPr>
            <w:r>
              <w:rPr>
                <w:rFonts w:ascii="Calibri" w:hAnsi="Calibri"/>
                <w:b w:val="0"/>
                <w:sz w:val="15"/>
              </w:rPr>
              <w:t>Team / Appendix II</w:t>
            </w:r>
          </w:p>
        </w:tc>
      </w:tr>
      <w:tr>
        <w:trPr>
          <w:cantSplit w:val="true"/>
        </w:trPr>
        <w:tc>
          <w:tcPr>
            <w:tcW w:type="dxa" w:w="454"/>
          </w:tcPr>
          <w:p>
            <w:pPr>
              <w:spacing w:after="0" w:line="240" w:lineRule="auto"/>
              <w:jc w:val="left"/>
            </w:pPr>
            <w:r>
              <w:rPr>
                <w:rFonts w:ascii="Calibri" w:hAnsi="Calibri"/>
                <w:b w:val="0"/>
                <w:sz w:val="15"/>
              </w:rPr>
              <w:t>7</w:t>
            </w:r>
          </w:p>
        </w:tc>
        <w:tc>
          <w:tcPr>
            <w:tcW w:type="dxa" w:w="3742"/>
          </w:tcPr>
          <w:p>
            <w:pPr>
              <w:spacing w:after="0" w:line="240" w:lineRule="auto"/>
              <w:jc w:val="left"/>
            </w:pPr>
            <w:r>
              <w:rPr>
                <w:rFonts w:ascii="Calibri" w:hAnsi="Calibri"/>
                <w:b w:val="0"/>
                <w:sz w:val="15"/>
              </w:rPr>
              <w:t>Photographs: full assembly, head unit open, disc removed, one compartment removed</w:t>
            </w:r>
          </w:p>
        </w:tc>
        <w:tc>
          <w:tcPr>
            <w:tcW w:type="dxa" w:w="2608"/>
          </w:tcPr>
          <w:p>
            <w:pPr>
              <w:spacing w:after="0" w:line="240" w:lineRule="auto"/>
              <w:jc w:val="left"/>
            </w:pPr>
            <w:r>
              <w:rPr>
                <w:rFonts w:ascii="Calibri" w:hAnsi="Calibri"/>
                <w:b w:val="0"/>
                <w:sz w:val="15"/>
              </w:rPr>
              <w:t>Four images ≥ 1 MP</w:t>
            </w:r>
          </w:p>
        </w:tc>
        <w:tc>
          <w:tcPr>
            <w:tcW w:type="dxa" w:w="2608"/>
          </w:tcPr>
          <w:p>
            <w:pPr>
              <w:spacing w:after="0" w:line="240" w:lineRule="auto"/>
              <w:jc w:val="left"/>
            </w:pPr>
            <w:r>
              <w:rPr>
                <w:rFonts w:ascii="Calibri" w:hAnsi="Calibri"/>
                <w:b w:val="0"/>
                <w:sz w:val="15"/>
              </w:rPr>
              <w:t>Design chapter</w:t>
            </w:r>
          </w:p>
        </w:tc>
      </w:tr>
      <w:tr>
        <w:trPr>
          <w:cantSplit w:val="true"/>
        </w:trPr>
        <w:tc>
          <w:tcPr>
            <w:tcW w:type="dxa" w:w="454"/>
            <w:shd w:val="clear" w:color="auto" w:fill="EEF1F7"/>
          </w:tcPr>
          <w:p>
            <w:pPr>
              <w:spacing w:after="0" w:line="240" w:lineRule="auto"/>
              <w:jc w:val="left"/>
            </w:pPr>
            <w:r>
              <w:rPr>
                <w:rFonts w:ascii="Calibri" w:hAnsi="Calibri"/>
                <w:b w:val="0"/>
                <w:sz w:val="15"/>
              </w:rPr>
              <w:t>8</w:t>
            </w:r>
          </w:p>
        </w:tc>
        <w:tc>
          <w:tcPr>
            <w:tcW w:type="dxa" w:w="3742"/>
            <w:shd w:val="clear" w:color="auto" w:fill="EEF1F7"/>
          </w:tcPr>
          <w:p>
            <w:pPr>
              <w:spacing w:after="0" w:line="240" w:lineRule="auto"/>
              <w:jc w:val="left"/>
            </w:pPr>
            <w:r>
              <w:rPr>
                <w:rFonts w:ascii="Calibri" w:hAnsi="Calibri"/>
                <w:b w:val="0"/>
                <w:sz w:val="15"/>
              </w:rPr>
              <w:t>The current-semester template</w:t>
            </w:r>
          </w:p>
        </w:tc>
        <w:tc>
          <w:tcPr>
            <w:tcW w:type="dxa" w:w="2608"/>
            <w:shd w:val="clear" w:color="auto" w:fill="EEF1F7"/>
          </w:tcPr>
          <w:p>
            <w:pPr>
              <w:spacing w:after="0" w:line="240" w:lineRule="auto"/>
              <w:jc w:val="left"/>
            </w:pPr>
            <w:r>
              <w:rPr>
                <w:rFonts w:ascii="Calibri" w:hAnsi="Calibri"/>
                <w:b w:val="0"/>
                <w:sz w:val="15"/>
              </w:rPr>
              <w:t>DOCX</w:t>
            </w:r>
          </w:p>
        </w:tc>
        <w:tc>
          <w:tcPr>
            <w:tcW w:type="dxa" w:w="2608"/>
            <w:shd w:val="clear" w:color="auto" w:fill="EEF1F7"/>
          </w:tcPr>
          <w:p>
            <w:pPr>
              <w:spacing w:after="0" w:line="240" w:lineRule="auto"/>
              <w:jc w:val="left"/>
            </w:pPr>
            <w:r>
              <w:rPr>
                <w:rFonts w:ascii="Calibri" w:hAnsi="Calibri"/>
                <w:b w:val="0"/>
                <w:sz w:val="15"/>
              </w:rPr>
              <w:t>Sets the numbering, headings and front matter</w:t>
            </w:r>
          </w:p>
        </w:tc>
      </w:tr>
    </w:tbl>
    <w:p>
      <w:pPr>
        <w:keepNext/>
        <w:spacing w:before="160" w:after="60"/>
        <w:jc w:val="left"/>
      </w:pPr>
      <w:r>
        <w:rPr>
          <w:rFonts w:ascii="Calibri" w:hAnsi="Calibri"/>
          <w:b/>
          <w:color w:val="1F3864"/>
          <w:sz w:val="18"/>
        </w:rPr>
        <w:t>Table 11.1 — Inputs needed from the team.</w:t>
      </w:r>
    </w:p>
    <w:p>
      <w:pPr>
        <w:spacing w:before="40" w:after="160"/>
        <w:jc w:val="left"/>
      </w:pPr>
      <w:r>
        <w:rPr>
          <w:rFonts w:ascii="Calibri" w:hAnsi="Calibri"/>
          <w:i/>
          <w:color w:val="404040"/>
          <w:sz w:val="16"/>
        </w:rPr>
        <w:t>If items 1–5 are not available before the deadline, the report can still be built: the ambiguous numbers get replaced by the design-target wording in Table 5.1 and the blanks stay as clearly marked placeholders rather than invented values.</w:t>
      </w:r>
    </w:p>
    <w:p/>
    <w:p>
      <w:pPr>
        <w:spacing w:before="160"/>
      </w:pPr>
      <w:r>
        <w:rPr>
          <w:b/>
          <w:color w:val="1F3864"/>
          <w:sz w:val="21"/>
        </w:rPr>
        <w:t xml:space="preserve">In short. </w:t>
      </w:r>
      <w:r>
        <w:rPr>
          <w:sz w:val="21"/>
        </w:rPr>
        <w:t>Use the machine exactly as built, and describe it with the dimension and interface tables above — that part is genuinely good work. For the numbers, move every unmeasured claim into a section called “Expected impact and design targets”, keep exactly one accuracy, and add the four logs in Table 9.1 so that one accuracy is yours. Then the report says what the project did, instead of what it hopes.</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04040"/>
        <w:sz w:val="16"/>
      </w:rPr>
      <w:t xml:space="preserve">BinGenie — Carry-Forward Specification  |  Page </w:t>
    </w:r>
    <w:fldSimple w:instr="PAGE">
      <w:r>
        <w:t>1</w:t>
      </w:r>
    </w:fldSimple>
    <w:r>
      <w:rPr>
        <w:rFonts w:ascii="Calibri" w:hAnsi="Calibri"/>
        <w:sz w:val="16"/>
      </w:rP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