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COMPREHENSIVE AI PAPER TEST</w:t>
      </w:r>
    </w:p>
    <w:p>
      <w:pPr>
        <w:jc w:val="center"/>
      </w:pPr>
      <w:r>
        <w:t>Alice Example, Bob Sample</w:t>
      </w:r>
    </w:p>
    <w:p>
      <w:pPr>
        <w:jc w:val="center"/>
      </w:pPr>
      <w:r>
        <w:t>Dept. of Computer Science, Test University; AI Lab, Sample Corp</w:t>
      </w:r>
    </w:p>
    <w:p>
      <w:pPr>
        <w:jc w:val="center"/>
      </w:pPr>
      <w:r>
        <w:t>alice@example.edu, bob@sample.com</w:t>
      </w:r>
    </w:p>
    <w:p/>
    <w:p>
      <w:pPr>
        <w:sectPr>
          <w:pgSz w:w="12240" w:h="15840"/>
          <w:pgMar w:top="1440" w:right="1080" w:bottom="1440" w:left="1080" w:header="720" w:footer="720" w:gutter="0"/>
          <w:docGrid w:linePitch="360"/>
          <w:cols w:num="1"/>
        </w:sectPr>
      </w:pPr>
    </w:p>
    <w:p>
      <w:pPr>
        <w:spacing w:before="160" w:after="80"/>
      </w:pPr>
      <w:r>
        <w:rPr>
          <w:b/>
          <w:i/>
          <w:color w:val="000000"/>
        </w:rPr>
        <w:t>Abstract—</w:t>
      </w:r>
    </w:p>
    <w:p>
      <w:pPr>
        <w:jc w:val="both"/>
      </w:pPr>
      <w:r>
        <w:rPr>
          <w:b/>
        </w:rPr>
        <w:t>This two‑paragraph abstract tests formulas, links, and footnotes.</w:t>
      </w:r>
    </w:p>
    <w:p>
      <w:pPr>
        <w:jc w:val="both"/>
      </w:pPr>
      <w:r>
        <w:rPr>
          <w:b/>
        </w:rPr>
        <w:t>We demonstrate how the system handles multiple lines, citations, and formatting.</w:t>
      </w:r>
    </w:p>
    <w:p>
      <w:pPr>
        <w:spacing w:before="160" w:after="80"/>
      </w:pPr>
      <w:r>
        <w:rPr>
          <w:b w:val="0"/>
          <w:color w:val="000000"/>
        </w:rPr>
        <w:t>Keywords</w:t>
      </w:r>
    </w:p>
    <w:p>
      <w:pPr>
        <w:jc w:val="both"/>
      </w:pPr>
      <w:r>
        <w:t>Artificial Intelligence, Document Generation, IEEE Style, Hyperlinks</w:t>
      </w:r>
    </w:p>
    <w:p>
      <w:pPr>
        <w:spacing w:before="160" w:after="80"/>
        <w:jc w:val="center"/>
      </w:pPr>
      <w:r>
        <w:rPr>
          <w:b w:val="0"/>
          <w:color w:val="000000"/>
        </w:rPr>
        <w:t>I. INTRODUCTION</w:t>
      </w:r>
    </w:p>
    <w:p>
      <w:pPr>
        <w:jc w:val="both"/>
      </w:pPr>
      <w:r>
        <w:t>Artificial Intelligence (AI) has transformed many fields. See [1] for an example platform, and also check https://arxiv.org/abs/1234.5678 for a research paper. Early AI work dates to the 1950s.[*] Foundational AI research began in the 1950s.</w:t>
      </w:r>
    </w:p>
    <w:p>
      <w:pPr>
        <w:spacing w:before="160" w:after="80"/>
        <w:jc w:val="center"/>
      </w:pPr>
      <w:r>
        <w:rPr>
          <w:b w:val="0"/>
          <w:color w:val="000000"/>
        </w:rPr>
        <w:t>II. BACKGROUND</w:t>
      </w:r>
    </w:p>
    <w:p>
      <w:pPr>
        <w:jc w:val="both"/>
      </w:pPr>
      <w:r>
        <w:t>The mass–energy equivalence formula is given by E=mc^2, which we will render as a formula below.</w:t>
      </w:r>
    </w:p>
    <w:p>
      <w:r>
        <w:drawing>
          <wp:inline xmlns:a="http://schemas.openxmlformats.org/drawingml/2006/main" xmlns:pic="http://schemas.openxmlformats.org/drawingml/2006/picture">
            <wp:extent cx="2743200" cy="961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s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Fig. 1: System Architecture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Algorithm</w:t>
            </w:r>
          </w:p>
        </w:tc>
        <w:tc>
          <w:tcPr>
            <w:tcW w:type="dxa" w:w="5040"/>
          </w:tcPr>
          <w:p>
            <w:r>
              <w:t>Accuracy</w:t>
            </w:r>
          </w:p>
        </w:tc>
      </w:tr>
      <w:tr>
        <w:tc>
          <w:tcPr>
            <w:tcW w:type="dxa" w:w="5040"/>
          </w:tcPr>
          <w:p>
            <w:r>
              <w:t>Model A</w:t>
            </w:r>
          </w:p>
        </w:tc>
        <w:tc>
          <w:tcPr>
            <w:tcW w:type="dxa" w:w="5040"/>
          </w:tcPr>
          <w:p>
            <w:r>
              <w:t>91%</w:t>
            </w:r>
          </w:p>
        </w:tc>
      </w:tr>
      <w:tr>
        <w:tc>
          <w:tcPr>
            <w:tcW w:type="dxa" w:w="5040"/>
          </w:tcPr>
          <w:p>
            <w:r>
              <w:t>Model B</w:t>
            </w:r>
          </w:p>
        </w:tc>
        <w:tc>
          <w:tcPr>
            <w:tcW w:type="dxa" w:w="5040"/>
          </w:tcPr>
          <w:p>
            <w:r>
              <w:t>89%</w:t>
            </w:r>
          </w:p>
        </w:tc>
      </w:tr>
    </w:tbl>
    <w:p>
      <w:pPr>
        <w:jc w:val="center"/>
      </w:pPr>
      <w:r>
        <w:t>Table 1: 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504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7576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v4eq4s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576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(1)</w:t>
            </w:r>
          </w:p>
        </w:tc>
      </w:tr>
    </w:tbl>
    <w:p>
      <w:pPr>
        <w:spacing w:before="160" w:after="80"/>
      </w:pPr>
      <w:r>
        <w:rPr>
          <w:b w:val="0"/>
          <w:color w:val="000000"/>
        </w:rPr>
        <w:t>A. Math Preliminaries</w:t>
      </w:r>
    </w:p>
    <w:p>
      <w:pPr>
        <w:jc w:val="both"/>
      </w:pPr>
      <w:r>
        <w:t>We also need the integral ∫₀^∞ e^{-x^2} dx = √π/2 and reference [2].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Symbol</w:t>
            </w:r>
          </w:p>
        </w:tc>
        <w:tc>
          <w:tcPr>
            <w:tcW w:type="dxa" w:w="5040"/>
          </w:tcPr>
          <w:p>
            <w:r>
              <w:t>Meaning</w:t>
            </w:r>
          </w:p>
        </w:tc>
      </w:tr>
      <w:tr>
        <w:tc>
          <w:tcPr>
            <w:tcW w:type="dxa" w:w="5040"/>
          </w:tcPr>
          <w:p>
            <w:r>
              <w:t>π</w:t>
            </w:r>
          </w:p>
        </w:tc>
        <w:tc>
          <w:tcPr>
            <w:tcW w:type="dxa" w:w="5040"/>
          </w:tcPr>
          <w:p>
            <w:r>
              <w:t>Pi constant</w:t>
            </w:r>
          </w:p>
        </w:tc>
      </w:tr>
      <w:tr>
        <w:tc>
          <w:tcPr>
            <w:tcW w:type="dxa" w:w="5040"/>
          </w:tcPr>
          <w:p>
            <w:r>
              <w:t>e</w:t>
            </w:r>
          </w:p>
        </w:tc>
        <w:tc>
          <w:tcPr>
            <w:tcW w:type="dxa" w:w="5040"/>
          </w:tcPr>
          <w:p>
            <w:r>
              <w:t>Euler’s number</w:t>
            </w:r>
          </w:p>
        </w:tc>
      </w:tr>
    </w:tbl>
    <w:p>
      <w:pPr>
        <w:jc w:val="center"/>
      </w:pPr>
      <w:r>
        <w:t>Table 2: 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504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7576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_vhdeuv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576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t>(2)</w:t>
            </w:r>
          </w:p>
        </w:tc>
      </w:tr>
    </w:tbl>
    <w:p>
      <w:pPr>
        <w:spacing w:before="160" w:after="80"/>
        <w:jc w:val="center"/>
      </w:pPr>
      <w:r>
        <w:rPr>
          <w:b w:val="0"/>
          <w:color w:val="000000"/>
        </w:rPr>
        <w:t>III. METHODOLOGY</w:t>
      </w:r>
    </w:p>
    <w:p>
      <w:pPr>
        <w:jc w:val="both"/>
      </w:pPr>
      <w:r>
        <w:t>We fine‑tuned GPT models. See https://openai.com again to test duplicate filtering.</w:t>
      </w:r>
    </w:p>
    <w:p>
      <w:pPr>
        <w:spacing w:before="160" w:after="80"/>
        <w:jc w:val="center"/>
      </w:pPr>
      <w:r>
        <w:rPr>
          <w:b w:val="0"/>
          <w:color w:val="000000"/>
        </w:rPr>
        <w:t>REFERENCES</w:t>
      </w:r>
    </w:p>
    <w:p>
      <w:pPr>
        <w:jc w:val="both"/>
      </w:pPr>
      <w:r>
        <w:t>[1]  J. McCarthy, “Programs with Common Sense,” in _Mechanization of Thought Processes_, London: HMSO, 1959.</w:t>
      </w:r>
    </w:p>
    <w:p>
      <w:pPr>
        <w:jc w:val="both"/>
      </w:pPr>
      <w:r>
        <w:t>[2]  T. Mikolov et al., “Efficient Estimation of Word Representations,” arXiv preprint arXiv:1301.3781, 2013.</w:t>
      </w:r>
    </w:p>
    <w:p>
      <w:pPr>
        <w:jc w:val="both"/>
      </w:pPr>
      <w:r>
        <w:t xml:space="preserve">[3]  Example Corp, “Sample Whitepaper,” 2020. [Online]. Available: </w:t>
      </w:r>
      <w:hyperlink r:id="rId12">
        <w:r>
          <w:rPr>
            <w:color w:val="0000FF"/>
            <w:u w:val="single"/>
          </w:rPr>
          <w:t>https://example.org/whitepaper</w:t>
        </w:r>
      </w:hyperlink>
    </w:p>
    <w:p>
      <w:pPr>
        <w:jc w:val="both"/>
      </w:pPr>
      <w:r>
        <w:t xml:space="preserve">[4] [Online]. Available: </w:t>
      </w:r>
      <w:hyperlink r:id="rId13">
        <w:r>
          <w:rPr>
            <w:color w:val="0000FF"/>
            <w:u w:val="single"/>
          </w:rPr>
          <w:t>https://openai.com</w:t>
        </w:r>
      </w:hyperlink>
    </w:p>
    <w:p>
      <w:pPr>
        <w:jc w:val="both"/>
      </w:pPr>
      <w:r>
        <w:t xml:space="preserve">[5] [Online]. Available: </w:t>
      </w:r>
      <w:hyperlink r:id="rId14">
        <w:r>
          <w:rPr>
            <w:color w:val="0000FF"/>
            <w:u w:val="single"/>
          </w:rPr>
          <w:t>https://mathworld.wolfram.com</w:t>
        </w:r>
      </w:hyperlink>
    </w:p>
    <w:p>
      <w:pPr>
        <w:spacing w:before="160" w:after="80"/>
        <w:jc w:val="center"/>
      </w:pPr>
      <w:r>
        <w:rPr>
          <w:b w:val="0"/>
          <w:color w:val="000000"/>
        </w:rPr>
        <w:t>Appendix</w:t>
      </w:r>
    </w:p>
    <w:p>
      <w:pPr>
        <w:jc w:val="both"/>
      </w:pPr>
      <w:r>
        <w:t>Appendix A: Additional figures and tables are in the supplementary folder.</w:t>
      </w:r>
    </w:p>
    <w:p>
      <w:pPr>
        <w:jc w:val="both"/>
      </w:pPr>
      <w:r>
        <w:t>Appendix B: Full training configuration and hyperparameters.</w:t>
      </w:r>
    </w:p>
    <w:sectPr w:rsidR="00FC693F" w:rsidRPr="0006063C" w:rsidSect="00034616">
      <w:type w:val="continuous"/>
      <w:pgSz w:w="12240" w:h="15840"/>
      <w:pgMar w:top="1440" w:right="1080" w:bottom="1440" w:left="108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example.org/whitepaper" TargetMode="External"/><Relationship Id="rId13" Type="http://schemas.openxmlformats.org/officeDocument/2006/relationships/hyperlink" Target="https://openai.com" TargetMode="External"/><Relationship Id="rId14" Type="http://schemas.openxmlformats.org/officeDocument/2006/relationships/hyperlink" Target="https://mathworld.wolf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