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B57"/>
          <w:sz w:val="60"/>
        </w:rPr>
        <w:t>AiZen Invoice Extractor</w:t>
      </w:r>
    </w:p>
    <w:p>
      <w:pPr>
        <w:jc w:val="center"/>
      </w:pPr>
      <w:r>
        <w:rPr>
          <w:color w:val="595959"/>
          <w:sz w:val="36"/>
        </w:rPr>
        <w:t>Windows Server 2019 Deployment Guide</w:t>
      </w:r>
    </w:p>
    <w:p>
      <w:pPr>
        <w:spacing w:before="600"/>
        <w:jc w:val="center"/>
      </w:pPr>
      <w:r>
        <w:rPr>
          <w:color w:val="595959"/>
          <w:sz w:val="24"/>
        </w:rPr>
        <w:t>Prepared for Asendus Innovations LLP</w:t>
      </w:r>
    </w:p>
    <w:p>
      <w:pPr>
        <w:spacing w:before="4000"/>
        <w:jc w:val="center"/>
      </w:pPr>
      <w:r>
        <w:rPr>
          <w:color w:val="595959"/>
          <w:sz w:val="20"/>
        </w:rPr>
        <w:t>Document version: 1.0</w:t>
        <w:br/>
        <w:t>Date: 2026-09-17</w:t>
        <w:br/>
        <w:t>Application version: 0.1.0 (Phase 1 backend)</w:t>
      </w:r>
    </w:p>
    <w:p>
      <w:r>
        <w:br w:type="page"/>
      </w:r>
    </w:p>
    <w:p>
      <w:pPr>
        <w:pStyle w:val="Heading1"/>
      </w:pPr>
      <w:r>
        <w:t>Document Control</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rPr>
              <w:t>Field</w:t>
            </w:r>
          </w:p>
        </w:tc>
        <w:tc>
          <w:tcPr>
            <w:tcW w:type="dxa" w:w="6236"/>
          </w:tcPr>
          <w:p>
            <w:r>
              <w:rPr>
                <w:b/>
              </w:rPr>
              <w:t>Value</w:t>
            </w:r>
          </w:p>
        </w:tc>
      </w:tr>
      <w:tr>
        <w:tc>
          <w:tcPr>
            <w:tcW w:type="dxa" w:w="2268"/>
          </w:tcPr>
          <w:p>
            <w:r>
              <w:t>Document title</w:t>
            </w:r>
          </w:p>
        </w:tc>
        <w:tc>
          <w:tcPr>
            <w:tcW w:type="dxa" w:w="6236"/>
          </w:tcPr>
          <w:p>
            <w:r>
              <w:t>AiZen Invoice Extractor - Windows Server 2019 Deployment Guide</w:t>
            </w:r>
          </w:p>
        </w:tc>
      </w:tr>
      <w:tr>
        <w:tc>
          <w:tcPr>
            <w:tcW w:type="dxa" w:w="2268"/>
          </w:tcPr>
          <w:p>
            <w:r>
              <w:t>Version</w:t>
            </w:r>
          </w:p>
        </w:tc>
        <w:tc>
          <w:tcPr>
            <w:tcW w:type="dxa" w:w="6236"/>
          </w:tcPr>
          <w:p>
            <w:r>
              <w:t>1.0</w:t>
            </w:r>
          </w:p>
        </w:tc>
      </w:tr>
      <w:tr>
        <w:tc>
          <w:tcPr>
            <w:tcW w:type="dxa" w:w="2268"/>
          </w:tcPr>
          <w:p>
            <w:r>
              <w:t>Date</w:t>
            </w:r>
          </w:p>
        </w:tc>
        <w:tc>
          <w:tcPr>
            <w:tcW w:type="dxa" w:w="6236"/>
          </w:tcPr>
          <w:p>
            <w:r>
              <w:t>2026-09-17</w:t>
            </w:r>
          </w:p>
        </w:tc>
      </w:tr>
      <w:tr>
        <w:tc>
          <w:tcPr>
            <w:tcW w:type="dxa" w:w="2268"/>
          </w:tcPr>
          <w:p>
            <w:r>
              <w:t>Audience</w:t>
            </w:r>
          </w:p>
        </w:tc>
        <w:tc>
          <w:tcPr>
            <w:tcW w:type="dxa" w:w="6236"/>
          </w:tcPr>
          <w:p>
            <w:r>
              <w:t>Server/infrastructure administrators deploying or maintaining this application</w:t>
            </w:r>
          </w:p>
        </w:tc>
      </w:tr>
      <w:tr>
        <w:tc>
          <w:tcPr>
            <w:tcW w:type="dxa" w:w="2268"/>
          </w:tcPr>
          <w:p>
            <w:r>
              <w:t>Application</w:t>
            </w:r>
          </w:p>
        </w:tc>
        <w:tc>
          <w:tcPr>
            <w:tcW w:type="dxa" w:w="6236"/>
          </w:tcPr>
          <w:p>
            <w:r>
              <w:t>AiZen Invoice Extractor backend (FastAPI), Phase 1</w:t>
            </w:r>
          </w:p>
        </w:tc>
      </w:tr>
      <w:tr>
        <w:tc>
          <w:tcPr>
            <w:tcW w:type="dxa" w:w="2268"/>
          </w:tcPr>
          <w:p>
            <w:r>
              <w:t>Source repository</w:t>
            </w:r>
          </w:p>
        </w:tc>
        <w:tc>
          <w:tcPr>
            <w:tcW w:type="dxa" w:w="6236"/>
          </w:tcPr>
          <w:p>
            <w:r>
              <w:t>Asendus-Invoice-Extraction-API (GitHub: JagdishN/Asendus-Invoice-Extraction-API)</w:t>
            </w:r>
          </w:p>
        </w:tc>
      </w:tr>
    </w:tbl>
    <w:p/>
    <w:p>
      <w:pPr>
        <w:pStyle w:val="Heading1"/>
      </w:pPr>
      <w:r>
        <w:t>1. Overview</w:t>
      </w:r>
    </w:p>
    <w:p>
      <w:r>
        <w:t>AiZen Invoice Extractor is a FastAPI backend that converts uploaded PDF invoices and scanned/photographed invoice images into structured CSV exports, built for Asendus Innovations LLP (pharma distribution). This document describes how to deploy the current Phase 1 backend on a Windows Server 2019 host.</w:t>
      </w:r>
    </w:p>
    <w:p>
      <w:pPr>
        <w:pStyle w:val="Heading2"/>
      </w:pPr>
      <w:r>
        <w:t>1.1 Architecture summary</w:t>
      </w:r>
    </w:p>
    <w:p>
      <w:r>
        <w:t>The application is a single Python process (an ASGI app served by Uvicorn). It has two distinct extraction paths and no external database:</w:t>
      </w:r>
    </w:p>
    <w:p>
      <w:pPr>
        <w:pStyle w:val="ListBullet"/>
      </w:pPr>
      <w:r>
        <w:t>Native PDF path (app/services/native_pdf_extraction.py) - reads a PDF's own text layer and ruled tables directly via PyMuPDF. No OCR involved.</w:t>
      </w:r>
    </w:p>
    <w:p>
      <w:pPr>
        <w:pStyle w:val="ListBullet"/>
      </w:pPr>
      <w:r>
        <w:t>OCR path (app/services/ocr_extraction.py) - used for directly-uploaded images (JPEG/PNG/WEBP) and for PDF pages with no usable text layer (scanned documents). Requires the Tesseract OCR engine installed at the OS level, plus OpenCV/NumPy for image pre-processing (deskew, upscaling, sharpening).</w:t>
      </w:r>
    </w:p>
    <w:p>
      <w:pPr>
        <w:pStyle w:val="ListBullet"/>
      </w:pPr>
      <w:r>
        <w:t>Job store (app/core/job_store.py) - IN-MEMORY only. There is no database in this phase. All uploaded jobs and their extraction results are lost on process restart or crash. This is an accepted Phase 1 limitation, not a bug - see section 8.</w:t>
      </w:r>
    </w:p>
    <w:p>
      <w:pPr>
        <w:pStyle w:val="ListBullet"/>
      </w:pPr>
      <w:r>
        <w:t>Export storage (app/services/export_storage.py) - generated CSV/ZIP files are written to the local filesystem under a configurable folder (EXPORT_STORAGE_ROOT). There is currently no retention/cleanup policy, so this folder grows indefinitely - see section 8.</w:t>
      </w:r>
    </w:p>
    <w:p>
      <w:pPr>
        <w:pStyle w:val="ListBullet"/>
      </w:pPr>
      <w:r>
        <w:t>Auth (app/core/auth.py) - a temporary hardcoded-credential JWT stopgap, not a production identity system. See section 8 before exposing this deployment beyond a trusted network.</w:t>
      </w:r>
    </w:p>
    <w:p>
      <w:pPr>
        <w:pStyle w:val="Heading2"/>
      </w:pPr>
      <w:r>
        <w:t>1.2 What this guide covers</w:t>
      </w:r>
    </w:p>
    <w:p>
      <w:r>
        <w:t>Installing prerequisites, deploying the application code, configuring it for a production-like run, running it as a Windows Service, verifying the deployment, and the update/rollback procedure. It does not cover setting up the Angular frontend, which is a separate deployment.</w:t>
      </w:r>
    </w:p>
    <w:p>
      <w:pPr>
        <w:pStyle w:val="Heading1"/>
      </w:pPr>
      <w:r>
        <w:t>2. Prerequisites</w:t>
      </w:r>
    </w:p>
    <w:p>
      <w:pPr>
        <w:pStyle w:val="Heading2"/>
      </w:pPr>
      <w:r>
        <w:t>2.1 Server</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b/>
              </w:rPr>
              <w:t>Item</w:t>
            </w:r>
          </w:p>
        </w:tc>
        <w:tc>
          <w:tcPr>
            <w:tcW w:type="dxa" w:w="6803"/>
          </w:tcPr>
          <w:p>
            <w:r>
              <w:rPr>
                <w:b/>
              </w:rPr>
              <w:t>Requirement</w:t>
            </w:r>
          </w:p>
        </w:tc>
      </w:tr>
      <w:tr>
        <w:tc>
          <w:tcPr>
            <w:tcW w:type="dxa" w:w="1701"/>
          </w:tcPr>
          <w:p>
            <w:r>
              <w:t>OS</w:t>
            </w:r>
          </w:p>
        </w:tc>
        <w:tc>
          <w:tcPr>
            <w:tcW w:type="dxa" w:w="6803"/>
          </w:tcPr>
          <w:p>
            <w:r>
              <w:t>Windows Server 2019 (Standard or Datacenter), fully patched</w:t>
            </w:r>
          </w:p>
        </w:tc>
      </w:tr>
      <w:tr>
        <w:tc>
          <w:tcPr>
            <w:tcW w:type="dxa" w:w="1701"/>
          </w:tcPr>
          <w:p>
            <w:r>
              <w:t>Access</w:t>
            </w:r>
          </w:p>
        </w:tc>
        <w:tc>
          <w:tcPr>
            <w:tcW w:type="dxa" w:w="6803"/>
          </w:tcPr>
          <w:p>
            <w:r>
              <w:t>Local Administrator rights for installation steps</w:t>
            </w:r>
          </w:p>
        </w:tc>
      </w:tr>
      <w:tr>
        <w:tc>
          <w:tcPr>
            <w:tcW w:type="dxa" w:w="1701"/>
          </w:tcPr>
          <w:p>
            <w:r>
              <w:t>CPU</w:t>
            </w:r>
          </w:p>
        </w:tc>
        <w:tc>
          <w:tcPr>
            <w:tcW w:type="dxa" w:w="6803"/>
          </w:tcPr>
          <w:p>
            <w:r>
              <w:t>4 vCPU minimum recommended (OCR is CPU-bound; more improves concurrent throughput)</w:t>
            </w:r>
          </w:p>
        </w:tc>
      </w:tr>
      <w:tr>
        <w:tc>
          <w:tcPr>
            <w:tcW w:type="dxa" w:w="1701"/>
          </w:tcPr>
          <w:p>
            <w:r>
              <w:t>RAM</w:t>
            </w:r>
          </w:p>
        </w:tc>
        <w:tc>
          <w:tcPr>
            <w:tcW w:type="dxa" w:w="6803"/>
          </w:tcPr>
          <w:p>
            <w:r>
              <w:t>8 GB minimum recommended</w:t>
            </w:r>
          </w:p>
        </w:tc>
      </w:tr>
      <w:tr>
        <w:tc>
          <w:tcPr>
            <w:tcW w:type="dxa" w:w="1701"/>
          </w:tcPr>
          <w:p>
            <w:r>
              <w:t>Disk</w:t>
            </w:r>
          </w:p>
        </w:tc>
        <w:tc>
          <w:tcPr>
            <w:tcW w:type="dxa" w:w="6803"/>
          </w:tcPr>
          <w:p>
            <w:r>
              <w:t>Application + dependencies: ~2 GB. Reserve additional headroom for the export storage folder, which currently has no automatic cleanup and will grow over time (see section 8.3) - monitor and plan accordingly.</w:t>
            </w:r>
          </w:p>
        </w:tc>
      </w:tr>
      <w:tr>
        <w:tc>
          <w:tcPr>
            <w:tcW w:type="dxa" w:w="1701"/>
          </w:tcPr>
          <w:p>
            <w:r>
              <w:t>Network</w:t>
            </w:r>
          </w:p>
        </w:tc>
        <w:tc>
          <w:tcPr>
            <w:tcW w:type="dxa" w:w="6803"/>
          </w:tcPr>
          <w:p>
            <w:r>
              <w:t>Outbound internet access for the initial software installation (or prepared offline installers - see 2.3). Inbound access on the chosen application port from wherever the frontend/API clients connect from.</w:t>
            </w:r>
          </w:p>
        </w:tc>
      </w:tr>
    </w:tbl>
    <w:p/>
    <w:p>
      <w:pPr>
        <w:pStyle w:val="Heading2"/>
      </w:pPr>
      <w:r>
        <w:t>2.2 Required software</w:t>
      </w:r>
    </w:p>
    <w:tbl>
      <w:tblPr>
        <w:tblStyle w:val="LightGrid-Accent1"/>
        <w:tblW w:type="auto" w:w="0"/>
        <w:jc w:val="left"/>
        <w:tblLook w:firstColumn="1" w:firstRow="1" w:lastColumn="0" w:lastRow="0" w:noHBand="0" w:noVBand="1" w:val="04A0"/>
      </w:tblPr>
      <w:tblGrid>
        <w:gridCol w:w="4320"/>
        <w:gridCol w:w="4320"/>
      </w:tblGrid>
      <w:tr>
        <w:tc>
          <w:tcPr>
            <w:tcW w:type="dxa" w:w="2551"/>
          </w:tcPr>
          <w:p>
            <w:r>
              <w:rPr>
                <w:b/>
              </w:rPr>
              <w:t>Software</w:t>
            </w:r>
          </w:p>
        </w:tc>
        <w:tc>
          <w:tcPr>
            <w:tcW w:type="dxa" w:w="5953"/>
          </w:tcPr>
          <w:p>
            <w:r>
              <w:rPr>
                <w:b/>
              </w:rPr>
              <w:t>Version / Notes</w:t>
            </w:r>
          </w:p>
        </w:tc>
      </w:tr>
      <w:tr>
        <w:tc>
          <w:tcPr>
            <w:tcW w:type="dxa" w:w="2551"/>
          </w:tcPr>
          <w:p>
            <w:r>
              <w:t>Python</w:t>
            </w:r>
          </w:p>
        </w:tc>
        <w:tc>
          <w:tcPr>
            <w:tcW w:type="dxa" w:w="5953"/>
          </w:tcPr>
          <w:p>
            <w:r>
              <w:t>3.13.x, 64-bit (the version used in development; verify no newer breaking changes if a later 3.13.x patch is used). Download from python.org.</w:t>
            </w:r>
          </w:p>
        </w:tc>
      </w:tr>
      <w:tr>
        <w:tc>
          <w:tcPr>
            <w:tcW w:type="dxa" w:w="2551"/>
          </w:tcPr>
          <w:p>
            <w:r>
              <w:t>Tesseract OCR engine</w:t>
            </w:r>
          </w:p>
        </w:tc>
        <w:tc>
          <w:tcPr>
            <w:tcW w:type="dxa" w:w="5953"/>
          </w:tcPr>
          <w:p>
            <w:r>
              <w:t>UB-Mannheim build. This is a SYSTEM-level dependency, not a Python package - it is not installed by pip. Required for any image upload or scanned-PDF-page extraction; native digitally-generated PDFs do not need it.</w:t>
            </w:r>
          </w:p>
        </w:tc>
      </w:tr>
      <w:tr>
        <w:tc>
          <w:tcPr>
            <w:tcW w:type="dxa" w:w="2551"/>
          </w:tcPr>
          <w:p>
            <w:r>
              <w:t>Git for Windows (or equivalent)</w:t>
            </w:r>
          </w:p>
        </w:tc>
        <w:tc>
          <w:tcPr>
            <w:tcW w:type="dxa" w:w="5953"/>
          </w:tcPr>
          <w:p>
            <w:r>
              <w:t>To pull the application code from the repository. A manual code copy (zip/robocopy) also works if Git is not permitted on the server.</w:t>
            </w:r>
          </w:p>
        </w:tc>
      </w:tr>
      <w:tr>
        <w:tc>
          <w:tcPr>
            <w:tcW w:type="dxa" w:w="2551"/>
          </w:tcPr>
          <w:p>
            <w:r>
              <w:t>NSSM (Non-Sucking Service Manager)</w:t>
            </w:r>
          </w:p>
        </w:tc>
        <w:tc>
          <w:tcPr>
            <w:tcW w:type="dxa" w:w="5953"/>
          </w:tcPr>
          <w:p>
            <w:r>
              <w:t>Used to run the application as a Windows Service so it survives reboots and restarts automatically on failure. Free, widely used, no installer needed (single executable).</w:t>
            </w:r>
          </w:p>
        </w:tc>
      </w:tr>
      <w:tr>
        <w:tc>
          <w:tcPr>
            <w:tcW w:type="dxa" w:w="2551"/>
          </w:tcPr>
          <w:p>
            <w:r>
              <w:t>Reverse proxy (recommended)</w:t>
            </w:r>
          </w:p>
        </w:tc>
        <w:tc>
          <w:tcPr>
            <w:tcW w:type="dxa" w:w="5953"/>
          </w:tcPr>
          <w:p>
            <w:r>
              <w:t>IIS with URL Rewrite + Application Request Routing, or an alternative such as Caddy/nginx for Windows, to terminate TLS (HTTPS) in front of the plain-HTTP Uvicorn process. Not strictly required for an internal-network-only deployment, but strongly recommended for anything reachable more broadly.</w:t>
            </w:r>
          </w:p>
        </w:tc>
      </w:tr>
      <w:tr>
        <w:tc>
          <w:tcPr>
            <w:tcW w:type="dxa" w:w="2551"/>
          </w:tcPr>
          <w:p>
            <w:r>
              <w:t>TLS certificate</w:t>
            </w:r>
          </w:p>
        </w:tc>
        <w:tc>
          <w:tcPr>
            <w:tcW w:type="dxa" w:w="5953"/>
          </w:tcPr>
          <w:p>
            <w:r>
              <w:t>Required only if terminating HTTPS on this server (see reverse proxy row above).</w:t>
            </w:r>
          </w:p>
        </w:tc>
      </w:tr>
    </w:tbl>
    <w:p/>
    <w:p>
      <w:pPr>
        <w:pStyle w:val="Heading2"/>
      </w:pPr>
      <w:r>
        <w:t>2.3 Offline installation note</w:t>
      </w:r>
    </w:p>
    <w:p>
      <w:r>
        <w:t>If this server has no internet access, download the Python installer, the Tesseract OCR installer, NSSM, and a full offline copy of the Python package wheels (via "pip download -r requirements.txt -d offline_packages" run on a machine with internet access) ahead of time, then transfer them to the server.</w:t>
      </w:r>
    </w:p>
    <w:p>
      <w:pPr>
        <w:pStyle w:val="Heading1"/>
      </w:pPr>
      <w:r>
        <w:t>3. Installation Steps</w:t>
      </w:r>
    </w:p>
    <w:p>
      <w:pPr>
        <w:pStyle w:val="Heading2"/>
      </w:pPr>
      <w:r>
        <w:t>3.1 Install Python</w:t>
      </w:r>
    </w:p>
    <w:p>
      <w:r>
        <w:t>Download the Python 3.13.x 64-bit installer from python.org and run it. On the first installer screen, check "Add python.exe to PATH" before clicking Install. Verify from a fresh Command Prompt / PowerShell window:</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python --version</w:t>
        <w:br/>
      </w:r>
      <w:r>
        <w:rPr>
          <w:rFonts w:ascii="Consolas" w:hAnsi="Consolas"/>
          <w:color w:val="202020"/>
          <w:sz w:val="19"/>
        </w:rPr>
        <w:t>pip --version</w:t>
      </w:r>
    </w:p>
    <w:p>
      <w:pPr>
        <w:pStyle w:val="Heading2"/>
      </w:pPr>
      <w:r>
        <w:t>3.2 Obtain the application code</w:t>
      </w:r>
    </w:p>
    <w:p>
      <w:r>
        <w:t>Choose a deployment folder, for example D:\Apps\aizen-invoice-extractor, then either:</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 Option A: clone with Git</w:t>
        <w:br/>
      </w:r>
      <w:r>
        <w:rPr>
          <w:rFonts w:ascii="Consolas" w:hAnsi="Consolas"/>
          <w:color w:val="202020"/>
          <w:sz w:val="19"/>
        </w:rPr>
        <w:t>git clone https://github.com/JagdishN/Asendus-Invoice-Extraction-API.git D:\Apps\aizen-invoice-extractor</w:t>
        <w:br/>
      </w:r>
      <w:r>
        <w:rPr>
          <w:rFonts w:ascii="Consolas" w:hAnsi="Consolas"/>
          <w:color w:val="202020"/>
          <w:sz w:val="19"/>
        </w:rPr>
        <w:br/>
      </w:r>
      <w:r>
        <w:rPr>
          <w:rFonts w:ascii="Consolas" w:hAnsi="Consolas"/>
          <w:color w:val="202020"/>
          <w:sz w:val="19"/>
        </w:rPr>
        <w:t># Option B: copy a release zip and extract it to the same path</w:t>
      </w:r>
    </w:p>
    <w:p>
      <w:pPr>
        <w:pStyle w:val="Heading2"/>
      </w:pPr>
      <w:r>
        <w:t>3.3 Create a virtual environment and install dependencies</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cd D:\Apps\aizen-invoice-extractor</w:t>
        <w:br/>
      </w:r>
      <w:r>
        <w:rPr>
          <w:rFonts w:ascii="Consolas" w:hAnsi="Consolas"/>
          <w:color w:val="202020"/>
          <w:sz w:val="19"/>
        </w:rPr>
        <w:t>python -m venv .venv</w:t>
        <w:br/>
      </w:r>
      <w:r>
        <w:rPr>
          <w:rFonts w:ascii="Consolas" w:hAnsi="Consolas"/>
          <w:color w:val="202020"/>
          <w:sz w:val="19"/>
        </w:rPr>
        <w:t>.venv\Scripts\activate</w:t>
        <w:br/>
      </w:r>
      <w:r>
        <w:rPr>
          <w:rFonts w:ascii="Consolas" w:hAnsi="Consolas"/>
          <w:color w:val="202020"/>
          <w:sz w:val="19"/>
        </w:rPr>
        <w:t>pip install --upgrade pip</w:t>
        <w:br/>
      </w:r>
      <w:r>
        <w:rPr>
          <w:rFonts w:ascii="Consolas" w:hAnsi="Consolas"/>
          <w:color w:val="202020"/>
          <w:sz w:val="19"/>
        </w:rPr>
        <w:t>pip install -r requirements.txt</w:t>
      </w:r>
    </w:p>
    <w:p>
      <w:pPr>
        <w:spacing w:before="120" w:after="120"/>
        <w:ind w:left="227"/>
      </w:pPr>
      <w:r>
        <w:rPr>
          <w:b/>
          <w:color w:val="B01F1F"/>
        </w:rPr>
        <w:t xml:space="preserve">Note: </w:t>
      </w:r>
      <w:r>
        <w:t>requirements.txt includes opencv-python-headless and numpy (used for OCR image pre-processing - deskew, upscaling, sharpening). These are pure Python-package dependencies and install via pip like everything else; no separate OS install is needed for them.</w:t>
      </w:r>
    </w:p>
    <w:p>
      <w:pPr>
        <w:pStyle w:val="Heading2"/>
      </w:pPr>
      <w:r>
        <w:t>3.4 Install Tesseract OCR</w:t>
      </w:r>
    </w:p>
    <w:p>
      <w:r>
        <w:t>Download and run the Tesseract OCR installer (UB-Mannheim build) as Administrator, accepting the default install location (C:\Program Files\Tesseract-OCR). The application auto-detects this exact default path as a fallback if tesseract.exe is not found on PATH (see app/services/ocr_extraction.py's _configure_tesseract_cmd), so a default installation works without further PATH configuration. Verify:</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"C:\Program Files\Tesseract-OCR\tesseract.exe" --version</w:t>
      </w:r>
    </w:p>
    <w:p>
      <w:pPr>
        <w:spacing w:before="120" w:after="120"/>
        <w:ind w:left="227"/>
      </w:pPr>
      <w:r>
        <w:rPr>
          <w:b/>
          <w:color w:val="B01F1F"/>
        </w:rPr>
        <w:t xml:space="preserve">Important: </w:t>
      </w:r>
      <w:r>
        <w:t>Without Tesseract installed, every image upload and every scanned (non-text-layer) PDF page will fail with TesseractNotFoundError at the moment OCR is attempted - it is not caught at startup. Native, digitally-generated PDFs are unaffected either way.</w:t>
      </w:r>
    </w:p>
    <w:p>
      <w:pPr>
        <w:pStyle w:val="Heading2"/>
      </w:pPr>
      <w:r>
        <w:t>3.5 Configure environment variables</w:t>
      </w:r>
    </w:p>
    <w:p>
      <w:r>
        <w:t>The application reads all configuration from environment variables (see app/core/config.py and app/core/auth.py); there is no .env file loader in the current code, so these must be set at the operating-system or Windows-Service level. Set them as System environment variables (System Properties &gt; Advanced &gt; Environment Variables) so every process, including the Windows Service created in step 3.8, inherits them. The full reference table is in section 10; at minimum, before any real use, set:</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JWT_SECRET_KEY   = &lt;a long random string - see command below, NOT the placeholder default&gt;</w:t>
        <w:br/>
      </w:r>
      <w:r>
        <w:rPr>
          <w:rFonts w:ascii="Consolas" w:hAnsi="Consolas"/>
          <w:color w:val="202020"/>
          <w:sz w:val="19"/>
        </w:rPr>
        <w:t>TEST_USERNAME    = &lt;a chosen admin username, not the documented default&gt;</w:t>
        <w:br/>
      </w:r>
      <w:r>
        <w:rPr>
          <w:rFonts w:ascii="Consolas" w:hAnsi="Consolas"/>
          <w:color w:val="202020"/>
          <w:sz w:val="19"/>
        </w:rPr>
        <w:t>TEST_PASSWORD    = &lt;a strong password, not the documented default&gt;</w:t>
        <w:br/>
      </w:r>
      <w:r>
        <w:rPr>
          <w:rFonts w:ascii="Consolas" w:hAnsi="Consolas"/>
          <w:color w:val="202020"/>
          <w:sz w:val="19"/>
        </w:rPr>
        <w:t>DEBUG            = false</w:t>
        <w:br/>
      </w:r>
      <w:r>
        <w:rPr>
          <w:rFonts w:ascii="Consolas" w:hAnsi="Consolas"/>
          <w:color w:val="202020"/>
          <w:sz w:val="19"/>
        </w:rPr>
        <w:t>EXPORT_STORAGE_ROOT = D:\Apps\aizen-invoice-extractor\storage\exports   (absolute path recommended)</w:t>
      </w:r>
    </w:p>
    <w:p>
      <w:r>
        <w:t>Generate a strong random JWT secret with:</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python -c "import secrets; print(secrets.token_urlsafe(64))"</w:t>
      </w:r>
    </w:p>
    <w:p>
      <w:pPr>
        <w:spacing w:before="120" w:after="120"/>
        <w:ind w:left="227"/>
      </w:pPr>
      <w:r>
        <w:rPr>
          <w:b/>
          <w:color w:val="B01F1F"/>
        </w:rPr>
        <w:t xml:space="preserve">Security: </w:t>
      </w:r>
      <w:r>
        <w:t>JWT_SECRET_KEY ships with an obvious placeholder default ("local-dev-only-placeholder-secret-override-me-before-deploying"). Leaving it unset in production means anyone with the source code can forge valid session tokens. This MUST be overridden before this deployment is used with real data.</w:t>
      </w:r>
    </w:p>
    <w:p>
      <w:pPr>
        <w:pStyle w:val="Heading2"/>
      </w:pPr>
      <w:r>
        <w:t>3.6 Prepare the export storage folder</w:t>
      </w:r>
    </w:p>
    <w:p>
      <w:r>
        <w:t>Create the folder referenced by EXPORT_STORAGE_ROOT and confirm the account the service will run as has read/write permission to it:</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mkdir D:\Apps\aizen-invoice-extractor\storage\exports</w:t>
      </w:r>
    </w:p>
    <w:p>
      <w:pPr>
        <w:spacing w:before="120" w:after="120"/>
        <w:ind w:left="227"/>
      </w:pPr>
      <w:r>
        <w:rPr>
          <w:b/>
          <w:color w:val="B01F1F"/>
        </w:rPr>
        <w:t xml:space="preserve">Note: </w:t>
      </w:r>
      <w:r>
        <w:t>There is currently no automatic cleanup or retention policy for generated export files - this folder accumulates data indefinitely (see section 8.3). Include it in disk-space monitoring.</w:t>
      </w:r>
    </w:p>
    <w:p>
      <w:pPr>
        <w:pStyle w:val="Heading2"/>
      </w:pPr>
      <w:r>
        <w:t>3.7 Manual smoke test (before installing as a service)</w:t>
      </w:r>
    </w:p>
    <w:p>
      <w:r>
        <w:t>From the activated virtual environment, in the application folder:</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python -m uvicorn app.main:app --host 0.0.0.0 --port 8000</w:t>
      </w:r>
    </w:p>
    <w:p>
      <w:r>
        <w:t>From another session on the same server (or a machine that can reach it), confirm the process responds:</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curl http://localhost:8000/health</w:t>
        <w:br/>
      </w:r>
      <w:r>
        <w:rPr>
          <w:rFonts w:ascii="Consolas" w:hAnsi="Consolas"/>
          <w:color w:val="202020"/>
          <w:sz w:val="19"/>
        </w:rPr>
        <w:t># -&gt; {"status":"ok"}</w:t>
        <w:br/>
      </w:r>
      <w:r>
        <w:rPr>
          <w:rFonts w:ascii="Consolas" w:hAnsi="Consolas"/>
          <w:color w:val="202020"/>
          <w:sz w:val="19"/>
        </w:rPr>
        <w:br/>
      </w:r>
      <w:r>
        <w:rPr>
          <w:rFonts w:ascii="Consolas" w:hAnsi="Consolas"/>
          <w:color w:val="202020"/>
          <w:sz w:val="19"/>
        </w:rPr>
        <w:t>curl -X POST http://localhost:8000/api/auth/login ^</w:t>
        <w:br/>
      </w:r>
      <w:r>
        <w:rPr>
          <w:rFonts w:ascii="Consolas" w:hAnsi="Consolas"/>
          <w:color w:val="202020"/>
          <w:sz w:val="19"/>
        </w:rPr>
        <w:t xml:space="preserve">  -H "Content-Type: application/json" ^</w:t>
        <w:br/>
      </w:r>
      <w:r>
        <w:rPr>
          <w:rFonts w:ascii="Consolas" w:hAnsi="Consolas"/>
          <w:color w:val="202020"/>
          <w:sz w:val="19"/>
        </w:rPr>
        <w:t xml:space="preserve">  -d "{\"username\": \"&lt;TEST_USERNAME&gt;\", \"password\": \"&lt;TEST_PASSWORD&gt;\"}"</w:t>
        <w:br/>
      </w:r>
      <w:r>
        <w:rPr>
          <w:rFonts w:ascii="Consolas" w:hAnsi="Consolas"/>
          <w:color w:val="202020"/>
          <w:sz w:val="19"/>
        </w:rPr>
        <w:t># -&gt; {"access_token": "...", "token_type": "bearer"}</w:t>
      </w:r>
    </w:p>
    <w:p>
      <w:r>
        <w:t>Stop the process (Ctrl+C) once this succeeds, then proceed to install it as a service.</w:t>
      </w:r>
    </w:p>
    <w:p>
      <w:pPr>
        <w:pStyle w:val="Heading2"/>
      </w:pPr>
      <w:r>
        <w:t>3.8 Install as a Windows Service (NSSM)</w:t>
      </w:r>
    </w:p>
    <w:p>
      <w:r>
        <w:t>Running via a plain console window does not survive logoff or reboot. Use NSSM to register it as a proper Windows Service:</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nssm install AiZenInvoiceExtractor ^</w:t>
        <w:br/>
      </w:r>
      <w:r>
        <w:rPr>
          <w:rFonts w:ascii="Consolas" w:hAnsi="Consolas"/>
          <w:color w:val="202020"/>
          <w:sz w:val="19"/>
        </w:rPr>
        <w:t xml:space="preserve">  "D:\Apps\aizen-invoice-extractor\.venv\Scripts\python.exe" ^</w:t>
        <w:br/>
      </w:r>
      <w:r>
        <w:rPr>
          <w:rFonts w:ascii="Consolas" w:hAnsi="Consolas"/>
          <w:color w:val="202020"/>
          <w:sz w:val="19"/>
        </w:rPr>
        <w:t xml:space="preserve">  "-m uvicorn app.main:app --host 0.0.0.0 --port 8000"</w:t>
        <w:br/>
      </w:r>
      <w:r>
        <w:rPr>
          <w:rFonts w:ascii="Consolas" w:hAnsi="Consolas"/>
          <w:color w:val="202020"/>
          <w:sz w:val="19"/>
        </w:rPr>
        <w:br/>
      </w:r>
      <w:r>
        <w:rPr>
          <w:rFonts w:ascii="Consolas" w:hAnsi="Consolas"/>
          <w:color w:val="202020"/>
          <w:sz w:val="19"/>
        </w:rPr>
        <w:t>nssm set AiZenInvoiceExtractor AppDirectory "D:\Apps\aizen-invoice-extractor"</w:t>
        <w:br/>
      </w:r>
      <w:r>
        <w:rPr>
          <w:rFonts w:ascii="Consolas" w:hAnsi="Consolas"/>
          <w:color w:val="202020"/>
          <w:sz w:val="19"/>
        </w:rPr>
        <w:t>nssm set AiZenInvoiceExtractor AppStdout "D:\Apps\aizen-invoice-extractor\logs\service.log"</w:t>
        <w:br/>
      </w:r>
      <w:r>
        <w:rPr>
          <w:rFonts w:ascii="Consolas" w:hAnsi="Consolas"/>
          <w:color w:val="202020"/>
          <w:sz w:val="19"/>
        </w:rPr>
        <w:t>nssm set AiZenInvoiceExtractor AppStderr "D:\Apps\aizen-invoice-extractor\logs\service-error.log"</w:t>
        <w:br/>
      </w:r>
      <w:r>
        <w:rPr>
          <w:rFonts w:ascii="Consolas" w:hAnsi="Consolas"/>
          <w:color w:val="202020"/>
          <w:sz w:val="19"/>
        </w:rPr>
        <w:t>nssm set AiZenInvoiceExtractor AppRotateFiles 1</w:t>
        <w:br/>
      </w:r>
      <w:r>
        <w:rPr>
          <w:rFonts w:ascii="Consolas" w:hAnsi="Consolas"/>
          <w:color w:val="202020"/>
          <w:sz w:val="19"/>
        </w:rPr>
        <w:t>nssm set AiZenInvoiceExtractor AppRotateBytes 10485760</w:t>
        <w:br/>
      </w:r>
      <w:r>
        <w:rPr>
          <w:rFonts w:ascii="Consolas" w:hAnsi="Consolas"/>
          <w:color w:val="202020"/>
          <w:sz w:val="19"/>
        </w:rPr>
        <w:t>nssm set AiZenInvoiceExtractor Start SERVICE_AUTO_START</w:t>
      </w:r>
    </w:p>
    <w:p>
      <w:r>
        <w:t>Create the logs folder first (mkdir D:\Apps\aizen-invoice-extractor\logs). If the environment variables from step 3.5 were set as System (not just User) variables, the service inherits them automatically; otherwise set them explicitly via "nssm set AiZenInvoiceExtractor AppEnvironmentExtra KEY=VALUE" (repeat per variable).</w:t>
      </w:r>
    </w:p>
    <w:p>
      <w:r>
        <w:t>Configure automatic restart on failure (important given the in-memory job store - see 8.1):</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nssm set AiZenInvoiceExtractor AppExit Default Restart</w:t>
        <w:br/>
      </w:r>
      <w:r>
        <w:rPr>
          <w:rFonts w:ascii="Consolas" w:hAnsi="Consolas"/>
          <w:color w:val="202020"/>
          <w:sz w:val="19"/>
        </w:rPr>
        <w:t>nssm set AiZenInvoiceExtractor AppRestartDelay 3000</w:t>
      </w:r>
    </w:p>
    <w:p>
      <w:r>
        <w:t>Start the service and confirm it is running:</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nssm start AiZenInvoiceExtractor</w:t>
        <w:br/>
      </w:r>
      <w:r>
        <w:rPr>
          <w:rFonts w:ascii="Consolas" w:hAnsi="Consolas"/>
          <w:color w:val="202020"/>
          <w:sz w:val="19"/>
        </w:rPr>
        <w:t>Get-Service AiZenInvoiceExtractor</w:t>
        <w:br/>
      </w:r>
      <w:r>
        <w:rPr>
          <w:rFonts w:ascii="Consolas" w:hAnsi="Consolas"/>
          <w:color w:val="202020"/>
          <w:sz w:val="19"/>
        </w:rPr>
        <w:t>curl http://localhost:8000/health</w:t>
      </w:r>
    </w:p>
    <w:p>
      <w:pPr>
        <w:pStyle w:val="Heading2"/>
      </w:pPr>
      <w:r>
        <w:t>3.9 Configure Windows Firewall</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New-NetFirewallRule -DisplayName "AiZen Invoice Extractor" -Direction Inbound -Protocol TCP -LocalPort 8000 -Action Allow</w:t>
      </w:r>
    </w:p>
    <w:p>
      <w:r>
        <w:t>Adjust the port if a reverse proxy (section 3.10) is used instead, in which case only the proxy's port (typically 443) needs to be open externally, and port 8000 can be restricted to localhost/the proxy host only.</w:t>
      </w:r>
    </w:p>
    <w:p>
      <w:pPr>
        <w:pStyle w:val="Heading2"/>
      </w:pPr>
      <w:r>
        <w:t>3.10 Reverse proxy and HTTPS (recommended)</w:t>
      </w:r>
    </w:p>
    <w:p>
      <w:r>
        <w:t>Uvicorn alone serves plain HTTP. For anything beyond a trusted internal network, place a reverse proxy in front of it (IIS with URL Rewrite + Application Request Routing, or an alternative such as Caddy/nginx for Windows) to terminate TLS and forward to http://localhost:8000.</w:t>
      </w:r>
    </w:p>
    <w:p>
      <w:pPr>
        <w:spacing w:before="120" w:after="120"/>
        <w:ind w:left="227"/>
      </w:pPr>
      <w:r>
        <w:rPr>
          <w:b/>
          <w:color w:val="B01F1F"/>
        </w:rPr>
        <w:t xml:space="preserve">Action required from the development team: </w:t>
      </w:r>
      <w:r>
        <w:t>app/main.py currently restricts CORS to the Angular dev server origin (http://localhost:4200) only (app/main.py's CORSMiddleware configuration). Before a production frontend can call this API from its real domain, that origin list must be updated in the source code and redeployed. Provide the confirmed production frontend URL(s) to the development team so this change can be made ahead of go-live.</w:t>
      </w:r>
    </w:p>
    <w:p>
      <w:pPr>
        <w:pStyle w:val="Heading1"/>
      </w:pPr>
      <w:r>
        <w:t>4. Post-Deployment Verification Checklist</w:t>
      </w:r>
    </w:p>
    <w:p>
      <w:pPr>
        <w:pStyle w:val="ListBullet"/>
      </w:pPr>
      <w:r>
        <w:t>GET /health returns {"status": "ok"}</w:t>
      </w:r>
    </w:p>
    <w:p>
      <w:pPr>
        <w:pStyle w:val="ListBullet"/>
      </w:pPr>
      <w:r>
        <w:t>POST /api/auth/login with the configured TEST_USERNAME/TEST_PASSWORD returns an access token</w:t>
      </w:r>
    </w:p>
    <w:p>
      <w:pPr>
        <w:pStyle w:val="ListBullet"/>
      </w:pPr>
      <w:r>
        <w:t>GET /docs (Swagger UI) loads and lists the API routes</w:t>
      </w:r>
    </w:p>
    <w:p>
      <w:pPr>
        <w:pStyle w:val="ListBullet"/>
      </w:pPr>
      <w:r>
        <w:t>Uploading a sample digitally-generated PDF via POST /api/jobs succeeds and produces line items (confirms the native PDF path)</w:t>
      </w:r>
    </w:p>
    <w:p>
      <w:pPr>
        <w:pStyle w:val="ListBullet"/>
      </w:pPr>
      <w:r>
        <w:t>Uploading a sample JPEG/PNG invoice succeeds and produces at least header fields (confirms Tesseract OCR is correctly installed and reachable)</w:t>
      </w:r>
    </w:p>
    <w:p>
      <w:pPr>
        <w:pStyle w:val="ListBullet"/>
      </w:pPr>
      <w:r>
        <w:t>Exporting a completed job to CSV via GET /api/jobs/{job_id}/export downloads correctly</w:t>
      </w:r>
    </w:p>
    <w:p>
      <w:pPr>
        <w:pStyle w:val="ListBullet"/>
      </w:pPr>
      <w:r>
        <w:t>The Windows Service is set to Automatic startup and the app responds again after a full server reboot</w:t>
      </w:r>
    </w:p>
    <w:p>
      <w:pPr>
        <w:pStyle w:val="ListBullet"/>
      </w:pPr>
      <w:r>
        <w:t>DEBUG is confirmed OFF (unset or "false") for normal production operation</w:t>
      </w:r>
    </w:p>
    <w:p>
      <w:pPr>
        <w:pStyle w:val="Heading1"/>
      </w:pPr>
      <w:r>
        <w:t>5. Update / Redeployment Procedure</w:t>
      </w:r>
    </w:p>
    <w:p>
      <w:r>
        <w:t>Because the job store is in-memory only, any restart clears all in-flight and historical jobs for every user. Schedule updates during an agreed maintenance window and notify users in advance.</w:t>
      </w:r>
    </w:p>
    <w:p>
      <w:r>
        <w:t>1. Stop the service: nssm stop AiZenInvoiceExtractor</w:t>
      </w:r>
    </w:p>
    <w:p>
      <w:r>
        <w:t>2. Back up the current application folder (rename or copy it with a date-stamped suffix) so it can be restored quickly if the update fails - see section 6, Rollback.</w:t>
      </w:r>
    </w:p>
    <w:p>
      <w:r>
        <w:t>3. Pull or copy the new application code into the deployment folder.</w:t>
      </w:r>
    </w:p>
    <w:p>
      <w:r>
        <w:t>4. Activate the virtual environment and reinstall dependencies, in case new packages were added: pip install -r requirements.txt</w:t>
      </w:r>
    </w:p>
    <w:p>
      <w:r>
        <w:t>5. (Recommended) Run the automated test suite from a build/staging machine with the same Python version before touching production: pip install -r requirements-dev.txt &amp;&amp; pytest</w:t>
      </w:r>
    </w:p>
    <w:p>
      <w:r>
        <w:t>6. Review section 10 for any new environment variables introduced by the update, and set them.</w:t>
      </w:r>
    </w:p>
    <w:p>
      <w:r>
        <w:t>7. Start the service: nssm start AiZenInvoiceExtractor</w:t>
      </w:r>
    </w:p>
    <w:p>
      <w:r>
        <w:t>8. Work through the Post-Deployment Verification Checklist (section 4) again.</w:t>
      </w:r>
    </w:p>
    <w:p>
      <w:pPr>
        <w:pStyle w:val="Heading1"/>
      </w:pPr>
      <w:r>
        <w:t>6. Rollback Plan</w:t>
      </w:r>
    </w:p>
    <w:p>
      <w:r>
        <w:t>Because step 2 above keeps a date-stamped copy of the previous working deployment folder, rolling back is:</w:t>
      </w:r>
    </w:p>
    <w:p>
      <w:r>
        <w:t>1. Stop the service: nssm stop AiZenInvoiceExtractor</w:t>
      </w:r>
    </w:p>
    <w:p>
      <w:r>
        <w:t>2. Rename the failed new folder aside (for later investigation) and rename the previous date-stamped backup back to the live deployment path.</w:t>
      </w:r>
    </w:p>
    <w:p>
      <w:r>
        <w:t>3. Start the service: nssm start AiZenInvoiceExtractor</w:t>
      </w:r>
    </w:p>
    <w:p>
      <w:r>
        <w:t>4. Re-run the Post-Deployment Verification Checklist (section 4).</w:t>
      </w:r>
    </w:p>
    <w:p>
      <w:pPr>
        <w:spacing w:before="120" w:after="120"/>
        <w:ind w:left="227"/>
      </w:pPr>
      <w:r>
        <w:rPr>
          <w:b/>
          <w:color w:val="B01F1F"/>
        </w:rPr>
        <w:t xml:space="preserve">Note: </w:t>
      </w:r>
      <w:r>
        <w:t>Rolling back the code does not restore any job history lost during the update window, since the job store is in-memory only and was already cleared when the service stopped.</w:t>
      </w:r>
    </w:p>
    <w:p>
      <w:pPr>
        <w:pStyle w:val="Heading1"/>
      </w:pPr>
      <w:r>
        <w:t>7. Monitoring and Troubleshooting</w:t>
      </w:r>
    </w:p>
    <w:p>
      <w:pPr>
        <w:pStyle w:val="Heading2"/>
      </w:pPr>
      <w:r>
        <w:t>7.1 Logs</w:t>
      </w:r>
    </w:p>
    <w:p>
      <w:r>
        <w:t>If configured per step 3.8, application stdout/stderr are written to D:\Apps\aizen-invoice-extractor\logs\service.log and service-error.log, with basic size-based rotation via NSSM. The application logs at INFO level by default, or DEBUG (including full raw OCR/PDF text per page) when the DEBUG environment variable is set - do not leave DEBUG on in normal operation, since it also enables the /api/jobs/{job_id}/debug/raw-text endpoint, which returns raw extracted invoice text and should not be exposed outside active troubleshooting.</w:t>
      </w:r>
    </w:p>
    <w:p>
      <w:pPr>
        <w:pStyle w:val="Heading2"/>
      </w:pPr>
      <w:r>
        <w:t>7.2 Common issues</w:t>
      </w:r>
    </w:p>
    <w:tbl>
      <w:tblPr>
        <w:tblStyle w:val="LightGrid-Accent1"/>
        <w:tblW w:type="auto" w:w="0"/>
        <w:jc w:val="left"/>
        <w:tblLook w:firstColumn="1" w:firstRow="1" w:lastColumn="0" w:lastRow="0" w:noHBand="0" w:noVBand="1" w:val="04A0"/>
      </w:tblPr>
      <w:tblGrid>
        <w:gridCol w:w="4320"/>
        <w:gridCol w:w="4320"/>
      </w:tblGrid>
      <w:tr>
        <w:tc>
          <w:tcPr>
            <w:tcW w:type="dxa" w:w="3402"/>
          </w:tcPr>
          <w:p>
            <w:r>
              <w:rPr>
                <w:b/>
              </w:rPr>
              <w:t>Symptom</w:t>
            </w:r>
          </w:p>
        </w:tc>
        <w:tc>
          <w:tcPr>
            <w:tcW w:type="dxa" w:w="5102"/>
          </w:tcPr>
          <w:p>
            <w:r>
              <w:rPr>
                <w:b/>
              </w:rPr>
              <w:t>Likely cause / fix</w:t>
            </w:r>
          </w:p>
        </w:tc>
      </w:tr>
      <w:tr>
        <w:tc>
          <w:tcPr>
            <w:tcW w:type="dxa" w:w="3402"/>
          </w:tcPr>
          <w:p>
            <w:r>
              <w:t>TesseractNotFoundError on any image upload</w:t>
            </w:r>
          </w:p>
        </w:tc>
        <w:tc>
          <w:tcPr>
            <w:tcW w:type="dxa" w:w="5102"/>
          </w:tcPr>
          <w:p>
            <w:r>
              <w:t>Tesseract OCR is not installed, or not at the default path and not on PATH. Reinstall to the default location (3.4) or add it to the service account's PATH.</w:t>
            </w:r>
          </w:p>
        </w:tc>
      </w:tr>
      <w:tr>
        <w:tc>
          <w:tcPr>
            <w:tcW w:type="dxa" w:w="3402"/>
          </w:tcPr>
          <w:p>
            <w:r>
              <w:t>401 Unauthorized on login with credentials that look correct</w:t>
            </w:r>
          </w:p>
        </w:tc>
        <w:tc>
          <w:tcPr>
            <w:tcW w:type="dxa" w:w="5102"/>
          </w:tcPr>
          <w:p>
            <w:r>
              <w:t>TEST_USERNAME/TEST_PASSWORD environment variables do not match what is being sent, or were changed but the service was not restarted afterward (env var changes require a service restart to take effect).</w:t>
            </w:r>
          </w:p>
        </w:tc>
      </w:tr>
      <w:tr>
        <w:tc>
          <w:tcPr>
            <w:tcW w:type="dxa" w:w="3402"/>
          </w:tcPr>
          <w:p>
            <w:r>
              <w:t>Browser shows a CORS error calling the API from the production frontend</w:t>
            </w:r>
          </w:p>
        </w:tc>
        <w:tc>
          <w:tcPr>
            <w:tcW w:type="dxa" w:w="5102"/>
          </w:tcPr>
          <w:p>
            <w:r>
              <w:t>The frontend's origin is not yet in app/main.py's CORSMiddleware allow_origins list - see section 3.10.</w:t>
            </w:r>
          </w:p>
        </w:tc>
      </w:tr>
      <w:tr>
        <w:tc>
          <w:tcPr>
            <w:tcW w:type="dxa" w:w="3402"/>
          </w:tcPr>
          <w:p>
            <w:r>
              <w:t>Service will not start / stops immediately</w:t>
            </w:r>
          </w:p>
        </w:tc>
        <w:tc>
          <w:tcPr>
            <w:tcW w:type="dxa" w:w="5102"/>
          </w:tcPr>
          <w:p>
            <w:r>
              <w:t>Check service-error.log first. Common causes: wrong path to python.exe or the app folder in the NSSM configuration, port 8000 already in use by another process (check with "netstat -ano | findstr :8000"), or a missing dependency (rerun pip install -r requirements.txt).</w:t>
            </w:r>
          </w:p>
        </w:tc>
      </w:tr>
      <w:tr>
        <w:tc>
          <w:tcPr>
            <w:tcW w:type="dxa" w:w="3402"/>
          </w:tcPr>
          <w:p>
            <w:r>
              <w:t>Disk filling up over time</w:t>
            </w:r>
          </w:p>
        </w:tc>
        <w:tc>
          <w:tcPr>
            <w:tcW w:type="dxa" w:w="5102"/>
          </w:tcPr>
          <w:p>
            <w:r>
              <w:t>Expected with current scope - the export storage folder has no automatic cleanup (section 8.3). Manually archive or delete old exports, or escalate to the development team to prioritize a retention policy.</w:t>
            </w:r>
          </w:p>
        </w:tc>
      </w:tr>
      <w:tr>
        <w:tc>
          <w:tcPr>
            <w:tcW w:type="dxa" w:w="3402"/>
          </w:tcPr>
          <w:p>
            <w:r>
              <w:t>All jobs disappeared after a server reboot or service restart</w:t>
            </w:r>
          </w:p>
        </w:tc>
        <w:tc>
          <w:tcPr>
            <w:tcW w:type="dxa" w:w="5102"/>
          </w:tcPr>
          <w:p>
            <w:r>
              <w:t>Expected with current scope - the job store is in-memory only (section 8.1), not a defect in this deployment.</w:t>
            </w:r>
          </w:p>
        </w:tc>
      </w:tr>
    </w:tbl>
    <w:p/>
    <w:p>
      <w:pPr>
        <w:pStyle w:val="Heading1"/>
      </w:pPr>
      <w:r>
        <w:t>8. Known Application Limitations (Phase 1)</w:t>
      </w:r>
    </w:p>
    <w:p>
      <w:r>
        <w:t>These are accepted, client-agreed scope limitations of the current backend, not deployment defects. They are listed here so they are not mistaken for something a correct deployment should have prevented.</w:t>
      </w:r>
    </w:p>
    <w:p>
      <w:pPr>
        <w:pStyle w:val="Heading2"/>
      </w:pPr>
      <w:r>
        <w:t>8.1 In-memory job store</w:t>
      </w:r>
    </w:p>
    <w:p>
      <w:r>
        <w:t>There is no database in this phase. Every uploaded job, its extraction results, and its generated exports metadata live only in the running process's memory. A service restart, server reboot, or crash clears all of it. Plan maintenance windows accordingly and warn users before any planned restart.</w:t>
      </w:r>
    </w:p>
    <w:p>
      <w:pPr>
        <w:pStyle w:val="Heading2"/>
      </w:pPr>
      <w:r>
        <w:t>8.2 Authentication is a temporary stopgap</w:t>
      </w:r>
    </w:p>
    <w:p>
      <w:r>
        <w:t>app/core/auth.py checks a single hardcoded (though bcrypt-hashed) username/password pair, not a real user directory - see the code's own header comment. This exists to allow the rest of the system to be built and tested ahead of real Supabase-based auth landing later. Do not expose this deployment to an untrusted network without changing the default credentials at minimum, and treat any broader exposure as a risk to flag back to the development team before going further.</w:t>
      </w:r>
    </w:p>
    <w:p>
      <w:pPr>
        <w:pStyle w:val="Heading2"/>
      </w:pPr>
      <w:r>
        <w:t>8.3 No export retention/cleanup policy</w:t>
      </w:r>
    </w:p>
    <w:p>
      <w:r>
        <w:t>Generated CSV/ZIP export files accumulate under EXPORT_STORAGE_ROOT indefinitely. This needs a retention policy (scheduled cleanup task, or a code-level change) before production volume makes this a disk-space problem.</w:t>
      </w:r>
    </w:p>
    <w:p>
      <w:pPr>
        <w:pStyle w:val="Heading2"/>
      </w:pPr>
      <w:r>
        <w:t>8.4 Single-process, single-server</w:t>
      </w:r>
    </w:p>
    <w:p>
      <w:r>
        <w:t>This guide deploys a single Uvicorn process on a single server. There is no built-in load-balancing, clustering, or multi-instance job-store sharing - running more than one instance would each have its own independent, disconnected job store. Scale-out is out of scope for this phase.</w:t>
      </w:r>
    </w:p>
    <w:p>
      <w:pPr>
        <w:pStyle w:val="Heading1"/>
      </w:pPr>
      <w:r>
        <w:t>9. Environment Variable Reference</w:t>
      </w:r>
    </w:p>
    <w:p>
      <w:r>
        <w:t>Source: app/core/config.py and app/core/auth.py.</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Pr>
                <w:b/>
              </w:rPr>
              <w:t>Variable</w:t>
            </w:r>
          </w:p>
        </w:tc>
        <w:tc>
          <w:tcPr>
            <w:tcW w:type="dxa" w:w="2268"/>
          </w:tcPr>
          <w:p>
            <w:r>
              <w:rPr>
                <w:b/>
              </w:rPr>
              <w:t>Default</w:t>
            </w:r>
          </w:p>
        </w:tc>
        <w:tc>
          <w:tcPr>
            <w:tcW w:type="dxa" w:w="3969"/>
          </w:tcPr>
          <w:p>
            <w:r>
              <w:rPr>
                <w:b/>
              </w:rPr>
              <w:t>Description / production recommendation</w:t>
            </w:r>
          </w:p>
        </w:tc>
      </w:tr>
      <w:tr>
        <w:tc>
          <w:tcPr>
            <w:tcW w:type="dxa" w:w="2268"/>
          </w:tcPr>
          <w:p>
            <w:r>
              <w:t>JWT_SECRET_KEY</w:t>
            </w:r>
          </w:p>
        </w:tc>
        <w:tc>
          <w:tcPr>
            <w:tcW w:type="dxa" w:w="2268"/>
          </w:tcPr>
          <w:p>
            <w:r>
              <w:t>local-dev-only-placeholder...</w:t>
            </w:r>
          </w:p>
        </w:tc>
        <w:tc>
          <w:tcPr>
            <w:tcW w:type="dxa" w:w="3969"/>
          </w:tcPr>
          <w:p>
            <w:r>
              <w:t>JWT signing secret. MUST be overridden with a long random value before real use (section 3.5).</w:t>
            </w:r>
          </w:p>
        </w:tc>
      </w:tr>
      <w:tr>
        <w:tc>
          <w:tcPr>
            <w:tcW w:type="dxa" w:w="2268"/>
          </w:tcPr>
          <w:p>
            <w:r>
              <w:t>JWT_ALGORITHM</w:t>
            </w:r>
          </w:p>
        </w:tc>
        <w:tc>
          <w:tcPr>
            <w:tcW w:type="dxa" w:w="2268"/>
          </w:tcPr>
          <w:p>
            <w:r>
              <w:t>HS256</w:t>
            </w:r>
          </w:p>
        </w:tc>
        <w:tc>
          <w:tcPr>
            <w:tcW w:type="dxa" w:w="3969"/>
          </w:tcPr>
          <w:p>
            <w:r>
              <w:t>JWT signing algorithm. No change normally needed.</w:t>
            </w:r>
          </w:p>
        </w:tc>
      </w:tr>
      <w:tr>
        <w:tc>
          <w:tcPr>
            <w:tcW w:type="dxa" w:w="2268"/>
          </w:tcPr>
          <w:p>
            <w:r>
              <w:t>JWT_EXPIRY_HOURS</w:t>
            </w:r>
          </w:p>
        </w:tc>
        <w:tc>
          <w:tcPr>
            <w:tcW w:type="dxa" w:w="2268"/>
          </w:tcPr>
          <w:p>
            <w:r>
              <w:t>24</w:t>
            </w:r>
          </w:p>
        </w:tc>
        <w:tc>
          <w:tcPr>
            <w:tcW w:type="dxa" w:w="3969"/>
          </w:tcPr>
          <w:p>
            <w:r>
              <w:t>How long an issued access token stays valid.</w:t>
            </w:r>
          </w:p>
        </w:tc>
      </w:tr>
      <w:tr>
        <w:tc>
          <w:tcPr>
            <w:tcW w:type="dxa" w:w="2268"/>
          </w:tcPr>
          <w:p>
            <w:r>
              <w:t>TEST_USERNAME</w:t>
            </w:r>
          </w:p>
        </w:tc>
        <w:tc>
          <w:tcPr>
            <w:tcW w:type="dxa" w:w="2268"/>
          </w:tcPr>
          <w:p>
            <w:r>
              <w:t>Admin</w:t>
            </w:r>
          </w:p>
        </w:tc>
        <w:tc>
          <w:tcPr>
            <w:tcW w:type="dxa" w:w="3969"/>
          </w:tcPr>
          <w:p>
            <w:r>
              <w:t>Login username for the temporary auth stopgap. Change from the documented default before real use.</w:t>
            </w:r>
          </w:p>
        </w:tc>
      </w:tr>
      <w:tr>
        <w:tc>
          <w:tcPr>
            <w:tcW w:type="dxa" w:w="2268"/>
          </w:tcPr>
          <w:p>
            <w:r>
              <w:t>TEST_PASSWORD</w:t>
            </w:r>
          </w:p>
        </w:tc>
        <w:tc>
          <w:tcPr>
            <w:tcW w:type="dxa" w:w="2268"/>
          </w:tcPr>
          <w:p>
            <w:r>
              <w:t>Admin@123</w:t>
            </w:r>
          </w:p>
        </w:tc>
        <w:tc>
          <w:tcPr>
            <w:tcW w:type="dxa" w:w="3969"/>
          </w:tcPr>
          <w:p>
            <w:r>
              <w:t>Login password for the temporary auth stopgap. Change from the documented default before real use.</w:t>
            </w:r>
          </w:p>
        </w:tc>
      </w:tr>
      <w:tr>
        <w:tc>
          <w:tcPr>
            <w:tcW w:type="dxa" w:w="2268"/>
          </w:tcPr>
          <w:p>
            <w:r>
              <w:t>MAX_FILE_SIZE_MB</w:t>
            </w:r>
          </w:p>
        </w:tc>
        <w:tc>
          <w:tcPr>
            <w:tcW w:type="dxa" w:w="2268"/>
          </w:tcPr>
          <w:p>
            <w:r>
              <w:t>100</w:t>
            </w:r>
          </w:p>
        </w:tc>
        <w:tc>
          <w:tcPr>
            <w:tcW w:type="dxa" w:w="3969"/>
          </w:tcPr>
          <w:p>
            <w:r>
              <w:t>Maximum accepted upload size, in megabytes.</w:t>
            </w:r>
          </w:p>
        </w:tc>
      </w:tr>
      <w:tr>
        <w:tc>
          <w:tcPr>
            <w:tcW w:type="dxa" w:w="2268"/>
          </w:tcPr>
          <w:p>
            <w:r>
              <w:t>MAX_PAGES_PER_FILE</w:t>
            </w:r>
          </w:p>
        </w:tc>
        <w:tc>
          <w:tcPr>
            <w:tcW w:type="dxa" w:w="2268"/>
          </w:tcPr>
          <w:p>
            <w:r>
              <w:t>150</w:t>
            </w:r>
          </w:p>
        </w:tc>
        <w:tc>
          <w:tcPr>
            <w:tcW w:type="dxa" w:w="3969"/>
          </w:tcPr>
          <w:p>
            <w:r>
              <w:t>Maximum accepted pages per uploaded PDF.</w:t>
            </w:r>
          </w:p>
        </w:tc>
      </w:tr>
      <w:tr>
        <w:tc>
          <w:tcPr>
            <w:tcW w:type="dxa" w:w="2268"/>
          </w:tcPr>
          <w:p>
            <w:r>
              <w:t>DAILY_PAGE_LIMIT</w:t>
            </w:r>
          </w:p>
        </w:tc>
        <w:tc>
          <w:tcPr>
            <w:tcW w:type="dxa" w:w="2268"/>
          </w:tcPr>
          <w:p>
            <w:r>
              <w:t>20000</w:t>
            </w:r>
          </w:p>
        </w:tc>
        <w:tc>
          <w:tcPr>
            <w:tcW w:type="dxa" w:w="3969"/>
          </w:tcPr>
          <w:p>
            <w:r>
              <w:t>Daily page-processing budget (rate-limiting safeguard).</w:t>
            </w:r>
          </w:p>
        </w:tc>
      </w:tr>
      <w:tr>
        <w:tc>
          <w:tcPr>
            <w:tcW w:type="dxa" w:w="2268"/>
          </w:tcPr>
          <w:p>
            <w:r>
              <w:t>CONFIDENCE_HIGH</w:t>
            </w:r>
          </w:p>
        </w:tc>
        <w:tc>
          <w:tcPr>
            <w:tcW w:type="dxa" w:w="2268"/>
          </w:tcPr>
          <w:p>
            <w:r>
              <w:t>0.90</w:t>
            </w:r>
          </w:p>
        </w:tc>
        <w:tc>
          <w:tcPr>
            <w:tcW w:type="dxa" w:w="3969"/>
          </w:tcPr>
          <w:p>
            <w:r>
              <w:t>Threshold above which an extracted field is marked HIGH confidence.</w:t>
            </w:r>
          </w:p>
        </w:tc>
      </w:tr>
      <w:tr>
        <w:tc>
          <w:tcPr>
            <w:tcW w:type="dxa" w:w="2268"/>
          </w:tcPr>
          <w:p>
            <w:r>
              <w:t>CONFIDENCE_REVIEW</w:t>
            </w:r>
          </w:p>
        </w:tc>
        <w:tc>
          <w:tcPr>
            <w:tcW w:type="dxa" w:w="2268"/>
          </w:tcPr>
          <w:p>
            <w:r>
              <w:t>0.75</w:t>
            </w:r>
          </w:p>
        </w:tc>
        <w:tc>
          <w:tcPr>
            <w:tcW w:type="dxa" w:w="3969"/>
          </w:tcPr>
          <w:p>
            <w:r>
              <w:t>Threshold above which a field is marked REVIEW instead of LOW.</w:t>
            </w:r>
          </w:p>
        </w:tc>
      </w:tr>
      <w:tr>
        <w:tc>
          <w:tcPr>
            <w:tcW w:type="dxa" w:w="2268"/>
          </w:tcPr>
          <w:p>
            <w:r>
              <w:t>EXPORT_STORAGE_ROOT</w:t>
            </w:r>
          </w:p>
        </w:tc>
        <w:tc>
          <w:tcPr>
            <w:tcW w:type="dxa" w:w="2268"/>
          </w:tcPr>
          <w:p>
            <w:r>
              <w:t>storage/exports</w:t>
            </w:r>
          </w:p>
        </w:tc>
        <w:tc>
          <w:tcPr>
            <w:tcW w:type="dxa" w:w="3969"/>
          </w:tcPr>
          <w:p>
            <w:r>
              <w:t>Folder for generated export files. Set to an absolute path in production (e.g. D:\Apps\aizen-invoice-extractor\storage\exports).</w:t>
            </w:r>
          </w:p>
        </w:tc>
      </w:tr>
      <w:tr>
        <w:tc>
          <w:tcPr>
            <w:tcW w:type="dxa" w:w="2268"/>
          </w:tcPr>
          <w:p>
            <w:r>
              <w:t>DEBUG</w:t>
            </w:r>
          </w:p>
        </w:tc>
        <w:tc>
          <w:tcPr>
            <w:tcW w:type="dxa" w:w="2268"/>
          </w:tcPr>
          <w:p>
            <w:r>
              <w:t>false</w:t>
            </w:r>
          </w:p>
        </w:tc>
        <w:tc>
          <w:tcPr>
            <w:tcW w:type="dxa" w:w="3969"/>
          </w:tcPr>
          <w:p>
            <w:r>
              <w:t>Enables verbose logging and the raw-text debug endpoint. Keep off in normal production operation (section 7.1).</w:t>
            </w:r>
          </w:p>
        </w:tc>
      </w:tr>
      <w:tr>
        <w:tc>
          <w:tcPr>
            <w:tcW w:type="dxa" w:w="2268"/>
          </w:tcPr>
          <w:p>
            <w:r>
              <w:t>OCR_PSM</w:t>
            </w:r>
          </w:p>
        </w:tc>
        <w:tc>
          <w:tcPr>
            <w:tcW w:type="dxa" w:w="2268"/>
          </w:tcPr>
          <w:p>
            <w:r>
              <w:t>4</w:t>
            </w:r>
          </w:p>
        </w:tc>
        <w:tc>
          <w:tcPr>
            <w:tcW w:type="dxa" w:w="3969"/>
          </w:tcPr>
          <w:p>
            <w:r>
              <w:t>Tesseract page segmentation mode used for OCR extraction. Only change if advised by the development team after reviewing OCR accuracy on real samples.</w:t>
            </w:r>
          </w:p>
        </w:tc>
      </w:tr>
    </w:tbl>
    <w:p/>
    <w:p>
      <w:pPr>
        <w:pStyle w:val="Heading1"/>
      </w:pPr>
      <w:r>
        <w:t>Appendix A: Quick Command Reference</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REM Start / stop / restart the service</w:t>
        <w:br/>
      </w:r>
      <w:r>
        <w:rPr>
          <w:rFonts w:ascii="Consolas" w:hAnsi="Consolas"/>
          <w:color w:val="202020"/>
          <w:sz w:val="19"/>
        </w:rPr>
        <w:t>nssm start AiZenInvoiceExtractor</w:t>
        <w:br/>
      </w:r>
      <w:r>
        <w:rPr>
          <w:rFonts w:ascii="Consolas" w:hAnsi="Consolas"/>
          <w:color w:val="202020"/>
          <w:sz w:val="19"/>
        </w:rPr>
        <w:t>nssm stop AiZenInvoiceExtractor</w:t>
        <w:br/>
      </w:r>
      <w:r>
        <w:rPr>
          <w:rFonts w:ascii="Consolas" w:hAnsi="Consolas"/>
          <w:color w:val="202020"/>
          <w:sz w:val="19"/>
        </w:rPr>
        <w:t>nssm restart AiZenInvoiceExtractor</w:t>
        <w:br/>
      </w:r>
      <w:r>
        <w:rPr>
          <w:rFonts w:ascii="Consolas" w:hAnsi="Consolas"/>
          <w:color w:val="202020"/>
          <w:sz w:val="19"/>
        </w:rPr>
        <w:br/>
      </w:r>
      <w:r>
        <w:rPr>
          <w:rFonts w:ascii="Consolas" w:hAnsi="Consolas"/>
          <w:color w:val="202020"/>
          <w:sz w:val="19"/>
        </w:rPr>
        <w:t>REM Check service status</w:t>
        <w:br/>
      </w:r>
      <w:r>
        <w:rPr>
          <w:rFonts w:ascii="Consolas" w:hAnsi="Consolas"/>
          <w:color w:val="202020"/>
          <w:sz w:val="19"/>
        </w:rPr>
        <w:t>Get-Service AiZenInvoiceExtractor</w:t>
        <w:br/>
      </w:r>
      <w:r>
        <w:rPr>
          <w:rFonts w:ascii="Consolas" w:hAnsi="Consolas"/>
          <w:color w:val="202020"/>
          <w:sz w:val="19"/>
        </w:rPr>
        <w:br/>
      </w:r>
      <w:r>
        <w:rPr>
          <w:rFonts w:ascii="Consolas" w:hAnsi="Consolas"/>
          <w:color w:val="202020"/>
          <w:sz w:val="19"/>
        </w:rPr>
        <w:t>REM Check what is listening on the app port</w:t>
        <w:br/>
      </w:r>
      <w:r>
        <w:rPr>
          <w:rFonts w:ascii="Consolas" w:hAnsi="Consolas"/>
          <w:color w:val="202020"/>
          <w:sz w:val="19"/>
        </w:rPr>
        <w:t>netstat -ano | findstr :8000</w:t>
        <w:br/>
      </w:r>
      <w:r>
        <w:rPr>
          <w:rFonts w:ascii="Consolas" w:hAnsi="Consolas"/>
          <w:color w:val="202020"/>
          <w:sz w:val="19"/>
        </w:rPr>
        <w:br/>
      </w:r>
      <w:r>
        <w:rPr>
          <w:rFonts w:ascii="Consolas" w:hAnsi="Consolas"/>
          <w:color w:val="202020"/>
          <w:sz w:val="19"/>
        </w:rPr>
        <w:t>REM Health check</w:t>
        <w:br/>
      </w:r>
      <w:r>
        <w:rPr>
          <w:rFonts w:ascii="Consolas" w:hAnsi="Consolas"/>
          <w:color w:val="202020"/>
          <w:sz w:val="19"/>
        </w:rPr>
        <w:t>curl http://localhost:8000/health</w:t>
      </w:r>
    </w:p>
    <w:p>
      <w:pPr>
        <w:pStyle w:val="Heading1"/>
      </w:pPr>
      <w:r>
        <w:t>Appendix B: Full Dependency List (requirements.txt)</w:t>
      </w:r>
    </w:p>
    <w:p>
      <w:r>
        <w:t>For reference when preparing an offline installation (section 2.3). Always install from the repository's own requirements.txt at deployment time rather than retyping this list, since it may be updated between document revisions.</w:t>
      </w:r>
    </w:p>
    <w:p>
      <w:pPr>
        <w:spacing w:before="80" w:after="160"/>
        <w:ind w:left="283"/>
        <w:pBdr>
          <w:top w:val="single" w:sz="4" w:space="4" w:color="CCCCCC"/>
          <w:left w:val="single" w:sz="4" w:space="4" w:color="CCCCCC"/>
          <w:bottom w:val="single" w:sz="4" w:space="4" w:color="CCCCCC"/>
          <w:right w:val="single" w:sz="4" w:space="4" w:color="CCCCCC"/>
        </w:pBdr>
        <w:shd w:val="clear" w:color="auto" w:fill="F4F4F4"/>
      </w:pPr>
      <w:r>
        <w:rPr>
          <w:rFonts w:ascii="Consolas" w:hAnsi="Consolas"/>
          <w:color w:val="202020"/>
          <w:sz w:val="19"/>
        </w:rPr>
        <w:t>fastapi==0.115.0</w:t>
        <w:br/>
      </w:r>
      <w:r>
        <w:rPr>
          <w:rFonts w:ascii="Consolas" w:hAnsi="Consolas"/>
          <w:color w:val="202020"/>
          <w:sz w:val="19"/>
        </w:rPr>
        <w:t>uvicorn==0.30.6</w:t>
        <w:br/>
      </w:r>
      <w:r>
        <w:rPr>
          <w:rFonts w:ascii="Consolas" w:hAnsi="Consolas"/>
          <w:color w:val="202020"/>
          <w:sz w:val="19"/>
        </w:rPr>
        <w:t>python-multipart==0.0.9</w:t>
        <w:br/>
      </w:r>
      <w:r>
        <w:rPr>
          <w:rFonts w:ascii="Consolas" w:hAnsi="Consolas"/>
          <w:color w:val="202020"/>
          <w:sz w:val="19"/>
        </w:rPr>
        <w:t>pydantic==2.9.2</w:t>
        <w:br/>
      </w:r>
      <w:r>
        <w:rPr>
          <w:rFonts w:ascii="Consolas" w:hAnsi="Consolas"/>
          <w:color w:val="202020"/>
          <w:sz w:val="19"/>
        </w:rPr>
        <w:t>pypdf==5.0.1</w:t>
        <w:br/>
      </w:r>
      <w:r>
        <w:rPr>
          <w:rFonts w:ascii="Consolas" w:hAnsi="Consolas"/>
          <w:color w:val="202020"/>
          <w:sz w:val="19"/>
        </w:rPr>
        <w:t>pymupdf==1.28.2</w:t>
        <w:br/>
      </w:r>
      <w:r>
        <w:rPr>
          <w:rFonts w:ascii="Consolas" w:hAnsi="Consolas"/>
          <w:color w:val="202020"/>
          <w:sz w:val="19"/>
        </w:rPr>
        <w:t>pyjwt==2.13.0</w:t>
        <w:br/>
      </w:r>
      <w:r>
        <w:rPr>
          <w:rFonts w:ascii="Consolas" w:hAnsi="Consolas"/>
          <w:color w:val="202020"/>
          <w:sz w:val="19"/>
        </w:rPr>
        <w:t>passlib==1.7.4</w:t>
        <w:br/>
      </w:r>
      <w:r>
        <w:rPr>
          <w:rFonts w:ascii="Consolas" w:hAnsi="Consolas"/>
          <w:color w:val="202020"/>
          <w:sz w:val="19"/>
        </w:rPr>
        <w:t>bcrypt==4.0.1</w:t>
        <w:br/>
      </w:r>
      <w:r>
        <w:rPr>
          <w:rFonts w:ascii="Consolas" w:hAnsi="Consolas"/>
          <w:color w:val="202020"/>
          <w:sz w:val="19"/>
        </w:rPr>
        <w:t>pytesseract==0.3.13</w:t>
        <w:br/>
      </w:r>
      <w:r>
        <w:rPr>
          <w:rFonts w:ascii="Consolas" w:hAnsi="Consolas"/>
          <w:color w:val="202020"/>
          <w:sz w:val="19"/>
        </w:rPr>
        <w:t>Pillow==12.3.0</w:t>
        <w:br/>
      </w:r>
      <w:r>
        <w:rPr>
          <w:rFonts w:ascii="Consolas" w:hAnsi="Consolas"/>
          <w:color w:val="202020"/>
          <w:sz w:val="19"/>
        </w:rPr>
        <w:t>opencv-python-headless==5.0.0.93</w:t>
        <w:br/>
      </w:r>
      <w:r>
        <w:rPr>
          <w:rFonts w:ascii="Consolas" w:hAnsi="Consolas"/>
          <w:color w:val="202020"/>
          <w:sz w:val="19"/>
        </w:rPr>
        <w:t>numpy==2.5.3</w:t>
      </w:r>
    </w:p>
    <w:p/>
    <w:p>
      <w:pPr>
        <w:jc w:val="center"/>
      </w:pPr>
      <w:r>
        <w:rPr>
          <w:i/>
          <w:color w:val="595959"/>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