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F9F9E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模型假设</w:t>
      </w:r>
    </w:p>
    <w:p w14:paraId="751802B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4"/>
          <w:szCs w:val="24"/>
          <w:lang w:val="en-US" w:eastAsia="zh-CN"/>
        </w:rPr>
      </w:pPr>
    </w:p>
    <w:p w14:paraId="3BEB30E3">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val="en-US" w:eastAsia="zh-CN"/>
        </w:rPr>
        <w:t>. 附件</w:t>
      </w:r>
      <w:r>
        <w:rPr>
          <w:rFonts w:hint="default"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val="en-US" w:eastAsia="zh-CN"/>
        </w:rPr>
        <w:t>中的订货量、供货量和原材料类别记录真实可靠，能够反映供应商近</w:t>
      </w:r>
      <w:r>
        <w:rPr>
          <w:rFonts w:hint="default"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val="en-US" w:eastAsia="zh-CN"/>
        </w:rPr>
        <w:t>年的实际供货情况。</w:t>
      </w:r>
    </w:p>
    <w:p w14:paraId="6514FEF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val="en-US" w:eastAsia="zh-CN"/>
        </w:rPr>
        <w:t>. 同一供应商在</w:t>
      </w:r>
      <w:r>
        <w:rPr>
          <w:rFonts w:hint="default" w:ascii="Times New Roman" w:hAnsi="Times New Roman" w:eastAsia="宋体" w:cs="Times New Roman"/>
          <w:sz w:val="24"/>
          <w:szCs w:val="24"/>
          <w:lang w:val="en-US" w:eastAsia="zh-CN"/>
        </w:rPr>
        <w:t>240</w:t>
      </w:r>
      <w:r>
        <w:rPr>
          <w:rFonts w:hint="eastAsia" w:ascii="Times New Roman" w:hAnsi="Times New Roman" w:eastAsia="宋体" w:cs="Times New Roman"/>
          <w:sz w:val="24"/>
          <w:szCs w:val="24"/>
          <w:lang w:val="en-US" w:eastAsia="zh-CN"/>
        </w:rPr>
        <w:t>周内供应的原材料类别保持不变，同类原材料之间不存在显著质量差异。</w:t>
      </w:r>
    </w:p>
    <w:p w14:paraId="065DFB8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val="en-US" w:eastAsia="zh-CN"/>
        </w:rPr>
        <w:t>. 供应商近</w:t>
      </w:r>
      <w:r>
        <w:rPr>
          <w:rFonts w:hint="default"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val="en-US" w:eastAsia="zh-CN"/>
        </w:rPr>
        <w:t>年的供货能力、履约情况、稳定性和连续性具有一定延续性，可以作为评价其未来生产保障能力的依据。</w:t>
      </w:r>
    </w:p>
    <w:p w14:paraId="2CBFD0B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val="en-US" w:eastAsia="zh-CN"/>
        </w:rPr>
        <w:t>. 将</w:t>
      </w:r>
      <w:r>
        <w:rPr>
          <w:rFonts w:hint="default" w:ascii="Times New Roman" w:hAnsi="Times New Roman" w:eastAsia="宋体" w:cs="Times New Roman"/>
          <w:sz w:val="24"/>
          <w:szCs w:val="24"/>
          <w:lang w:val="en-US" w:eastAsia="zh-CN"/>
        </w:rPr>
        <w:t>240</w:t>
      </w:r>
      <w:r>
        <w:rPr>
          <w:rFonts w:hint="eastAsia" w:ascii="Times New Roman" w:hAnsi="Times New Roman" w:eastAsia="宋体" w:cs="Times New Roman"/>
          <w:sz w:val="24"/>
          <w:szCs w:val="24"/>
          <w:lang w:val="en-US" w:eastAsia="zh-CN"/>
        </w:rPr>
        <w:t>周数据按照每</w:t>
      </w:r>
      <w:r>
        <w:rPr>
          <w:rFonts w:hint="default" w:ascii="Times New Roman" w:hAnsi="Times New Roman" w:eastAsia="宋体" w:cs="Times New Roman"/>
          <w:sz w:val="24"/>
          <w:szCs w:val="24"/>
          <w:lang w:val="en-US" w:eastAsia="zh-CN"/>
        </w:rPr>
        <w:t>48</w:t>
      </w:r>
      <w:r>
        <w:rPr>
          <w:rFonts w:hint="eastAsia" w:ascii="Times New Roman" w:hAnsi="Times New Roman" w:eastAsia="宋体" w:cs="Times New Roman"/>
          <w:sz w:val="24"/>
          <w:szCs w:val="24"/>
          <w:lang w:val="en-US" w:eastAsia="zh-CN"/>
        </w:rPr>
        <w:t>周一个年度划分为</w:t>
      </w:r>
      <w:r>
        <w:rPr>
          <w:rFonts w:hint="default"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val="en-US" w:eastAsia="zh-CN"/>
        </w:rPr>
        <w:t>个年度，各年度在评价长期供货连续性时具有相同作用。</w:t>
      </w:r>
    </w:p>
    <w:p w14:paraId="4193759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val="en-US" w:eastAsia="zh-CN"/>
        </w:rPr>
        <w:t>. 本问主要评价供应商对企业生产的保障作用，暂不考虑原材料采购价格、运输损耗和转运能力等因素。</w:t>
      </w:r>
    </w:p>
    <w:p w14:paraId="78F54D0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6</w:t>
      </w:r>
      <w:r>
        <w:rPr>
          <w:rFonts w:hint="eastAsia" w:ascii="Times New Roman" w:hAnsi="Times New Roman" w:eastAsia="宋体" w:cs="Times New Roman"/>
          <w:sz w:val="24"/>
          <w:szCs w:val="24"/>
          <w:lang w:val="en-US" w:eastAsia="zh-CN"/>
        </w:rPr>
        <w:t>. 原始数据中的数值</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按照题意解释为相应周没有订货或没有供货，不作为缺失值处理。</w:t>
      </w:r>
    </w:p>
    <w:p w14:paraId="739AA9E7"/>
    <w:p w14:paraId="6DBE43DD">
      <w:pPr>
        <w:pStyle w:val="2"/>
        <w:keepNext w:val="0"/>
        <w:keepLines w:val="0"/>
        <w:widowControl/>
        <w:suppressLineNumbers w:val="0"/>
      </w:pPr>
      <w:r>
        <w:rPr>
          <w:rFonts w:hint="eastAsia"/>
          <w:lang w:eastAsia="zh-CN"/>
        </w:rPr>
        <w:t>(</w:t>
      </w:r>
      <w:r>
        <w:rPr>
          <w:rFonts w:hint="default" w:ascii="Times New Roman" w:hAnsi="Times New Roman" w:cs="Times New Roman"/>
        </w:rPr>
        <w:t>1</w:t>
      </w:r>
      <w:r>
        <w:rPr>
          <w:rFonts w:hint="eastAsia"/>
          <w:lang w:eastAsia="zh-CN"/>
        </w:rPr>
        <w:t>)</w:t>
      </w:r>
      <w:r>
        <w:t>附件</w:t>
      </w:r>
      <w:r>
        <w:rPr>
          <w:rFonts w:hint="default" w:ascii="Times New Roman" w:hAnsi="Times New Roman" w:cs="Times New Roman"/>
        </w:rPr>
        <w:t>1</w:t>
      </w:r>
      <w:r>
        <w:t>中近</w:t>
      </w:r>
      <w:r>
        <w:rPr>
          <w:rFonts w:hint="default" w:ascii="Times New Roman" w:hAnsi="Times New Roman" w:cs="Times New Roman"/>
        </w:rPr>
        <w:t>5</w:t>
      </w:r>
      <w:r>
        <w:t>年的订货量和供货量能够反映各供应商的实际供货能力及年度变化特征。</w:t>
      </w:r>
    </w:p>
    <w:p w14:paraId="3255E506">
      <w:pPr>
        <w:pStyle w:val="2"/>
        <w:keepNext w:val="0"/>
        <w:keepLines w:val="0"/>
        <w:widowControl/>
        <w:suppressLineNumbers w:val="0"/>
      </w:pPr>
      <w:r>
        <w:rPr>
          <w:rFonts w:hint="eastAsia"/>
          <w:lang w:eastAsia="zh-CN"/>
        </w:rPr>
        <w:t>(</w:t>
      </w:r>
      <w:r>
        <w:rPr>
          <w:rFonts w:hint="default" w:ascii="Times New Roman" w:hAnsi="Times New Roman" w:cs="Times New Roman"/>
        </w:rPr>
        <w:t>2</w:t>
      </w:r>
      <w:r>
        <w:rPr>
          <w:rFonts w:hint="eastAsia"/>
          <w:lang w:eastAsia="zh-CN"/>
        </w:rPr>
        <w:t>)</w:t>
      </w:r>
      <w:r>
        <w:t>供应商历史供货能力在未来</w:t>
      </w:r>
      <w:r>
        <w:rPr>
          <w:rFonts w:hint="default" w:ascii="Times New Roman" w:hAnsi="Times New Roman" w:cs="Times New Roman"/>
        </w:rPr>
        <w:t>24</w:t>
      </w:r>
      <w:r>
        <w:t>周内具有一定延续性，可以利用近</w:t>
      </w:r>
      <w:r>
        <w:rPr>
          <w:rFonts w:hint="default" w:ascii="Times New Roman" w:hAnsi="Times New Roman" w:cs="Times New Roman"/>
        </w:rPr>
        <w:t>5</w:t>
      </w:r>
      <w:r>
        <w:t>年的年度供货情景分析未来供货风险。</w:t>
      </w:r>
    </w:p>
    <w:p w14:paraId="0DEB6B59">
      <w:pPr>
        <w:pStyle w:val="2"/>
        <w:keepNext w:val="0"/>
        <w:keepLines w:val="0"/>
        <w:widowControl/>
        <w:suppressLineNumbers w:val="0"/>
      </w:pPr>
      <w:r>
        <w:rPr>
          <w:rFonts w:hint="eastAsia"/>
          <w:lang w:eastAsia="zh-CN"/>
        </w:rPr>
        <w:t>(</w:t>
      </w:r>
      <w:r>
        <w:rPr>
          <w:rFonts w:hint="default" w:ascii="Times New Roman" w:hAnsi="Times New Roman" w:cs="Times New Roman"/>
        </w:rPr>
        <w:t>3</w:t>
      </w:r>
      <w:r>
        <w:rPr>
          <w:rFonts w:hint="eastAsia"/>
          <w:lang w:eastAsia="zh-CN"/>
        </w:rPr>
        <w:t>)</w:t>
      </w:r>
      <w:r>
        <w:t>当企业在某周有订货而供应商没有实际供货时，该周供货量按</w:t>
      </w:r>
      <w:r>
        <w:rPr>
          <w:rFonts w:hint="default" w:ascii="Times New Roman" w:hAnsi="Times New Roman" w:cs="Times New Roman"/>
        </w:rPr>
        <w:t>0</w:t>
      </w:r>
      <w:r>
        <w:t>计入年度平均供货能力，以体现断供对供应保障能力的影响。</w:t>
      </w:r>
    </w:p>
    <w:p w14:paraId="41B48232">
      <w:pPr>
        <w:pStyle w:val="2"/>
        <w:keepNext w:val="0"/>
        <w:keepLines w:val="0"/>
        <w:widowControl/>
        <w:suppressLineNumbers w:val="0"/>
      </w:pPr>
      <w:r>
        <w:rPr>
          <w:rFonts w:hint="eastAsia"/>
          <w:lang w:eastAsia="zh-CN"/>
        </w:rPr>
        <w:t>(</w:t>
      </w:r>
      <w:r>
        <w:rPr>
          <w:rFonts w:hint="default" w:ascii="Times New Roman" w:hAnsi="Times New Roman" w:cs="Times New Roman"/>
        </w:rPr>
        <w:t>4</w:t>
      </w:r>
      <w:r>
        <w:rPr>
          <w:rFonts w:hint="eastAsia"/>
          <w:lang w:eastAsia="zh-CN"/>
        </w:rPr>
        <w:t>)</w:t>
      </w:r>
      <w:r>
        <w:t>若某供应商在某一年度没有订货记录，则缺少该年度供货能力的有效依据，在基准模型中将其该年度供货能力记为</w:t>
      </w:r>
      <w:r>
        <w:rPr>
          <w:rFonts w:hint="default" w:ascii="Times New Roman" w:hAnsi="Times New Roman" w:cs="Times New Roman"/>
        </w:rPr>
        <w:t>0</w:t>
      </w:r>
      <w:r>
        <w:t>。</w:t>
      </w:r>
    </w:p>
    <w:p w14:paraId="0BFA4518">
      <w:pPr>
        <w:pStyle w:val="2"/>
        <w:keepNext w:val="0"/>
        <w:keepLines w:val="0"/>
        <w:widowControl/>
        <w:suppressLineNumbers w:val="0"/>
      </w:pPr>
      <w:r>
        <w:rPr>
          <w:rFonts w:hint="eastAsia"/>
          <w:lang w:eastAsia="zh-CN"/>
        </w:rPr>
        <w:t>(</w:t>
      </w:r>
      <w:r>
        <w:rPr>
          <w:rFonts w:hint="default" w:ascii="Times New Roman" w:hAnsi="Times New Roman" w:cs="Times New Roman"/>
        </w:rPr>
        <w:t>5</w:t>
      </w:r>
      <w:r>
        <w:rPr>
          <w:rFonts w:hint="eastAsia"/>
          <w:lang w:eastAsia="zh-CN"/>
        </w:rPr>
        <w:t>)</w:t>
      </w:r>
      <w:r>
        <w:t>A、B、C三类原材料均可以用于生产产品，在供应商选择阶段不人为限定三类供应商的数量及比例。</w:t>
      </w:r>
    </w:p>
    <w:p w14:paraId="64F46CFE">
      <w:pPr>
        <w:pStyle w:val="2"/>
        <w:keepNext w:val="0"/>
        <w:keepLines w:val="0"/>
        <w:widowControl/>
        <w:suppressLineNumbers w:val="0"/>
      </w:pPr>
      <w:r>
        <w:rPr>
          <w:rFonts w:hint="eastAsia"/>
          <w:lang w:eastAsia="zh-CN"/>
        </w:rPr>
        <w:t>(</w:t>
      </w:r>
      <w:r>
        <w:rPr>
          <w:rFonts w:hint="default" w:ascii="Times New Roman" w:hAnsi="Times New Roman" w:cs="Times New Roman"/>
        </w:rPr>
        <w:t>6</w:t>
      </w:r>
      <w:r>
        <w:rPr>
          <w:rFonts w:hint="eastAsia"/>
          <w:lang w:eastAsia="zh-CN"/>
        </w:rPr>
        <w:t>)</w:t>
      </w:r>
      <w:r>
        <w:t>本阶段仅确定满足企业生产需求的最少供应商数量及供应商集合，采购成本、运输损耗、转运商容量和动态库存变化在后续</w:t>
      </w:r>
      <w:r>
        <w:rPr>
          <w:rFonts w:hint="default" w:ascii="Times New Roman" w:hAnsi="Times New Roman" w:cs="Times New Roman"/>
        </w:rPr>
        <w:t>24</w:t>
      </w:r>
      <w:r>
        <w:t>周订购与转运模型中考虑。</w:t>
      </w:r>
    </w:p>
    <w:p w14:paraId="5D6069C4">
      <w:pPr>
        <w:pStyle w:val="2"/>
        <w:keepNext w:val="0"/>
        <w:keepLines w:val="0"/>
        <w:widowControl/>
        <w:suppressLineNumbers w:val="0"/>
      </w:pPr>
      <w:r>
        <w:rPr>
          <w:rFonts w:hint="eastAsia"/>
          <w:lang w:eastAsia="zh-CN"/>
        </w:rPr>
        <w:t>(</w:t>
      </w:r>
      <w:r>
        <w:rPr>
          <w:rFonts w:hint="default" w:ascii="Times New Roman" w:hAnsi="Times New Roman" w:cs="Times New Roman"/>
        </w:rPr>
        <w:t>7</w:t>
      </w:r>
      <w:r>
        <w:rPr>
          <w:rFonts w:hint="eastAsia"/>
          <w:lang w:eastAsia="zh-CN"/>
        </w:rPr>
        <w:t>)</w:t>
      </w:r>
      <w:r>
        <w:t>企业保持不少于两周生产需求的原材料库存，该库存主要用于吸收短期供货波动。因此，供应商选择阶段以每周正常生产需求</w:t>
      </w:r>
      <w:r>
        <w:rPr>
          <w:rFonts w:hint="default" w:ascii="Times New Roman" w:hAnsi="Times New Roman" w:cs="Times New Roman"/>
        </w:rPr>
        <w:t>28200</w:t>
      </w:r>
      <w:r>
        <w:t xml:space="preserve"> m³为基本产能要求，不将两周库存重复计入每周需求。</w:t>
      </w:r>
    </w:p>
    <w:p w14:paraId="0534D6C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**模型假设**</w:t>
      </w:r>
      <w:r>
        <w:rPr>
          <w:rFonts w:hint="eastAsia"/>
          <w:sz w:val="24"/>
          <w:szCs w:val="24"/>
          <w:lang w:eastAsia="zh-CN"/>
        </w:rPr>
        <w:t>(</w:t>
      </w:r>
      <w:r>
        <w:rPr>
          <w:rFonts w:hint="eastAsia"/>
          <w:sz w:val="24"/>
          <w:szCs w:val="24"/>
        </w:rPr>
        <w:t>补充</w:t>
      </w:r>
      <w:r>
        <w:rPr>
          <w:rFonts w:hint="default" w:ascii="Times New Roman" w:hAnsi="Times New Roman" w:cs="Times New Roman"/>
          <w:sz w:val="24"/>
          <w:szCs w:val="24"/>
        </w:rPr>
        <w:t>5</w:t>
      </w:r>
      <w:r>
        <w:rPr>
          <w:rFonts w:hint="eastAsia"/>
          <w:sz w:val="24"/>
          <w:szCs w:val="24"/>
        </w:rPr>
        <w:t>.</w:t>
      </w:r>
      <w:r>
        <w:rPr>
          <w:rFonts w:hint="default" w:ascii="Times New Roman" w:hAnsi="Times New Roman" w:cs="Times New Roman"/>
          <w:sz w:val="24"/>
          <w:szCs w:val="24"/>
        </w:rPr>
        <w:t>2</w:t>
      </w:r>
      <w:r>
        <w:rPr>
          <w:rFonts w:hint="eastAsia"/>
          <w:sz w:val="24"/>
          <w:szCs w:val="24"/>
        </w:rPr>
        <w:t>.</w:t>
      </w:r>
      <w:r>
        <w:rPr>
          <w:rFonts w:hint="default" w:ascii="Times New Roman" w:hAnsi="Times New Roman" w:cs="Times New Roman"/>
          <w:sz w:val="24"/>
          <w:szCs w:val="24"/>
        </w:rPr>
        <w:t>2</w:t>
      </w:r>
      <w:r>
        <w:rPr>
          <w:rFonts w:hint="eastAsia"/>
          <w:sz w:val="24"/>
          <w:szCs w:val="24"/>
        </w:rPr>
        <w:t>节</w:t>
      </w:r>
      <w:r>
        <w:rPr>
          <w:rFonts w:hint="eastAsia"/>
          <w:sz w:val="24"/>
          <w:szCs w:val="24"/>
          <w:lang w:eastAsia="zh-CN"/>
        </w:rPr>
        <w:t>)</w:t>
      </w:r>
      <w:r>
        <w:rPr>
          <w:rFonts w:hint="eastAsia"/>
          <w:sz w:val="24"/>
          <w:szCs w:val="24"/>
        </w:rPr>
        <w:t xml:space="preserve">  </w:t>
      </w:r>
    </w:p>
    <w:p w14:paraId="04152E8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eastAsia="zh-CN"/>
        </w:rPr>
        <w:t>(</w:t>
      </w:r>
      <w:r>
        <w:rPr>
          <w:rFonts w:hint="default" w:ascii="Times New Roman" w:hAnsi="Times New Roman" w:cs="Times New Roman"/>
          <w:sz w:val="24"/>
          <w:szCs w:val="24"/>
        </w:rPr>
        <w:t>8</w:t>
      </w:r>
      <w:r>
        <w:rPr>
          <w:rFonts w:hint="eastAsia"/>
          <w:sz w:val="24"/>
          <w:szCs w:val="24"/>
          <w:lang w:eastAsia="zh-CN"/>
        </w:rPr>
        <w:t>)</w:t>
      </w:r>
      <w:r>
        <w:rPr>
          <w:rFonts w:hint="eastAsia"/>
          <w:sz w:val="24"/>
          <w:szCs w:val="24"/>
        </w:rPr>
        <w:t>未来</w:t>
      </w:r>
      <w:r>
        <w:rPr>
          <w:rFonts w:hint="default" w:ascii="Times New Roman" w:hAnsi="Times New Roman" w:cs="Times New Roman"/>
          <w:sz w:val="24"/>
          <w:szCs w:val="24"/>
        </w:rPr>
        <w:t>24</w:t>
      </w:r>
      <w:r>
        <w:rPr>
          <w:rFonts w:hint="eastAsia"/>
          <w:sz w:val="24"/>
          <w:szCs w:val="24"/>
        </w:rPr>
        <w:t>周内，</w:t>
      </w:r>
      <w:r>
        <w:rPr>
          <w:rFonts w:hint="default" w:ascii="Times New Roman" w:hAnsi="Times New Roman" w:cs="Times New Roman"/>
          <w:sz w:val="24"/>
          <w:szCs w:val="24"/>
        </w:rPr>
        <w:t>57</w:t>
      </w:r>
      <w:r>
        <w:rPr>
          <w:rFonts w:hint="eastAsia"/>
          <w:sz w:val="24"/>
          <w:szCs w:val="24"/>
        </w:rPr>
        <w:t>家供应商的供货能力具有历史延续性，以各供应商第</w:t>
      </w:r>
      <w:r>
        <w:rPr>
          <w:rFonts w:hint="default" w:ascii="Times New Roman" w:hAnsi="Times New Roman" w:cs="Times New Roman"/>
          <w:sz w:val="24"/>
          <w:szCs w:val="24"/>
        </w:rPr>
        <w:t>5</w:t>
      </w:r>
      <w:r>
        <w:rPr>
          <w:rFonts w:hint="eastAsia"/>
          <w:sz w:val="24"/>
          <w:szCs w:val="24"/>
        </w:rPr>
        <w:t>年度</w:t>
      </w:r>
      <w:r>
        <w:rPr>
          <w:rFonts w:hint="eastAsia"/>
          <w:sz w:val="24"/>
          <w:szCs w:val="24"/>
          <w:lang w:eastAsia="zh-CN"/>
        </w:rPr>
        <w:t>(</w:t>
      </w:r>
      <w:r>
        <w:rPr>
          <w:rFonts w:hint="eastAsia"/>
          <w:sz w:val="24"/>
          <w:szCs w:val="24"/>
        </w:rPr>
        <w:t>最近一年</w:t>
      </w:r>
      <w:r>
        <w:rPr>
          <w:rFonts w:hint="eastAsia"/>
          <w:sz w:val="24"/>
          <w:szCs w:val="24"/>
          <w:lang w:eastAsia="zh-CN"/>
        </w:rPr>
        <w:t>)</w:t>
      </w:r>
      <w:r>
        <w:rPr>
          <w:rFonts w:hint="eastAsia"/>
          <w:sz w:val="24"/>
          <w:szCs w:val="24"/>
        </w:rPr>
        <w:t xml:space="preserve">平均每周供货量作为该供应商每周订货量的上限。  </w:t>
      </w:r>
    </w:p>
    <w:p w14:paraId="3529C003">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eastAsia="zh-CN"/>
        </w:rPr>
        <w:t>(</w:t>
      </w:r>
      <w:r>
        <w:rPr>
          <w:rFonts w:hint="default" w:ascii="Times New Roman" w:hAnsi="Times New Roman" w:cs="Times New Roman"/>
          <w:sz w:val="24"/>
          <w:szCs w:val="24"/>
        </w:rPr>
        <w:t>9</w:t>
      </w:r>
      <w:r>
        <w:rPr>
          <w:rFonts w:hint="eastAsia"/>
          <w:sz w:val="24"/>
          <w:szCs w:val="24"/>
          <w:lang w:eastAsia="zh-CN"/>
        </w:rPr>
        <w:t>)</w:t>
      </w:r>
      <w:r>
        <w:rPr>
          <w:rFonts w:hint="eastAsia"/>
          <w:sz w:val="24"/>
          <w:szCs w:val="24"/>
        </w:rPr>
        <w:t>企业初始库存为恰好满足两周生产需求的安全库存</w:t>
      </w:r>
      <w:r>
        <w:rPr>
          <w:rFonts w:hint="eastAsia"/>
          <w:sz w:val="24"/>
          <w:szCs w:val="24"/>
          <w:lang w:eastAsia="zh-CN"/>
        </w:rPr>
        <w:t>(</w:t>
      </w:r>
      <w:r>
        <w:rPr>
          <w:rFonts w:hint="default" w:ascii="Times New Roman" w:hAnsi="Times New Roman" w:cs="Times New Roman"/>
          <w:sz w:val="24"/>
          <w:szCs w:val="24"/>
        </w:rPr>
        <w:t>56400</w:t>
      </w:r>
      <w:r>
        <w:rPr>
          <w:rFonts w:hint="eastAsia"/>
          <w:sz w:val="24"/>
          <w:szCs w:val="24"/>
        </w:rPr>
        <w:t xml:space="preserve"> m³产品产能当量</w:t>
      </w:r>
      <w:r>
        <w:rPr>
          <w:rFonts w:hint="eastAsia"/>
          <w:sz w:val="24"/>
          <w:szCs w:val="24"/>
          <w:lang w:eastAsia="zh-CN"/>
        </w:rPr>
        <w:t>)</w:t>
      </w:r>
      <w:r>
        <w:rPr>
          <w:rFonts w:hint="eastAsia"/>
          <w:sz w:val="24"/>
          <w:szCs w:val="24"/>
        </w:rPr>
        <w:t>，模型在</w:t>
      </w:r>
      <w:r>
        <w:rPr>
          <w:rFonts w:hint="default" w:ascii="Times New Roman" w:hAnsi="Times New Roman" w:cs="Times New Roman"/>
          <w:sz w:val="24"/>
          <w:szCs w:val="24"/>
        </w:rPr>
        <w:t>24</w:t>
      </w:r>
      <w:r>
        <w:rPr>
          <w:rFonts w:hint="eastAsia"/>
          <w:sz w:val="24"/>
          <w:szCs w:val="24"/>
        </w:rPr>
        <w:t xml:space="preserve">周内维持该安全库存下限。  </w:t>
      </w:r>
    </w:p>
    <w:p w14:paraId="2E3F844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eastAsia="zh-CN"/>
        </w:rPr>
        <w:t>(</w:t>
      </w:r>
      <w:r>
        <w:rPr>
          <w:rFonts w:hint="default" w:ascii="Times New Roman" w:hAnsi="Times New Roman" w:cs="Times New Roman"/>
          <w:sz w:val="24"/>
          <w:szCs w:val="24"/>
        </w:rPr>
        <w:t>10</w:t>
      </w:r>
      <w:r>
        <w:rPr>
          <w:rFonts w:hint="eastAsia"/>
          <w:sz w:val="24"/>
          <w:szCs w:val="24"/>
          <w:lang w:eastAsia="zh-CN"/>
        </w:rPr>
        <w:t>)</w:t>
      </w:r>
      <w:r>
        <w:rPr>
          <w:rFonts w:hint="eastAsia"/>
          <w:sz w:val="24"/>
          <w:szCs w:val="24"/>
        </w:rPr>
        <w:t>供应商实际供货量等于企业订货量</w:t>
      </w:r>
      <w:r>
        <w:rPr>
          <w:rFonts w:hint="eastAsia"/>
          <w:sz w:val="24"/>
          <w:szCs w:val="24"/>
          <w:lang w:eastAsia="zh-CN"/>
        </w:rPr>
        <w:t>(</w:t>
      </w:r>
      <w:r>
        <w:rPr>
          <w:rFonts w:hint="eastAsia"/>
          <w:sz w:val="24"/>
          <w:szCs w:val="24"/>
        </w:rPr>
        <w:t>确定性假设，符合历史供货能力延续性</w:t>
      </w:r>
      <w:r>
        <w:rPr>
          <w:rFonts w:hint="eastAsia"/>
          <w:sz w:val="24"/>
          <w:szCs w:val="24"/>
          <w:lang w:eastAsia="zh-CN"/>
        </w:rPr>
        <w:t>)</w:t>
      </w:r>
      <w:r>
        <w:rPr>
          <w:rFonts w:hint="eastAsia"/>
          <w:sz w:val="24"/>
          <w:szCs w:val="24"/>
        </w:rPr>
        <w:t xml:space="preserve">。  </w:t>
      </w:r>
    </w:p>
    <w:p w14:paraId="7290D5A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eastAsia="zh-CN"/>
        </w:rPr>
        <w:t>(</w:t>
      </w:r>
      <w:r>
        <w:rPr>
          <w:rFonts w:hint="default" w:ascii="Times New Roman" w:hAnsi="Times New Roman" w:cs="Times New Roman"/>
          <w:sz w:val="24"/>
          <w:szCs w:val="24"/>
        </w:rPr>
        <w:t>11</w:t>
      </w:r>
      <w:r>
        <w:rPr>
          <w:rFonts w:hint="eastAsia"/>
          <w:sz w:val="24"/>
          <w:szCs w:val="24"/>
          <w:lang w:eastAsia="zh-CN"/>
        </w:rPr>
        <w:t>)</w:t>
      </w:r>
      <w:r>
        <w:rPr>
          <w:rFonts w:hint="eastAsia"/>
          <w:sz w:val="24"/>
          <w:szCs w:val="24"/>
        </w:rPr>
        <w:t>三类原材料的采购单价相对值设定为：C类为</w:t>
      </w:r>
      <w:r>
        <w:rPr>
          <w:rFonts w:hint="default" w:ascii="Times New Roman" w:hAnsi="Times New Roman" w:cs="Times New Roman"/>
          <w:sz w:val="24"/>
          <w:szCs w:val="24"/>
        </w:rPr>
        <w:t>1</w:t>
      </w:r>
      <w:r>
        <w:rPr>
          <w:rFonts w:hint="eastAsia"/>
          <w:sz w:val="24"/>
          <w:szCs w:val="24"/>
        </w:rPr>
        <w:t>.</w:t>
      </w:r>
      <w:r>
        <w:rPr>
          <w:rFonts w:hint="default" w:ascii="Times New Roman" w:hAnsi="Times New Roman" w:cs="Times New Roman"/>
          <w:sz w:val="24"/>
          <w:szCs w:val="24"/>
        </w:rPr>
        <w:t>0</w:t>
      </w:r>
      <w:r>
        <w:rPr>
          <w:rFonts w:hint="eastAsia"/>
          <w:sz w:val="24"/>
          <w:szCs w:val="24"/>
        </w:rPr>
        <w:t>、B类为</w:t>
      </w:r>
      <w:r>
        <w:rPr>
          <w:rFonts w:hint="default" w:ascii="Times New Roman" w:hAnsi="Times New Roman" w:cs="Times New Roman"/>
          <w:sz w:val="24"/>
          <w:szCs w:val="24"/>
        </w:rPr>
        <w:t>1</w:t>
      </w:r>
      <w:r>
        <w:rPr>
          <w:rFonts w:hint="eastAsia"/>
          <w:sz w:val="24"/>
          <w:szCs w:val="24"/>
        </w:rPr>
        <w:t>.</w:t>
      </w:r>
      <w:r>
        <w:rPr>
          <w:rFonts w:hint="default" w:ascii="Times New Roman" w:hAnsi="Times New Roman" w:cs="Times New Roman"/>
          <w:sz w:val="24"/>
          <w:szCs w:val="24"/>
        </w:rPr>
        <w:t>1</w:t>
      </w:r>
      <w:r>
        <w:rPr>
          <w:rFonts w:hint="eastAsia"/>
          <w:sz w:val="24"/>
          <w:szCs w:val="24"/>
        </w:rPr>
        <w:t>、A类为</w:t>
      </w:r>
      <w:r>
        <w:rPr>
          <w:rFonts w:hint="default" w:ascii="Times New Roman" w:hAnsi="Times New Roman" w:cs="Times New Roman"/>
          <w:sz w:val="24"/>
          <w:szCs w:val="24"/>
        </w:rPr>
        <w:t>1</w:t>
      </w:r>
      <w:r>
        <w:rPr>
          <w:rFonts w:hint="eastAsia"/>
          <w:sz w:val="24"/>
          <w:szCs w:val="24"/>
        </w:rPr>
        <w:t>.</w:t>
      </w:r>
      <w:r>
        <w:rPr>
          <w:rFonts w:hint="default" w:ascii="Times New Roman" w:hAnsi="Times New Roman" w:cs="Times New Roman"/>
          <w:sz w:val="24"/>
          <w:szCs w:val="24"/>
        </w:rPr>
        <w:t>2</w:t>
      </w:r>
      <w:r>
        <w:rPr>
          <w:rFonts w:hint="eastAsia"/>
          <w:sz w:val="24"/>
          <w:szCs w:val="24"/>
          <w:lang w:eastAsia="zh-CN"/>
        </w:rPr>
        <w:t>(</w:t>
      </w:r>
      <w:r>
        <w:rPr>
          <w:rFonts w:hint="eastAsia"/>
          <w:sz w:val="24"/>
          <w:szCs w:val="24"/>
        </w:rPr>
        <w:t>以C类为基准</w:t>
      </w:r>
      <w:r>
        <w:rPr>
          <w:rFonts w:hint="eastAsia"/>
          <w:sz w:val="24"/>
          <w:szCs w:val="24"/>
          <w:lang w:eastAsia="zh-CN"/>
        </w:rPr>
        <w:t>)</w:t>
      </w:r>
      <w:r>
        <w:rPr>
          <w:rFonts w:hint="eastAsia"/>
          <w:sz w:val="24"/>
          <w:szCs w:val="24"/>
        </w:rPr>
        <w:t xml:space="preserve">。运输与仓储单位费用相同，故不在订购阶段计入。  </w:t>
      </w:r>
    </w:p>
    <w:p w14:paraId="6D27C94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eastAsia="zh-CN"/>
        </w:rPr>
        <w:t>(</w:t>
      </w:r>
      <w:r>
        <w:rPr>
          <w:rFonts w:hint="default" w:ascii="Times New Roman" w:hAnsi="Times New Roman" w:cs="Times New Roman"/>
          <w:sz w:val="24"/>
          <w:szCs w:val="24"/>
        </w:rPr>
        <w:t>12</w:t>
      </w:r>
      <w:r>
        <w:rPr>
          <w:rFonts w:hint="eastAsia"/>
          <w:sz w:val="24"/>
          <w:szCs w:val="24"/>
          <w:lang w:eastAsia="zh-CN"/>
        </w:rPr>
        <w:t>)</w:t>
      </w:r>
      <w:r>
        <w:rPr>
          <w:rFonts w:hint="eastAsia"/>
          <w:sz w:val="24"/>
          <w:szCs w:val="24"/>
        </w:rPr>
        <w:t>每周生产需求固定为</w:t>
      </w:r>
      <w:r>
        <w:rPr>
          <w:rFonts w:hint="default" w:ascii="Times New Roman" w:hAnsi="Times New Roman" w:cs="Times New Roman"/>
          <w:sz w:val="24"/>
          <w:szCs w:val="24"/>
        </w:rPr>
        <w:t>28200</w:t>
      </w:r>
      <w:r>
        <w:rPr>
          <w:rFonts w:hint="eastAsia"/>
          <w:sz w:val="24"/>
          <w:szCs w:val="24"/>
        </w:rPr>
        <w:t xml:space="preserve"> m³产品，所有计算统一采用产能当量</w:t>
      </w:r>
      <w:r>
        <w:rPr>
          <w:rFonts w:hint="eastAsia"/>
          <w:sz w:val="24"/>
          <w:szCs w:val="24"/>
          <w:lang w:eastAsia="zh-CN"/>
        </w:rPr>
        <w:t>(</w:t>
      </w:r>
      <w:r>
        <w:rPr>
          <w:rFonts w:hint="eastAsia"/>
          <w:sz w:val="24"/>
          <w:szCs w:val="24"/>
        </w:rPr>
        <w:t>m³产品/周</w:t>
      </w:r>
      <w:r>
        <w:rPr>
          <w:rFonts w:hint="eastAsia"/>
          <w:sz w:val="24"/>
          <w:szCs w:val="24"/>
          <w:lang w:eastAsia="zh-CN"/>
        </w:rPr>
        <w:t>)</w:t>
      </w:r>
      <w:r>
        <w:rPr>
          <w:rFonts w:hint="eastAsia"/>
          <w:sz w:val="24"/>
          <w:szCs w:val="24"/>
        </w:rPr>
        <w:t>。</w:t>
      </w:r>
    </w:p>
    <w:p w14:paraId="066353A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**模型假设**</w:t>
      </w:r>
      <w:r>
        <w:rPr>
          <w:rFonts w:hint="eastAsia"/>
          <w:sz w:val="24"/>
          <w:szCs w:val="24"/>
          <w:lang w:eastAsia="zh-CN"/>
        </w:rPr>
        <w:t>(</w:t>
      </w:r>
      <w:r>
        <w:rPr>
          <w:rFonts w:hint="eastAsia"/>
          <w:sz w:val="24"/>
          <w:szCs w:val="24"/>
        </w:rPr>
        <w:t>补充</w:t>
      </w:r>
      <w:r>
        <w:rPr>
          <w:rFonts w:hint="eastAsia"/>
          <w:sz w:val="24"/>
          <w:szCs w:val="24"/>
          <w:lang w:eastAsia="zh-CN"/>
        </w:rPr>
        <w:t>)</w:t>
      </w:r>
      <w:r>
        <w:rPr>
          <w:rFonts w:hint="eastAsia"/>
          <w:sz w:val="24"/>
          <w:szCs w:val="24"/>
        </w:rPr>
        <w:t xml:space="preserve">  </w:t>
      </w:r>
    </w:p>
    <w:p w14:paraId="0D64BA7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eastAsia="zh-CN"/>
        </w:rPr>
        <w:t>(</w:t>
      </w:r>
      <w:r>
        <w:rPr>
          <w:rFonts w:hint="default" w:ascii="Times New Roman" w:hAnsi="Times New Roman" w:cs="Times New Roman"/>
          <w:sz w:val="24"/>
          <w:szCs w:val="24"/>
        </w:rPr>
        <w:t>13</w:t>
      </w:r>
      <w:r>
        <w:rPr>
          <w:rFonts w:hint="eastAsia"/>
          <w:sz w:val="24"/>
          <w:szCs w:val="24"/>
          <w:lang w:eastAsia="zh-CN"/>
        </w:rPr>
        <w:t>)</w:t>
      </w:r>
      <w:r>
        <w:rPr>
          <w:rFonts w:hint="eastAsia"/>
          <w:sz w:val="24"/>
          <w:szCs w:val="24"/>
        </w:rPr>
        <w:t>转运商损耗率采用附件</w:t>
      </w:r>
      <w:r>
        <w:rPr>
          <w:rFonts w:hint="default" w:ascii="Times New Roman" w:hAnsi="Times New Roman" w:cs="Times New Roman"/>
          <w:sz w:val="24"/>
          <w:szCs w:val="24"/>
        </w:rPr>
        <w:t>2</w:t>
      </w:r>
      <w:r>
        <w:rPr>
          <w:rFonts w:hint="eastAsia"/>
          <w:sz w:val="24"/>
          <w:szCs w:val="24"/>
        </w:rPr>
        <w:t>中各转运商</w:t>
      </w:r>
      <w:r>
        <w:rPr>
          <w:rFonts w:hint="default" w:ascii="Times New Roman" w:hAnsi="Times New Roman" w:cs="Times New Roman"/>
          <w:sz w:val="24"/>
          <w:szCs w:val="24"/>
        </w:rPr>
        <w:t>240</w:t>
      </w:r>
      <w:r>
        <w:rPr>
          <w:rFonts w:hint="eastAsia"/>
          <w:sz w:val="24"/>
          <w:szCs w:val="24"/>
        </w:rPr>
        <w:t>周历史数据的算术平均值</w:t>
      </w:r>
      <w:r>
        <w:rPr>
          <w:rFonts w:hint="eastAsia"/>
          <w:sz w:val="24"/>
          <w:szCs w:val="24"/>
          <w:lang w:eastAsia="zh-CN"/>
        </w:rPr>
        <w:t>(</w:t>
      </w:r>
      <w:r>
        <w:rPr>
          <w:rFonts w:hint="eastAsia"/>
          <w:sz w:val="24"/>
          <w:szCs w:val="24"/>
        </w:rPr>
        <w:t>忽略</w:t>
      </w:r>
      <w:r>
        <w:rPr>
          <w:rFonts w:hint="default" w:ascii="Times New Roman" w:hAnsi="Times New Roman" w:cs="Times New Roman"/>
          <w:sz w:val="24"/>
          <w:szCs w:val="24"/>
        </w:rPr>
        <w:t>0</w:t>
      </w:r>
      <w:r>
        <w:rPr>
          <w:rFonts w:hint="eastAsia"/>
          <w:sz w:val="24"/>
          <w:szCs w:val="24"/>
        </w:rPr>
        <w:t>值周</w:t>
      </w:r>
      <w:r>
        <w:rPr>
          <w:rFonts w:hint="eastAsia"/>
          <w:sz w:val="24"/>
          <w:szCs w:val="24"/>
          <w:lang w:eastAsia="zh-CN"/>
        </w:rPr>
        <w:t>)</w:t>
      </w:r>
      <w:r>
        <w:rPr>
          <w:rFonts w:hint="eastAsia"/>
          <w:sz w:val="24"/>
          <w:szCs w:val="24"/>
        </w:rPr>
        <w:t xml:space="preserve">。  </w:t>
      </w:r>
    </w:p>
    <w:p w14:paraId="2BF5AD0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eastAsia="zh-CN"/>
        </w:rPr>
        <w:t>(</w:t>
      </w:r>
      <w:r>
        <w:rPr>
          <w:rFonts w:hint="default" w:ascii="Times New Roman" w:hAnsi="Times New Roman" w:cs="Times New Roman"/>
          <w:sz w:val="24"/>
          <w:szCs w:val="24"/>
        </w:rPr>
        <w:t>14</w:t>
      </w:r>
      <w:r>
        <w:rPr>
          <w:rFonts w:hint="eastAsia"/>
          <w:sz w:val="24"/>
          <w:szCs w:val="24"/>
          <w:lang w:eastAsia="zh-CN"/>
        </w:rPr>
        <w:t>)</w:t>
      </w:r>
      <w:r>
        <w:rPr>
          <w:rFonts w:hint="eastAsia"/>
          <w:sz w:val="24"/>
          <w:szCs w:val="24"/>
        </w:rPr>
        <w:t>通常情况下，一家供应商一周的供货尽量由一家转运商承运</w:t>
      </w:r>
      <w:r>
        <w:rPr>
          <w:rFonts w:hint="eastAsia"/>
          <w:sz w:val="24"/>
          <w:szCs w:val="24"/>
          <w:lang w:eastAsia="zh-CN"/>
        </w:rPr>
        <w:t>(</w:t>
      </w:r>
      <w:r>
        <w:rPr>
          <w:rFonts w:hint="eastAsia"/>
          <w:sz w:val="24"/>
          <w:szCs w:val="24"/>
        </w:rPr>
        <w:t>硬约束建模</w:t>
      </w:r>
      <w:r>
        <w:rPr>
          <w:rFonts w:hint="eastAsia"/>
          <w:sz w:val="24"/>
          <w:szCs w:val="24"/>
          <w:lang w:eastAsia="zh-CN"/>
        </w:rPr>
        <w:t>)</w:t>
      </w:r>
      <w:r>
        <w:rPr>
          <w:rFonts w:hint="eastAsia"/>
          <w:sz w:val="24"/>
          <w:szCs w:val="24"/>
        </w:rPr>
        <w:t xml:space="preserve">。  </w:t>
      </w:r>
    </w:p>
    <w:p w14:paraId="0EFA4FC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eastAsia="zh-CN"/>
        </w:rPr>
        <w:t>(</w:t>
      </w:r>
      <w:r>
        <w:rPr>
          <w:rFonts w:hint="default" w:ascii="Times New Roman" w:hAnsi="Times New Roman" w:cs="Times New Roman"/>
          <w:sz w:val="24"/>
          <w:szCs w:val="24"/>
        </w:rPr>
        <w:t>15</w:t>
      </w:r>
      <w:r>
        <w:rPr>
          <w:rFonts w:hint="eastAsia"/>
          <w:sz w:val="24"/>
          <w:szCs w:val="24"/>
          <w:lang w:eastAsia="zh-CN"/>
        </w:rPr>
        <w:t>)</w:t>
      </w:r>
      <w:r>
        <w:rPr>
          <w:rFonts w:hint="eastAsia"/>
          <w:sz w:val="24"/>
          <w:szCs w:val="24"/>
        </w:rPr>
        <w:t>转运过程仅考虑损耗，不考虑转运时间和额外成本。</w:t>
      </w:r>
    </w:p>
    <w:p w14:paraId="1F449375">
      <w:pPr>
        <w:pStyle w:val="2"/>
        <w:keepNext w:val="0"/>
        <w:keepLines w:val="0"/>
        <w:widowControl/>
        <w:suppressLineNumbers w:val="0"/>
        <w:rPr>
          <w:rFonts w:hint="eastAsia"/>
          <w:sz w:val="24"/>
          <w:szCs w:val="24"/>
          <w:lang w:val="en-US" w:eastAsia="zh-CN"/>
        </w:rPr>
      </w:pPr>
      <w:r>
        <w:rPr>
          <w:rFonts w:hint="eastAsia"/>
          <w:lang w:eastAsia="zh-CN"/>
        </w:rPr>
        <w:t>(</w:t>
      </w:r>
      <w:r>
        <w:t>16</w:t>
      </w:r>
      <w:r>
        <w:rPr>
          <w:rFonts w:hint="eastAsia"/>
          <w:lang w:eastAsia="zh-CN"/>
        </w:rPr>
        <w:t>)</w:t>
      </w:r>
      <w:r>
        <w:t>问题三仍以问题二确定的57家供应商为候选集合，各供应商周供货能力上限不变</w:t>
      </w:r>
      <w:r>
        <w:rPr>
          <w:rFonts w:hint="eastAsia"/>
          <w:lang w:eastAsia="zh-CN"/>
        </w:rPr>
        <w:t>(</w:t>
      </w:r>
      <w:r>
        <w:t>第5年度平均每周供货量</w:t>
      </w:r>
      <w:r>
        <w:rPr>
          <w:rFonts w:hint="eastAsia"/>
          <w:lang w:eastAsia="zh-CN"/>
        </w:rPr>
        <w:t>)</w:t>
      </w:r>
      <w:r>
        <w:t xml:space="preserve">。 </w:t>
      </w:r>
      <w:r>
        <w:rPr>
          <w:rFonts w:hint="eastAsia"/>
          <w:lang w:eastAsia="zh-CN"/>
        </w:rPr>
        <w:t>(</w:t>
      </w:r>
      <w:r>
        <w:t>17</w:t>
      </w:r>
      <w:r>
        <w:rPr>
          <w:rFonts w:hint="eastAsia"/>
          <w:lang w:eastAsia="zh-CN"/>
        </w:rPr>
        <w:t>)</w:t>
      </w:r>
      <w:r>
        <w:t xml:space="preserve">企业初始库存仍为56400 m³产品产能当量，24周内维持安全库存下限不变。 </w:t>
      </w:r>
      <w:r>
        <w:rPr>
          <w:rFonts w:hint="eastAsia"/>
          <w:lang w:eastAsia="zh-CN"/>
        </w:rPr>
        <w:t>(</w:t>
      </w:r>
      <w:r>
        <w:t>18</w:t>
      </w:r>
      <w:r>
        <w:rPr>
          <w:rFonts w:hint="eastAsia"/>
          <w:lang w:eastAsia="zh-CN"/>
        </w:rPr>
        <w:t>)</w:t>
      </w:r>
      <w:r>
        <w:t>供应商实际供货量等于订货量</w:t>
      </w:r>
      <w:r>
        <w:rPr>
          <w:rFonts w:hint="eastAsia"/>
          <w:lang w:eastAsia="zh-CN"/>
        </w:rPr>
        <w:t>(</w:t>
      </w:r>
      <w:r>
        <w:t>确定性假设</w:t>
      </w:r>
      <w:r>
        <w:rPr>
          <w:rFonts w:hint="eastAsia"/>
          <w:lang w:eastAsia="zh-CN"/>
        </w:rPr>
        <w:t>)</w:t>
      </w:r>
      <w:r>
        <w:t xml:space="preserve">。 </w:t>
      </w:r>
      <w:r>
        <w:rPr>
          <w:rFonts w:hint="eastAsia"/>
          <w:lang w:eastAsia="zh-CN"/>
        </w:rPr>
        <w:t>(</w:t>
      </w:r>
      <w:r>
        <w:t>19</w:t>
      </w:r>
      <w:r>
        <w:rPr>
          <w:rFonts w:hint="eastAsia"/>
          <w:lang w:eastAsia="zh-CN"/>
        </w:rPr>
        <w:t>)</w:t>
      </w:r>
      <w:r>
        <w:t>三类原材料采购单价相对值不变</w:t>
      </w:r>
      <w:r>
        <w:rPr>
          <w:rFonts w:hint="eastAsia"/>
          <w:lang w:eastAsia="zh-CN"/>
        </w:rPr>
        <w:t>(</w:t>
      </w:r>
      <w:r>
        <w:t>A类1.2、B类1.1、C类1.0</w:t>
      </w:r>
      <w:r>
        <w:rPr>
          <w:rFonts w:hint="eastAsia"/>
          <w:lang w:eastAsia="zh-CN"/>
        </w:rPr>
        <w:t>)</w:t>
      </w:r>
      <w:r>
        <w:t xml:space="preserve">。运输与仓储单位费用相同，成本压缩主要通过减少总体积实现。 </w:t>
      </w:r>
      <w:r>
        <w:rPr>
          <w:rFonts w:hint="eastAsia"/>
          <w:lang w:eastAsia="zh-CN"/>
        </w:rPr>
        <w:t>(</w:t>
      </w:r>
      <w:r>
        <w:t>20</w:t>
      </w:r>
      <w:r>
        <w:rPr>
          <w:rFonts w:hint="eastAsia"/>
          <w:lang w:eastAsia="zh-CN"/>
        </w:rPr>
        <w:t>)</w:t>
      </w:r>
      <w:r>
        <w:t xml:space="preserve">转运商损耗率仍采用附件2历史平均值，优先将低损耗转运商分配给A类大宗供货。 </w:t>
      </w:r>
      <w:r>
        <w:rPr>
          <w:rFonts w:hint="eastAsia"/>
          <w:lang w:eastAsia="zh-CN"/>
        </w:rPr>
        <w:t>(</w:t>
      </w:r>
      <w:r>
        <w:t>21</w:t>
      </w:r>
      <w:r>
        <w:rPr>
          <w:rFonts w:hint="eastAsia"/>
          <w:lang w:eastAsia="zh-CN"/>
        </w:rPr>
        <w:t>)</w:t>
      </w:r>
      <w:r>
        <w:t>每周生产需求固定为28200 m³产品，所有计算统一采用产能当量</w:t>
      </w:r>
      <w:r>
        <w:rPr>
          <w:rFonts w:hint="eastAsia"/>
          <w:lang w:eastAsia="zh-CN"/>
        </w:rPr>
        <w:t>(</w:t>
      </w:r>
      <w:r>
        <w:t>m³产品/周</w:t>
      </w:r>
      <w:r>
        <w:rPr>
          <w:rFonts w:hint="eastAsia"/>
          <w:lang w:eastAsia="zh-CN"/>
        </w:rPr>
        <w:t>)</w:t>
      </w:r>
      <w:r>
        <w:t>。</w:t>
      </w:r>
    </w:p>
    <w:p w14:paraId="428B845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0E7A94"/>
    <w:rsid w:val="400E7A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2026-07-16T07:44:00Z</dcterms:created>
  <dc:creator>。。。。</dc:creator>
  <cp:lastModifiedBy>。。。。</cp:lastModifiedBy>
  <dcterms:modified xsi:type="dcterms:W3CDTF">2026-07-16T07:45:26Z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48A6F1DF85FF4F039A98F78EBA2A88F5_11</vt:lpwstr>
  </property>
  <property fmtid="{D5CDD505-2E9C-101B-9397-08002B2CF9AE}" pid="4" name="KSOTemplateDocerSaveRecord">
    <vt:lpwstr>eyJoZGlkIjoiOTFiODYxYjE1NjRkZTAxY2M3NWM4ODAzM2Q2YzU4OTgiLCJ1c2VySWQiOiIxMzg5OTQ2NTEyIn0=</vt:lpwstr>
  </property>
</Properties>
</file>