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2306E">
      <w:pPr>
        <w:pStyle w:val="2"/>
        <w:keepNext w:val="0"/>
        <w:keepLines w:val="0"/>
        <w:widowControl/>
        <w:suppressLineNumbers w:val="0"/>
      </w:pPr>
      <w:r>
        <w:t>模型假设</w:t>
      </w:r>
    </w:p>
    <w:p w14:paraId="533F481A">
      <w:pPr>
        <w:pStyle w:val="2"/>
        <w:keepNext w:val="0"/>
        <w:keepLines w:val="0"/>
        <w:widowControl/>
        <w:suppressLineNumbers w:val="0"/>
      </w:pPr>
      <w:r>
        <w:t>为便于建立供应商评价、供应商选择、原材料订购、转运分配及产能提升模型，结合题目条件作出如下假设：</w:t>
      </w:r>
    </w:p>
    <w:p w14:paraId="5D16228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假设附件1和附件2中的订货量、供货量、原材料类别及运输损耗率等数据真实可靠，能够反映供应商和转运商近5年的实际运行情况。</w:t>
      </w:r>
    </w:p>
    <w:p w14:paraId="76228054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假设同一供应商在研究期内供应的原材料类别保持不变，同类原材料之间不存在明显的质量差异，均能够直接用于企业生产。</w:t>
      </w:r>
    </w:p>
    <w:p w14:paraId="6770FF0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假设供应商近5年的供货能力、履约情况、供货稳定性和长期连续性在未来24周内具有一定延续性，可利用历史数据估计其未来供货能力。</w:t>
      </w:r>
    </w:p>
    <w:p w14:paraId="0822E0FA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4.</w:t>
      </w:r>
      <w:r>
        <w:t>原始数据中的数值0按照题意解释为相应周没有订货、没有供货或没有运输任务，不作为缺失值处理；当企业有订货而供应商未供货时，该周实际供货量按0计算。</w:t>
      </w:r>
    </w:p>
    <w:p w14:paraId="507FC57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5.</w:t>
      </w:r>
      <w:r>
        <w:t>假设A、B、C三类原材料均可以独立用于产品生产，并按照各自的单位产品消耗量统一换算为产能当量，不预先限定各类供应商的选择数量和原材料采购比例。</w:t>
      </w:r>
    </w:p>
    <w:p w14:paraId="0C8086A8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6.</w:t>
      </w:r>
      <w:r>
        <w:t>在问题二和问题三中，假设企业未来24周的每周生产需求固定为28200立方米产品，初始库存恰好能够满足两周生产需求，且规划期内库存始终不低于两周安全库存。</w:t>
      </w:r>
    </w:p>
    <w:p w14:paraId="17D2087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7.</w:t>
      </w:r>
      <w:r>
        <w:t>在问题二和问题三中，假设供应商未来24周的供货能力具有历史延续性，以最近年度的平均周供货能力作为供应商的周供货上限，并认为计划条件下供应商实际供货量等于企业订货量。</w:t>
      </w:r>
    </w:p>
    <w:p w14:paraId="6B5063D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8.</w:t>
      </w:r>
      <w:r>
        <w:t>在问题四中，假设企业技术改造仅提高自身生产设备的产能，不改变现有供应商的供货能力、转运商的运输能力以及三类原材料的单位产品消耗量；供应商未来实际供货量依据历史订货响应特征进行估计。</w:t>
      </w:r>
    </w:p>
    <w:p w14:paraId="2F8E67C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9.</w:t>
      </w:r>
      <w:r>
        <w:t>假设三类原材料的相对采购价格在未来24周内保持不变，以C类原材料采购单价为基准，B类和A类原材料的相对采购单价分别为1.1和1.2；三类原材料的单位运输费用和单位储存费用相同。</w:t>
      </w:r>
    </w:p>
    <w:p w14:paraId="2E8A7DE8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10.</w:t>
      </w:r>
      <w:r>
        <w:t>假设各转运商未来24周的运输损耗情况可由历史有效损耗数据估计，每家转运商每周的最大运输能力保持为6000立方米；通常情况下，一家供应商一周的供货尽量由一家转运商承担，转运过程仅考虑原材料损耗，不考虑运输时间及其他突发因素。</w:t>
      </w:r>
    </w:p>
    <w:p w14:paraId="3FEDFA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bookmarkStart w:id="0" w:name="_GoBack"/>
      <w:bookmarkEnd w:id="0"/>
    </w:p>
    <w:p w14:paraId="428B84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E7A94"/>
    <w:rsid w:val="400E7A94"/>
    <w:rsid w:val="62F7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2026-07-16T07:44:00Z</dcterms:created>
  <dc:creator>。。。。</dc:creator>
  <cp:lastModifiedBy>。。。。</cp:lastModifiedBy>
  <dcterms:modified xsi:type="dcterms:W3CDTF">2026-07-16T07:50:20Z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667E2AFB564E4CD3AB6D351C8C2A96D2_13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