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79AA2E">
      <w:pPr>
        <w:numPr>
          <w:ilvl w:val="0"/>
          <w:numId w:val="1"/>
        </w:numPr>
        <w:rPr>
          <w:rFonts w:ascii="宋体" w:hAnsi="宋体" w:eastAsia="宋体" w:cs="宋体"/>
          <w:sz w:val="24"/>
          <w:szCs w:val="24"/>
        </w:rPr>
      </w:pPr>
      <w:r>
        <w:rPr>
          <w:rFonts w:ascii="宋体" w:hAnsi="宋体" w:eastAsia="宋体" w:cs="宋体"/>
          <w:sz w:val="24"/>
          <w:szCs w:val="24"/>
        </w:rPr>
        <w:t>模型的评价与推广</w:t>
      </w:r>
    </w:p>
    <w:p w14:paraId="252FF596">
      <w:pPr>
        <w:widowControl w:val="0"/>
        <w:numPr>
          <w:numId w:val="0"/>
        </w:numPr>
        <w:jc w:val="both"/>
        <w:rPr>
          <w:rFonts w:ascii="宋体" w:hAnsi="宋体" w:eastAsia="宋体" w:cs="宋体"/>
          <w:sz w:val="24"/>
          <w:szCs w:val="24"/>
        </w:rPr>
      </w:pPr>
    </w:p>
    <w:p w14:paraId="1F6EE21A">
      <w:pPr>
        <w:pStyle w:val="2"/>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6.1 模型的优点</w:t>
      </w:r>
    </w:p>
    <w:p w14:paraId="5665A731">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1）本文四个问题之间具有较强的递进关系。问题一研究不同催化剂组合的温度响应及时间稳定性；问题二进一步建立多因素响应面；问题三在响应面基础上优化C4烯烃收率；问题四则通过新增实验验证最优结果并补充原实验信息，形成了“规律分析—因素建模—条件优化—实验验证”的完整过程。</w:t>
      </w:r>
    </w:p>
    <w:p w14:paraId="5580A917">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（2）模型建立过程中重视拟合精度和预测稳定性的平衡。问题一综合调整决定系数、</w:t>
      </w:r>
      <w:r>
        <w:rPr>
          <w:rFonts w:hint="default" w:ascii="宋体" w:hAnsi="宋体" w:eastAsia="宋体" w:cs="宋体"/>
          <w:b w:val="0"/>
          <w:bCs w:val="0"/>
          <w:kern w:val="2"/>
          <w:position w:val="-6"/>
          <w:sz w:val="24"/>
          <w:szCs w:val="24"/>
          <w:lang w:val="en-US" w:eastAsia="zh-CN" w:bidi="ar-SA"/>
        </w:rPr>
        <w:object>
          <v:shape id="_x0000_i1025" o:spt="75" type="#_x0000_t75" style="height:13.95pt;width:35pt;" o:ole="t" filled="f" o:preferrelative="t" stroked="f" coordsize="21600,21600">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rPr>
          <w:rFonts w:hint="default" w:ascii="宋体" w:hAnsi="宋体" w:eastAsia="宋体" w:cs="宋体"/>
          <w:b w:val="0"/>
          <w:bCs w:val="0"/>
          <w:kern w:val="2"/>
          <w:sz w:val="24"/>
          <w:szCs w:val="24"/>
          <w:lang w:val="en-US" w:eastAsia="zh-CN" w:bidi="ar-SA"/>
        </w:rPr>
        <w:t xml:space="preserve">、留一交叉验证和 </w:t>
      </w:r>
      <w:r>
        <w:rPr>
          <w:rFonts w:hint="default" w:ascii="宋体" w:hAnsi="宋体" w:eastAsia="宋体" w:cs="宋体"/>
          <w:b w:val="0"/>
          <w:bCs w:val="0"/>
          <w:kern w:val="2"/>
          <w:position w:val="-4"/>
          <w:sz w:val="24"/>
          <w:szCs w:val="24"/>
          <w:lang w:val="en-US" w:eastAsia="zh-CN" w:bidi="ar-SA"/>
        </w:rPr>
        <w:object>
          <v:shape id="_x0000_i1026" o:spt="75" type="#_x0000_t75" style="height:13pt;width:13pt;" o:ole="t" filled="f" o:preferrelative="t" stroked="f" coordsize="21600,21600">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rPr>
          <w:rFonts w:hint="default" w:ascii="宋体" w:hAnsi="宋体" w:eastAsia="宋体" w:cs="宋体"/>
          <w:b w:val="0"/>
          <w:bCs w:val="0"/>
          <w:kern w:val="2"/>
          <w:sz w:val="24"/>
          <w:szCs w:val="24"/>
          <w:lang w:val="en-US" w:eastAsia="zh-CN" w:bidi="ar-SA"/>
        </w:rPr>
        <w:t xml:space="preserve"> 检验选择一次或二次模型，而不是对所有催化剂采用统一函数。两类响应模型的调整决定系数中位数分别为0.9867和0.9842，表明低阶多项式能够较好描述实验范围内的温度响应。</w:t>
      </w:r>
    </w:p>
    <w:p w14:paraId="4186A2A9">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3）问题二充分考虑了原实验的结构特点。本文通过设计矩阵秩检验识别不可估计项，并将装料方式和总装料量作为控制变量，减少非核心条件对四个主要因素的干扰。同时，采用删除某因素及其相关高阶项后残差平方和的增加量衡量综合影响，避免仅依据单个回归系数判断因素重要性。</w:t>
      </w:r>
    </w:p>
    <w:p w14:paraId="5BCEDA12">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4）问题三采用分层网格搜索与多起点SQP算法，降低了优化结果对单一初始值的依赖。问题四进一步将第三问最优点验证与空间探索结合，使设计矩阵的秩由15提高到17，对数行列式由30.877938提高到77.679727，说明新增实验能够有效补充原实验缺失的信息方向。</w:t>
      </w:r>
    </w:p>
    <w:p w14:paraId="6B32BF96">
      <w:pPr>
        <w:pStyle w:val="2"/>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6.2 模型的局限性</w:t>
      </w:r>
    </w:p>
    <w:p w14:paraId="41E74906">
      <w:pPr>
        <w:pStyle w:val="3"/>
        <w:keepNext w:val="0"/>
        <w:keepLines w:val="0"/>
        <w:widowControl/>
        <w:suppressLineNumbers w:val="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（1）问题一中每种催化剂组合仅包含5～7个温度测试点，建立的一次和二次多项式主要反映实验区间内的变化规律，缺少反应动力学机理支持，因此不适合直接用于250～450 ℃范围以外的预测。</w:t>
      </w:r>
    </w:p>
    <w:p w14:paraId="53C9415D">
      <w:pPr>
        <w:pStyle w:val="3"/>
        <w:keepNext w:val="0"/>
        <w:keepLines w:val="0"/>
        <w:widowControl/>
        <w:suppressLineNumbers w:val="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2）问题二的响应面仍存在一定预测误差，C4烯烃选择性模型的部分高阶项还表现出较强共线性。问题三的最优解又位于Co负载量下限、乙醇浓度下限和温度上限附近，因此预测的最大收率应理解为模型推荐值，仍需通过实际实验验证。</w:t>
      </w:r>
    </w:p>
    <w:p w14:paraId="7654044E">
      <w:pPr>
        <w:pStyle w:val="3"/>
        <w:keepNext w:val="0"/>
        <w:keepLines w:val="0"/>
        <w:widowControl/>
        <w:suppressLineNumbers w:val="0"/>
        <w:jc w:val="left"/>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（3）问题四只能保证所得方案是当前五水平离散候选空间内的最优设计。由于新增实验仅有5次，且空间距离默认四个因素具有相同重要性，模型尚未考虑实验成本、因素调节难度以及测量误差差异。</w:t>
      </w:r>
    </w:p>
    <w:p w14:paraId="330F1F53">
      <w:pPr>
        <w:pStyle w:val="3"/>
        <w:keepNext w:val="0"/>
        <w:keepLines w:val="0"/>
        <w:widowControl/>
        <w:suppressLineNumbers w:val="0"/>
        <w:jc w:val="left"/>
        <w:rPr>
          <w:rFonts w:hint="default" w:ascii="宋体" w:hAnsi="宋体" w:eastAsia="宋体" w:cs="宋体"/>
          <w:b w:val="0"/>
          <w:bCs w:val="0"/>
          <w:kern w:val="2"/>
          <w:sz w:val="24"/>
          <w:szCs w:val="24"/>
          <w:lang w:val="en-US" w:eastAsia="zh-CN" w:bidi="ar-SA"/>
        </w:rPr>
      </w:pPr>
    </w:p>
    <w:p w14:paraId="31C9CCD1">
      <w:pPr>
        <w:pStyle w:val="2"/>
        <w:keepNext w:val="0"/>
        <w:keepLines w:val="0"/>
        <w:widowControl/>
        <w:suppressLineNumbers w:val="0"/>
        <w:ind w:firstLine="240" w:firstLineChars="10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6.3 模型的改进与推广</w:t>
      </w:r>
    </w:p>
    <w:p w14:paraId="077FA600">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完成问题四所设计的5次实验后，可将实际测量结果加入原数据，重新拟合问题二的响应</w:t>
      </w:r>
      <w:bookmarkStart w:id="0" w:name="_GoBack"/>
      <w:bookmarkEnd w:id="0"/>
      <w:r>
        <w:rPr>
          <w:rFonts w:hint="default" w:ascii="宋体" w:hAnsi="宋体" w:eastAsia="宋体" w:cs="宋体"/>
          <w:b w:val="0"/>
          <w:bCs w:val="0"/>
          <w:kern w:val="2"/>
          <w:sz w:val="24"/>
          <w:szCs w:val="24"/>
          <w:lang w:val="en-US" w:eastAsia="zh-CN" w:bidi="ar-SA"/>
        </w:rPr>
        <w:t>面，并再次求解收率最大化和新增实验设计模型，从而形成“实验—拟合—优化—再实验”的序贯优化过程。随着实验数据逐步增加，可进一步引入反应动力学模型或更灵活的非线性预测方法，提高模型的外推和解释能力。</w:t>
      </w:r>
    </w:p>
    <w:p w14:paraId="2F8AA76F">
      <w:pPr>
        <w:pStyle w:val="3"/>
        <w:keepNext w:val="0"/>
        <w:keepLines w:val="0"/>
        <w:widowControl/>
        <w:suppressLineNumbers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本文方法还可推广至其他小样本催化反应、材料配方及化学工艺优化问题。应用时只需更换实验因素、响应指标和相应物理约束，即可利用响应面分析因素作用，通过约束优化寻找较优工艺条件，再利用增广D最优与空间填充设计安排少量高信息量实验。</w:t>
      </w:r>
    </w:p>
    <w:p w14:paraId="15B9FC98">
      <w:pPr>
        <w:pStyle w:val="3"/>
        <w:keepNext w:val="0"/>
        <w:keepLines w:val="0"/>
        <w:widowControl/>
        <w:suppressLineNumbers w:val="0"/>
        <w:jc w:val="left"/>
        <w:rPr>
          <w:rFonts w:hint="default" w:ascii="宋体" w:hAnsi="宋体" w:eastAsia="宋体" w:cs="宋体"/>
          <w:b w:val="0"/>
          <w:bCs w:val="0"/>
          <w:kern w:val="2"/>
          <w:sz w:val="24"/>
          <w:szCs w:val="24"/>
          <w:lang w:val="en-US" w:eastAsia="zh-CN" w:bidi="ar-SA"/>
        </w:rPr>
      </w:pPr>
    </w:p>
    <w:p w14:paraId="42E72925">
      <w:pPr>
        <w:widowControl w:val="0"/>
        <w:numPr>
          <w:numId w:val="0"/>
        </w:numPr>
        <w:jc w:val="both"/>
        <w:rPr>
          <w:rFonts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8732A6"/>
    <w:multiLevelType w:val="singleLevel"/>
    <w:tmpl w:val="C18732A6"/>
    <w:lvl w:ilvl="0" w:tentative="0">
      <w:start w:val="6"/>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757103"/>
    <w:rsid w:val="1D7571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2026-09-05T01:45:00Z</dcterms:created>
  <dc:creator>。。。。</dc:creator>
  <cp:lastModifiedBy>。。。。</cp:lastModifiedBy>
  <dcterms:modified xsi:type="dcterms:W3CDTF">2026-09-05T02:07:43Z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E80AF67B0BDD4EC58E128D4F9450144C_11</vt:lpwstr>
  </property>
  <property fmtid="{D5CDD505-2E9C-101B-9397-08002B2CF9AE}" pid="4" name="KSOTemplateDocerSaveRecord">
    <vt:lpwstr>eyJoZGlkIjoiOTFiODYxYjE1NjRkZTAxY2M3NWM4ODAzM2Q2YzU4OTgiLCJ1c2VySWQiOiIxMzg5OTQ2NTEyIn0=</vt:lpwstr>
  </property>
</Properties>
</file>