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D9B42">
      <w:pPr>
        <w:keepNext w:val="0"/>
        <w:keepLines w:val="0"/>
        <w:widowControl/>
        <w:suppressLineNumbers w:val="0"/>
      </w:pPr>
    </w:p>
    <w:p w14:paraId="5D188281">
      <w:pPr>
        <w:pStyle w:val="2"/>
        <w:keepNext w:val="0"/>
        <w:keepLines w:val="0"/>
        <w:widowControl/>
        <w:suppressLineNumbers w:val="0"/>
      </w:pPr>
      <w:r>
        <w:t>5.4 基于蒙特卡洛情景模拟与 CVaR 风险控制的多时期种植模型</w:t>
      </w:r>
    </w:p>
    <w:p w14:paraId="5D78D240">
      <w:pPr>
        <w:pStyle w:val="2"/>
        <w:keepNext w:val="0"/>
        <w:keepLines w:val="0"/>
        <w:widowControl/>
        <w:suppressLineNumbers w:val="0"/>
      </w:pPr>
      <w:r>
        <w:t>5.4.1 问题分析</w:t>
      </w:r>
    </w:p>
    <w:p w14:paraId="283C929B">
      <w:pPr>
        <w:pStyle w:val="2"/>
        <w:keepNext w:val="0"/>
        <w:keepLines w:val="0"/>
        <w:widowControl/>
        <w:suppressLineNumbers w:val="0"/>
      </w:pPr>
      <w:r>
        <w:t>问题二仍以 2024—2030 年各地块的农作物种植安排为研究对象，但与问题一相比，未来的生产条件和市场环境不再保持不变。题目指出，小麦和玉米的预期销售量具有 5%～10% 的年增长趋势，其他作物的预期销售量可能在 2023 年基础上产生约 ±5% 的变化；受气候条件影响，各类农作物亩产量每年可能产生约 ±10% 的波动。同时，种植成本、蔬菜销售价格以及食用菌销售价格也会随年份发生变化。因此，相同的种植方案在不同市场需求、产量和价格组合下会产生不同的经济收益。</w:t>
      </w:r>
    </w:p>
    <w:p w14:paraId="3E4D02D2">
      <w:pPr>
        <w:pStyle w:val="2"/>
        <w:keepNext w:val="0"/>
        <w:keepLines w:val="0"/>
        <w:widowControl/>
        <w:suppressLineNumbers w:val="0"/>
      </w:pPr>
      <w:r>
        <w:t>问题一是在一组确定参数下直接寻找累计利润最大的种植方案，而问题二需要面对多个可能的未来状态。如果仍然只选取一组固定参数进行优化，得到的方案只能反映某一个假定情形，不能体现未来市场和生产条件变化带来的风险。另一方面，题目要求最终给出的是一套 2024—2030 年种植方案，因此不能针对每一个随机情景分别制定不同方案，而应让所有情景共用同一组种植决策，再评价这套方案在不同情景下的表现。</w:t>
      </w:r>
    </w:p>
    <w:p w14:paraId="01CC397C">
      <w:pPr>
        <w:pStyle w:val="2"/>
        <w:keepNext w:val="0"/>
        <w:keepLines w:val="0"/>
        <w:widowControl/>
        <w:suppressLineNumbers w:val="0"/>
      </w:pPr>
      <w:r>
        <w:t>基于此，在问题一混合整数线性规划模型的基础上，保留土地适种、面积限制、连续重茬、三年豆类轮作以及种植面积不宜过小、种植地不宜过于分散等约束。对于销售量、亩产量和部分销售价格，则依据题目给出的变化区间，通过蒙特卡洛方法随机生成多个未来情景。在每一个情景下分别计算七年累计利润，并以各情景平均利润衡量种植方案的总体收益。</w:t>
      </w:r>
    </w:p>
    <w:p w14:paraId="26855E7B">
      <w:pPr>
        <w:pStyle w:val="2"/>
        <w:keepNext w:val="0"/>
        <w:keepLines w:val="0"/>
        <w:widowControl/>
        <w:suppressLineNumbers w:val="0"/>
      </w:pPr>
      <w:r>
        <w:t>但仅追求平均利润仍可能忽略少数低收益情景。例如两种方案平均收益接近，其中一种方案在部分不利情景下利润明显下降，则该方案实际承担的经营风险更大。为此，在期望利润之外引入条件风险价值 CVaR，对低收益尾部情景进行控制，最终建立基于蒙特卡洛情景模拟与 CVaR 风险控制的多时期混合整数线性规划模型。</w:t>
      </w:r>
    </w:p>
    <w:p w14:paraId="2FB5E396">
      <w:pPr>
        <w:pStyle w:val="2"/>
        <w:keepNext w:val="0"/>
        <w:keepLines w:val="0"/>
        <w:widowControl/>
        <w:suppressLineNumbers w:val="0"/>
      </w:pPr>
      <w:r>
        <w:t>5.4.2 模型假设与参数处理</w:t>
      </w:r>
    </w:p>
    <w:p w14:paraId="7965781B">
      <w:pPr>
        <w:pStyle w:val="2"/>
        <w:keepNext w:val="0"/>
        <w:keepLines w:val="0"/>
        <w:widowControl/>
        <w:suppressLineNumbers w:val="0"/>
      </w:pPr>
      <w:r>
        <w:t>根据题目条件以及程序中的实际计算方式，作如下假设。</w:t>
      </w:r>
    </w:p>
    <w:p w14:paraId="7ACBFA19">
      <w:pPr>
        <w:pStyle w:val="2"/>
        <w:keepNext w:val="0"/>
        <w:keepLines w:val="0"/>
        <w:widowControl/>
        <w:suppressLineNumbers w:val="0"/>
      </w:pPr>
      <w:r>
        <w:t>（1）问题二不改变问题一中的土地条件和田间管理要求。地块面积、地块类型、农作物适种范围以及 2023 年实际种植情况均视为已知条件，不随随机情景发生变化。</w:t>
      </w:r>
    </w:p>
    <w:p w14:paraId="43233121">
      <w:pPr>
        <w:pStyle w:val="2"/>
        <w:keepNext w:val="0"/>
        <w:keepLines w:val="0"/>
        <w:widowControl/>
        <w:suppressLineNumbers w:val="0"/>
      </w:pPr>
      <w:r>
        <w:t>（2）题目只给出了部分参数的变化区间，并没有提供对应的概率分布。在缺少进一步历史统计数据的情况下，对具有明确上下界的不确定参数采用均匀分布生成蒙特卡洛情景。</w:t>
      </w:r>
    </w:p>
    <w:p w14:paraId="11863F2D">
      <w:pPr>
        <w:pStyle w:val="2"/>
        <w:keepNext w:val="0"/>
        <w:keepLines w:val="0"/>
        <w:widowControl/>
        <w:suppressLineNumbers w:val="0"/>
      </w:pPr>
      <w:r>
        <w:t>（3）问题二暂不考虑不同农作物之间以及价格、销售量、亩产量等因素之间的相关关系，各随机参数分别生成。作物之间的替代性、互补性以及不同因素之间的相关关系在问题三中进一步考虑。</w:t>
      </w:r>
    </w:p>
    <w:p w14:paraId="18B16AFA">
      <w:pPr>
        <w:pStyle w:val="2"/>
        <w:keepNext w:val="0"/>
        <w:keepLines w:val="0"/>
        <w:widowControl/>
        <w:suppressLineNumbers w:val="0"/>
      </w:pPr>
      <w:r>
        <w:t>（4）所有蒙特卡洛情景共用同一套种植方案，即种植面积、是否种植以及水浇地种植模式不随情景变化。随机情景只改变这一种植方案对应的销售量、亩产量、价格和最终利润。</w:t>
      </w:r>
    </w:p>
    <w:p w14:paraId="089E43EF">
      <w:pPr>
        <w:pStyle w:val="2"/>
        <w:keepNext w:val="0"/>
        <w:keepLines w:val="0"/>
        <w:widowControl/>
        <w:suppressLineNumbers w:val="0"/>
      </w:pPr>
      <w:r>
        <w:t>（5）种植成本按照题目给出的平均变化趋势，每年在上一年度基础上增加 5%；蔬菜销售价格同样按照每年增加 5% 处理。由于题目没有给出这两项增长率的随机范围，因此程序中不额外增加随机扰动。</w:t>
      </w:r>
    </w:p>
    <w:p w14:paraId="69A574C6">
      <w:pPr>
        <w:pStyle w:val="2"/>
        <w:keepNext w:val="0"/>
        <w:keepLines w:val="0"/>
        <w:widowControl/>
        <w:suppressLineNumbers w:val="0"/>
      </w:pPr>
      <w:r>
        <w:t>（6）粮食销售价格保持 2023 年水平不变；除羊肚菌以外的食用菌销售价格每年下降 1%～5%，下降率随机生成；羊肚菌价格按照每年下降 5% 处理。</w:t>
      </w:r>
    </w:p>
    <w:p w14:paraId="277E3911">
      <w:pPr>
        <w:pStyle w:val="2"/>
        <w:keepNext w:val="0"/>
        <w:keepLines w:val="0"/>
        <w:widowControl/>
        <w:suppressLineNumbers w:val="0"/>
      </w:pPr>
      <w:r>
        <w:t>（7）按照当前程序设定，当某一情景下的农作物产量超过该情景对应的预期销售量时，超过部分不计入销售收入。</w:t>
      </w:r>
    </w:p>
    <w:p w14:paraId="1006A1D3">
      <w:pPr>
        <w:pStyle w:val="2"/>
        <w:keepNext w:val="0"/>
        <w:keepLines w:val="0"/>
        <w:widowControl/>
        <w:suppressLineNumbers w:val="0"/>
      </w:pPr>
      <w:r>
        <w:t>（8）沿用问题一中对田间管理要求的量化方式：如果某种作物被安排在某块土地上，则其种植面积不低于该地块面积的 10%；同一种作物在同一年、同一季最多分布于 6 个地块。</w:t>
      </w:r>
    </w:p>
    <w:p w14:paraId="2B1ABB03">
      <w:pPr>
        <w:pStyle w:val="2"/>
        <w:keepNext w:val="0"/>
        <w:keepLines w:val="0"/>
        <w:widowControl/>
        <w:suppressLineNumbers w:val="0"/>
      </w:pPr>
      <w:r>
        <w:t>蒙特卡洛模拟情景数设置为：</w:t>
      </w:r>
    </w:p>
    <w:p w14:paraId="5574F96F">
      <w:pPr>
        <w:pStyle w:val="2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26" o:spt="75" type="#_x0000_t75" style="height:13.95pt;width:37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6" DrawAspect="Content" ObjectID="_1468075725" r:id="rId4">
            <o:LockedField>false</o:LockedField>
          </o:OLEObject>
        </w:object>
      </w:r>
    </w:p>
    <w:p w14:paraId="03072A6F">
      <w:pPr>
        <w:pStyle w:val="2"/>
        <w:keepNext w:val="0"/>
        <w:keepLines w:val="0"/>
        <w:widowControl/>
        <w:suppressLineNumbers w:val="0"/>
      </w:pPr>
      <w:r>
        <w:t>固定随机种子为 2024，以保证多次运行程序能够得到相同的随机情景。CVaR 置信水平和风险权重分别取：</w:t>
      </w:r>
    </w:p>
    <w:p w14:paraId="660EDC3F">
      <w:pPr>
        <w:pStyle w:val="2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27" o:spt="75" type="#_x0000_t75" style="height:16pt;width:45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7" DrawAspect="Content" ObjectID="_1468075726" r:id="rId6">
            <o:LockedField>false</o:LockedField>
          </o:OLEObject>
        </w:object>
      </w:r>
    </w:p>
    <w:p w14:paraId="50C0C045">
      <w:pPr>
        <w:pStyle w:val="2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6"/>
          <w:lang w:eastAsia="zh-CN"/>
        </w:rPr>
        <w:object>
          <v:shape id="_x0000_i1028" o:spt="75" type="#_x0000_t75" style="height:13.95pt;width:44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8" DrawAspect="Content" ObjectID="_1468075727" r:id="rId8">
            <o:LockedField>false</o:LockedField>
          </o:OLEObject>
        </w:object>
      </w:r>
    </w:p>
    <w:p w14:paraId="34A82B25">
      <w:pPr>
        <w:pStyle w:val="2"/>
        <w:keepNext w:val="0"/>
        <w:keepLines w:val="0"/>
        <w:widowControl/>
        <w:suppressLineNumbers w:val="0"/>
      </w:pPr>
      <w:r>
        <w:t xml:space="preserve">其中 </w:t>
      </w:r>
      <w:r>
        <w:rPr>
          <w:position w:val="-4"/>
        </w:rPr>
        <w:object>
          <v:shape id="_x0000_i1029" o:spt="75" type="#_x0000_t75" style="height:13pt;width:13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9" DrawAspect="Content" ObjectID="_1468075728" r:id="rId10">
            <o:LockedField>false</o:LockedField>
          </o:OLEObject>
        </w:object>
      </w:r>
      <w:r>
        <w:t>、</w:t>
      </w:r>
      <w:r>
        <w:rPr>
          <w:position w:val="-10"/>
        </w:rPr>
        <w:object>
          <v:shape id="_x0000_i1032" o:spt="75" alt="" type="#_x0000_t75" style="height:16pt;width:1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2" DrawAspect="Content" ObjectID="_1468075729" r:id="rId12">
            <o:LockedField>false</o:LockedField>
          </o:OLEObject>
        </w:object>
      </w:r>
      <w:r>
        <w:t xml:space="preserve"> 和 </w:t>
      </w:r>
      <w:r>
        <w:rPr>
          <w:position w:val="-6"/>
        </w:rPr>
        <w:object>
          <v:shape id="_x0000_i1033" o:spt="75" alt="" type="#_x0000_t75" style="height:13.95pt;width:11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3" DrawAspect="Content" ObjectID="_1468075730" r:id="rId14">
            <o:LockedField>false</o:LockedField>
          </o:OLEObject>
        </w:object>
      </w:r>
      <w:r>
        <w:t xml:space="preserve"> 为当前模型使用的计算参数，并未通过参数寻优确定，因此在结果分析中不将其表述为最优参数。</w:t>
      </w:r>
    </w:p>
    <w:p w14:paraId="48E37D77">
      <w:pPr>
        <w:pStyle w:val="2"/>
        <w:keepNext w:val="0"/>
        <w:keepLines w:val="0"/>
        <w:widowControl/>
        <w:suppressLineNumbers w:val="0"/>
      </w:pPr>
      <w:r>
        <w:t>5.4.3 符号与变量说明</w:t>
      </w:r>
    </w:p>
    <w:p w14:paraId="1247B19F">
      <w:pPr>
        <w:pStyle w:val="2"/>
        <w:keepNext w:val="0"/>
        <w:keepLines w:val="0"/>
        <w:widowControl/>
        <w:suppressLineNumbers w:val="0"/>
      </w:pPr>
      <w:r>
        <w:t xml:space="preserve">设所有地块构成集合 </w:t>
      </w:r>
      <w:r>
        <w:rPr>
          <w:position w:val="-4"/>
        </w:rPr>
        <w:object>
          <v:shape id="_x0000_i1034" o:spt="75" alt="" type="#_x0000_t75" style="height:13pt;width:10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4" DrawAspect="Content" ObjectID="_1468075731" r:id="rId16">
            <o:LockedField>false</o:LockedField>
          </o:OLEObject>
        </w:object>
      </w:r>
      <w:r>
        <w:t xml:space="preserve">，共 54 个地块；所有农作物构成集合 </w:t>
      </w:r>
      <w:r>
        <w:rPr>
          <w:position w:val="-6"/>
        </w:rPr>
        <w:object>
          <v:shape id="_x0000_i1036" o:spt="75" alt="" type="#_x0000_t75" style="height:13.95pt;width:11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6" DrawAspect="Content" ObjectID="_1468075732" r:id="rId18">
            <o:LockedField>false</o:LockedField>
          </o:OLEObject>
        </w:object>
      </w:r>
      <w:r>
        <w:t>，共 41 种作物。年份集合为：</w:t>
      </w:r>
    </w:p>
    <w:p w14:paraId="49911192">
      <w:pPr>
        <w:pStyle w:val="2"/>
        <w:keepNext w:val="0"/>
        <w:keepLines w:val="0"/>
        <w:widowControl/>
        <w:suppressLineNumbers w:val="0"/>
        <w:ind w:left="2940" w:leftChars="0" w:firstLine="420" w:firstLineChars="0"/>
      </w:pPr>
      <w:r>
        <w:rPr>
          <w:position w:val="-10"/>
        </w:rPr>
        <w:object>
          <v:shape id="_x0000_i1037" o:spt="75" alt="" type="#_x0000_t75" style="height:16pt;width:121.9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7" DrawAspect="Content" ObjectID="_1468075733" r:id="rId20">
            <o:LockedField>false</o:LockedField>
          </o:OLEObject>
        </w:object>
      </w:r>
    </w:p>
    <w:p w14:paraId="437CFB30">
      <w:pPr>
        <w:pStyle w:val="2"/>
        <w:keepNext w:val="0"/>
        <w:keepLines w:val="0"/>
        <w:widowControl/>
        <w:suppressLineNumbers w:val="0"/>
      </w:pPr>
      <w:r>
        <w:t>季节集合为：</w:t>
      </w:r>
    </w:p>
    <w:p w14:paraId="3E630928">
      <w:pPr>
        <w:pStyle w:val="2"/>
        <w:keepNext w:val="0"/>
        <w:keepLines w:val="0"/>
        <w:widowControl/>
        <w:suppressLineNumbers w:val="0"/>
        <w:ind w:left="4200" w:leftChars="0" w:firstLine="420" w:firstLineChars="0"/>
      </w:pPr>
      <w:r>
        <w:rPr>
          <w:position w:val="-10"/>
        </w:rPr>
        <w:object>
          <v:shape id="_x0000_i1038" o:spt="75" alt="" type="#_x0000_t75" style="height:16pt;width:44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8" DrawAspect="Content" ObjectID="_1468075734" r:id="rId22">
            <o:LockedField>false</o:LockedField>
          </o:OLEObject>
        </w:object>
      </w:r>
    </w:p>
    <w:p w14:paraId="65695D01">
      <w:pPr>
        <w:pStyle w:val="2"/>
        <w:keepNext w:val="0"/>
        <w:keepLines w:val="0"/>
        <w:widowControl/>
        <w:suppressLineNumbers w:val="0"/>
      </w:pPr>
      <w:r>
        <w:t>其中 1 表示第一季，2 表示第二季。</w:t>
      </w:r>
    </w:p>
    <w:p w14:paraId="1F7F03A2">
      <w:pPr>
        <w:pStyle w:val="2"/>
        <w:keepNext w:val="0"/>
        <w:keepLines w:val="0"/>
        <w:widowControl/>
        <w:suppressLineNumbers w:val="0"/>
      </w:pPr>
      <w:r>
        <w:t>蒙特卡洛情景集合为：</w:t>
      </w:r>
    </w:p>
    <w:p w14:paraId="023561D5">
      <w:pPr>
        <w:pStyle w:val="2"/>
        <w:keepNext w:val="0"/>
        <w:keepLines w:val="0"/>
        <w:widowControl/>
        <w:suppressLineNumbers w:val="0"/>
        <w:ind w:left="4200" w:leftChars="0" w:firstLine="420" w:firstLineChars="0"/>
      </w:pPr>
      <w:r>
        <w:rPr>
          <w:position w:val="-10"/>
        </w:rPr>
        <w:object>
          <v:shape id="_x0000_i1039" o:spt="75" alt="" type="#_x0000_t75" style="height:16pt;width:72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9" DrawAspect="Content" ObjectID="_1468075735" r:id="rId24">
            <o:LockedField>false</o:LockedField>
          </o:OLEObject>
        </w:object>
      </w:r>
    </w:p>
    <w:p w14:paraId="278B7414">
      <w:pPr>
        <w:pStyle w:val="2"/>
        <w:keepNext w:val="0"/>
        <w:keepLines w:val="0"/>
        <w:widowControl/>
        <w:suppressLineNumbers w:val="0"/>
      </w:pPr>
      <w:r>
        <w:t>5.4.4 蒙特卡洛情景的生成</w:t>
      </w:r>
    </w:p>
    <w:p w14:paraId="47B1C037">
      <w:pPr>
        <w:pStyle w:val="2"/>
        <w:keepNext w:val="0"/>
        <w:keepLines w:val="0"/>
        <w:widowControl/>
        <w:suppressLineNumbers w:val="0"/>
      </w:pPr>
      <w:r>
        <w:t>（1）预期销售量的生成</w:t>
      </w:r>
    </w:p>
    <w:p w14:paraId="4B588262">
      <w:pPr>
        <w:pStyle w:val="2"/>
        <w:keepNext w:val="0"/>
        <w:keepLines w:val="0"/>
        <w:widowControl/>
        <w:suppressLineNumbers w:val="0"/>
      </w:pPr>
      <w:r>
        <w:t xml:space="preserve">首先根据 2023 年实际种植情况计算各作物的销售量基准。设 2023 年作物 </w:t>
      </w:r>
      <w:r>
        <w:rPr>
          <w:position w:val="-10"/>
        </w:rPr>
        <w:object>
          <v:shape id="_x0000_i1040" o:spt="75" alt="" type="#_x0000_t75" style="height:15pt;width:10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40" DrawAspect="Content" ObjectID="_1468075736" r:id="rId26">
            <o:LockedField>false</o:LockedField>
          </o:OLEObject>
        </w:object>
      </w:r>
      <w:r>
        <w:t>在地块</w:t>
      </w:r>
      <w:r>
        <w:rPr>
          <w:position w:val="-6"/>
        </w:rPr>
        <w:object>
          <v:shape id="_x0000_i1041" o:spt="75" alt="" type="#_x0000_t75" style="height:13pt;width:6.9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41" DrawAspect="Content" ObjectID="_1468075737" r:id="rId28">
            <o:LockedField>false</o:LockedField>
          </o:OLEObject>
        </w:object>
      </w:r>
      <w:r>
        <w:t xml:space="preserve">、第 </w:t>
      </w:r>
      <w:r>
        <w:rPr>
          <w:position w:val="-6"/>
        </w:rPr>
        <w:object>
          <v:shape id="_x0000_i1042" o:spt="75" alt="" type="#_x0000_t75" style="height:11pt;width:9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42" DrawAspect="Content" ObjectID="_1468075738" r:id="rId30">
            <o:LockedField>false</o:LockedField>
          </o:OLEObject>
        </w:object>
      </w:r>
      <w:r>
        <w:t xml:space="preserve"> 季的实际种植面积为</w:t>
      </w:r>
      <w:r>
        <w:rPr>
          <w:position w:val="-14"/>
        </w:rPr>
        <w:object>
          <v:shape id="_x0000_i1043" o:spt="75" alt="" type="#_x0000_t75" style="height:20pt;width:24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3" DrawAspect="Content" ObjectID="_1468075739" r:id="rId32">
            <o:LockedField>false</o:LockedField>
          </o:OLEObject>
        </w:object>
      </w:r>
      <w:r>
        <w:t xml:space="preserve">，则作物 </w:t>
      </w:r>
      <w:r>
        <w:rPr>
          <w:position w:val="-10"/>
        </w:rPr>
        <w:object>
          <v:shape id="_x0000_i1044" o:spt="75" alt="" type="#_x0000_t75" style="height:15pt;width:10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4" DrawAspect="Content" ObjectID="_1468075740" r:id="rId34">
            <o:LockedField>false</o:LockedField>
          </o:OLEObject>
        </w:object>
      </w:r>
      <w:r>
        <w:t xml:space="preserve"> 的销售量基准为：</w:t>
      </w:r>
    </w:p>
    <w:p w14:paraId="075EF342">
      <w:pPr>
        <w:pStyle w:val="2"/>
        <w:keepNext w:val="0"/>
        <w:keepLines w:val="0"/>
        <w:widowControl/>
        <w:suppressLineNumbers w:val="0"/>
        <w:ind w:left="3780" w:leftChars="0" w:firstLine="420" w:firstLineChars="0"/>
      </w:pPr>
      <w:r>
        <w:rPr>
          <w:position w:val="-28"/>
        </w:rPr>
        <w:object>
          <v:shape id="_x0000_i1045" o:spt="75" alt="" type="#_x0000_t75" style="height:27pt;width:94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5" DrawAspect="Content" ObjectID="_1468075741" r:id="rId36">
            <o:LockedField>false</o:LockedField>
          </o:OLEObject>
        </w:object>
      </w:r>
    </w:p>
    <w:p w14:paraId="62BAAA0F">
      <w:pPr>
        <w:pStyle w:val="2"/>
        <w:keepNext w:val="0"/>
        <w:keepLines w:val="0"/>
        <w:widowControl/>
        <w:suppressLineNumbers w:val="0"/>
      </w:pPr>
      <w:r>
        <w:t>按照程序计算结果，小麦、玉米和水稻的 2023 年销售量基准分别为：</w:t>
      </w:r>
    </w:p>
    <w:p w14:paraId="4506C4D2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6" o:spt="75" type="#_x0000_t75" style="height:17pt;width:9pt;" o:ole="t" filled="f" o:preferrelative="t" stroked="f" coordsize="21600,21600"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6" DrawAspect="Content" ObjectID="_1468075742" r:id="rId38">
            <o:LockedField>false</o:LockedField>
          </o:OLEObject>
        </w:object>
      </w:r>
      <w:r>
        <w:rPr>
          <w:rFonts w:hint="eastAsia" w:eastAsiaTheme="minorEastAsia"/>
          <w:position w:val="-8"/>
          <w:lang w:eastAsia="zh-CN"/>
        </w:rPr>
        <w:object>
          <v:shape id="_x0000_i1047" o:spt="75" type="#_x0000_t75" style="height:16pt;width:49.95pt;" o:ole="t" filled="f" o:preferrelative="t" stroked="f" coordsize="21600,21600"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7" DrawAspect="Content" ObjectID="_1468075743" r:id="rId40">
            <o:LockedField>false</o:LockedField>
          </o:OLEObject>
        </w:object>
      </w:r>
      <w:r>
        <w:rPr>
          <w:rFonts w:hint="eastAsia"/>
          <w:lang w:eastAsia="zh-CN"/>
        </w:rPr>
        <w:t>、</w:t>
      </w:r>
      <w:r>
        <w:rPr>
          <w:position w:val="-8"/>
        </w:rPr>
        <w:object>
          <v:shape id="_x0000_i1048" o:spt="75" alt="" type="#_x0000_t75" style="height:16pt;width:49.9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8" DrawAspect="Content" ObjectID="_1468075744" r:id="rId42">
            <o:LockedField>false</o:LockedField>
          </o:OLEObject>
        </w:object>
      </w:r>
      <w:r>
        <w:rPr>
          <w:rFonts w:hint="eastAsia"/>
          <w:lang w:eastAsia="zh-CN"/>
        </w:rPr>
        <w:t>、</w:t>
      </w:r>
      <w:r>
        <w:rPr>
          <w:position w:val="-8"/>
        </w:rPr>
        <w:object>
          <v:shape id="_x0000_i1049" o:spt="75" alt="" type="#_x0000_t75" style="height:16pt;width:4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9" DrawAspect="Content" ObjectID="_1468075745" r:id="rId44">
            <o:LockedField>false</o:LockedField>
          </o:OLEObject>
        </w:object>
      </w:r>
    </w:p>
    <w:p w14:paraId="27DB35EB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t>对于小麦和玉米，题目给出的年增长率范围为 5%～10%，</w:t>
      </w:r>
      <w:r>
        <w:rPr>
          <w:rFonts w:ascii="宋体" w:hAnsi="宋体" w:eastAsia="宋体" w:cs="宋体"/>
          <w:sz w:val="24"/>
          <w:szCs w:val="24"/>
        </w:rPr>
        <w:t xml:space="preserve">对第 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53" o:spt="75" type="#_x0000_t75" style="height:13.95pt;width:10pt;" o:ole="t" filled="f" o:preferrelative="t" stroked="f" coordsize="21600,21600"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53" DrawAspect="Content" ObjectID="_1468075746" r:id="rId4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个蒙特卡洛情景中的增长率记为</w:t>
      </w:r>
    </w:p>
    <w:p w14:paraId="707EB2CC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54" o:spt="75" type="#_x0000_t75" style="height:20pt;width:95pt;" o:ole="t" filled="f" o:preferrelative="t" stroked="f" coordsize="21600,21600"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54" DrawAspect="Content" ObjectID="_1468075747" r:id="rId48">
            <o:LockedField>false</o:LockedField>
          </o:OLEObject>
        </w:object>
      </w:r>
    </w:p>
    <w:p w14:paraId="5A7133F3">
      <w:pPr>
        <w:pStyle w:val="2"/>
        <w:keepNext w:val="0"/>
        <w:keepLines w:val="0"/>
        <w:widowControl/>
        <w:suppressLineNumbers w:val="0"/>
      </w:pPr>
      <w:r>
        <w:t>并按年份逐年递推：</w:t>
      </w:r>
    </w:p>
    <w:p w14:paraId="27F27B2D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55" o:spt="75" type="#_x0000_t75" style="height:20pt;width:177pt;" o:ole="t" filled="f" o:preferrelative="t" stroked="f" coordsize="21600,21600"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55" DrawAspect="Content" ObjectID="_1468075748" r:id="rId50">
            <o:LockedField>false</o:LockedField>
          </o:OLEObject>
        </w:object>
      </w:r>
    </w:p>
    <w:p w14:paraId="4F7A5BFC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 xml:space="preserve">以 2023 年销售量作为初始值。当前生成的 30 个情景中，2024 年小麦和玉米销售量的平均增长率分别为 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59" o:spt="75" type="#_x0000_t75" style="height:13.95pt;width:35pt;" o:ole="t" filled="f" o:preferrelative="t" stroked="f" coordsize="21600,21600"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9" DrawAspect="Content" ObjectID="_1468075749" r:id="rId52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 xml:space="preserve"> 和  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60" o:spt="75" alt="" type="#_x0000_t75" style="height:13.95pt;width:35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60" DrawAspect="Content" ObjectID="_1468075750" r:id="rId5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，均位于题目规定的区间内。</w:t>
      </w:r>
    </w:p>
    <w:p w14:paraId="4C02D9E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对于其他作物，题目表述为相对于 2023 年约有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61" o:spt="75" alt="" type="#_x0000_t75" style="height:13.95pt;width:28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61" DrawAspect="Content" ObjectID="_1468075751" r:id="rId56">
            <o:LockedField>false</o:LockedField>
          </o:OLEObject>
        </w:object>
      </w:r>
      <w:r>
        <w:t>的变化，因此每一年的销售量直接围绕 2023 年基准波动：</w:t>
      </w:r>
    </w:p>
    <w:p w14:paraId="5E85225A">
      <w:pPr>
        <w:pStyle w:val="2"/>
        <w:keepNext w:val="0"/>
        <w:keepLines w:val="0"/>
        <w:widowControl/>
        <w:suppressLineNumbers w:val="0"/>
        <w:ind w:left="2940" w:leftChars="0" w:firstLine="420" w:firstLineChars="0"/>
      </w:pP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62" o:spt="75" alt="" type="#_x0000_t75" style="height:20pt;width:102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62" DrawAspect="Content" ObjectID="_1468075752" r:id="rId58">
            <o:LockedField>false</o:LockedField>
          </o:OLEObject>
        </w:object>
      </w:r>
    </w:p>
    <w:p w14:paraId="7B3957A3">
      <w:pPr>
        <w:pStyle w:val="2"/>
        <w:keepNext w:val="0"/>
        <w:keepLines w:val="0"/>
        <w:widowControl/>
        <w:suppressLineNumbers w:val="0"/>
      </w:pPr>
      <w:r>
        <w:t>相应销售量为：</w:t>
      </w:r>
    </w:p>
    <w:p w14:paraId="306B1256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63" o:spt="75" alt="" type="#_x0000_t75" style="height:20pt;width:91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63" DrawAspect="Content" ObjectID="_1468075753" r:id="rId60">
            <o:LockedField>false</o:LockedField>
          </o:OLEObject>
        </w:object>
      </w:r>
    </w:p>
    <w:p w14:paraId="21FA32F2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该处理与小麦、玉米的累计增长不同，不将前一年的随机变化继续累积到下一年。</w:t>
      </w:r>
    </w:p>
    <w:p w14:paraId="1065EB71">
      <w:pPr>
        <w:pStyle w:val="2"/>
        <w:keepNext w:val="0"/>
        <w:keepLines w:val="0"/>
        <w:widowControl/>
        <w:suppressLineNumbers w:val="0"/>
      </w:pPr>
      <w:r>
        <w:t>（2）亩产量</w:t>
      </w:r>
    </w:p>
    <w:p w14:paraId="5D2D5EB1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亩产量受到气候因素影响，题目给出的年度变化范围约为 ±10%。对每一种作物、每一年和每个情景生成一个相对波动系数</w:t>
      </w:r>
      <w:r>
        <w:t>。对作物</w:t>
      </w:r>
      <w:r>
        <w:rPr>
          <w:position w:val="-10"/>
        </w:rPr>
        <w:object>
          <v:shape id="_x0000_i1064" o:spt="75" type="#_x0000_t75" style="height:15pt;width:10pt;" o:ole="t" filled="f" o:preferrelative="t" stroked="f" coordsize="21600,21600"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64" DrawAspect="Content" ObjectID="_1468075754" r:id="rId62">
            <o:LockedField>false</o:LockedField>
          </o:OLEObject>
        </w:object>
      </w:r>
      <w:r>
        <w:t xml:space="preserve">在年份 </w:t>
      </w:r>
      <w:r>
        <w:rPr>
          <w:position w:val="-6"/>
        </w:rPr>
        <w:object>
          <v:shape id="_x0000_i1065" o:spt="75" type="#_x0000_t75" style="height:12pt;width:6.95pt;" o:ole="t" filled="f" o:preferrelative="t" stroked="f" coordsize="21600,21600"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65" DrawAspect="Content" ObjectID="_1468075755" r:id="rId64">
            <o:LockedField>false</o:LockedField>
          </o:OLEObject>
        </w:object>
      </w:r>
      <w:r>
        <w:t>、第</w:t>
      </w:r>
      <w:r>
        <w:rPr>
          <w:position w:val="-6"/>
        </w:rPr>
        <w:object>
          <v:shape id="_x0000_i1066" o:spt="75" type="#_x0000_t75" style="height:13.95pt;width:10pt;" o:ole="t" filled="f" o:preferrelative="t" stroked="f" coordsize="21600,21600"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66" DrawAspect="Content" ObjectID="_1468075756" r:id="rId66">
            <o:LockedField>false</o:LockedField>
          </o:OLEObject>
        </w:object>
      </w:r>
      <w:r>
        <w:t>个情景中的亩产量扰动记为：</w:t>
      </w:r>
    </w:p>
    <w:p w14:paraId="66E90DC3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67" o:spt="75" type="#_x0000_t75" style="height:20pt;width:103pt;" o:ole="t" filled="f" o:preferrelative="t" stroked="f" coordsize="21600,21600"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67" DrawAspect="Content" ObjectID="_1468075757" r:id="rId68">
            <o:LockedField>false</o:LockedField>
          </o:OLEObject>
        </w:object>
      </w:r>
    </w:p>
    <w:p w14:paraId="4FF86B1B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相应亩产量写为</w:t>
      </w:r>
    </w:p>
    <w:p w14:paraId="6DC32322">
      <w:pPr>
        <w:pStyle w:val="2"/>
        <w:keepNext w:val="0"/>
        <w:keepLines w:val="0"/>
        <w:widowControl/>
        <w:suppressLineNumbers w:val="0"/>
        <w:ind w:left="2940" w:leftChars="0" w:firstLine="420" w:firstLineChars="0"/>
      </w:pPr>
      <w:r>
        <w:rPr>
          <w:position w:val="-14"/>
        </w:rPr>
        <w:object>
          <v:shape id="_x0000_i1068" o:spt="75" type="#_x0000_t75" style="height:20pt;width:88pt;" o:ole="t" filled="f" o:preferrelative="t" stroked="f" coordsize="21600,21600"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68" DrawAspect="Content" ObjectID="_1468075758" r:id="rId70">
            <o:LockedField>false</o:LockedField>
          </o:OLEObject>
        </w:object>
      </w:r>
      <w:r>
        <w:t>　　　　</w:t>
      </w:r>
    </w:p>
    <w:p w14:paraId="773A87AA">
      <w:pPr>
        <w:pStyle w:val="2"/>
        <w:keepNext w:val="0"/>
        <w:keepLines w:val="0"/>
        <w:widowControl/>
        <w:suppressLineNumbers w:val="0"/>
      </w:pPr>
      <w:r>
        <w:t>同一种作物在同一年、同一情景中的不同土地类型采用相同的相对变化比例，因此不同土地类型之间原有的亩产量差异仍然保留。</w:t>
      </w:r>
    </w:p>
    <w:p w14:paraId="7DFEEC64">
      <w:pPr>
        <w:pStyle w:val="2"/>
        <w:keepNext w:val="0"/>
        <w:keepLines w:val="0"/>
        <w:widowControl/>
        <w:suppressLineNumbers w:val="0"/>
      </w:pPr>
      <w:r>
        <w:t>（3）种植成本的变化</w:t>
      </w:r>
    </w:p>
    <w:p w14:paraId="4D4881CF">
      <w:pPr>
        <w:pStyle w:val="2"/>
        <w:keepNext w:val="0"/>
        <w:keepLines w:val="0"/>
        <w:widowControl/>
        <w:suppressLineNumbers w:val="0"/>
      </w:pPr>
      <w:r>
        <w:t xml:space="preserve">种植成本平均每年增长 5%，因此年份 </w:t>
      </w:r>
      <w:r>
        <w:rPr>
          <w:position w:val="-6"/>
        </w:rPr>
        <w:object>
          <v:shape id="_x0000_i1069" o:spt="75" type="#_x0000_t75" style="height:12pt;width:6.95pt;" o:ole="t" filled="f" o:preferrelative="t" stroked="f" coordsize="21600,21600"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69" DrawAspect="Content" ObjectID="_1468075759" r:id="rId72">
            <o:LockedField>false</o:LockedField>
          </o:OLEObject>
        </w:object>
      </w:r>
      <w:r>
        <w:t xml:space="preserve"> 的单位面积成本为：</w:t>
      </w:r>
    </w:p>
    <w:p w14:paraId="4CD3B86D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70" o:spt="75" type="#_x0000_t75" style="height:20pt;width:94pt;" o:ole="t" filled="f" o:preferrelative="t" stroked="f" coordsize="21600,21600"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70" DrawAspect="Content" ObjectID="_1468075760" r:id="rId74">
            <o:LockedField>false</o:LockedField>
          </o:OLEObject>
        </w:object>
      </w:r>
    </w:p>
    <w:p w14:paraId="50EF9392">
      <w:pPr>
        <w:pStyle w:val="2"/>
        <w:keepNext w:val="0"/>
        <w:keepLines w:val="0"/>
        <w:widowControl/>
        <w:suppressLineNumbers w:val="0"/>
      </w:pPr>
      <w:r>
        <w:t>这一项按照确定趋势处理，不随蒙特卡洛情景变化。</w:t>
      </w:r>
    </w:p>
    <w:p w14:paraId="2947C272">
      <w:pPr>
        <w:pStyle w:val="2"/>
        <w:keepNext w:val="0"/>
        <w:keepLines w:val="0"/>
        <w:widowControl/>
        <w:suppressLineNumbers w:val="0"/>
      </w:pPr>
      <w:r>
        <w:t>（4）销售价格的变化</w:t>
      </w:r>
    </w:p>
    <w:p w14:paraId="217E0793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粮食类作物的</w:t>
      </w:r>
      <w:r>
        <w:t>销售价格保持基本稳定，因此：</w:t>
      </w:r>
    </w:p>
    <w:p w14:paraId="6AFFD856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71" o:spt="75" type="#_x0000_t75" style="height:20pt;width:102pt;" o:ole="t" filled="f" o:preferrelative="t" stroked="f" coordsize="21600,21600"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71" DrawAspect="Content" ObjectID="_1468075761" r:id="rId76">
            <o:LockedField>false</o:LockedField>
          </o:OLEObject>
        </w:object>
      </w:r>
    </w:p>
    <w:p w14:paraId="1DFC2E07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蔬菜价格按平均每年上涨 5% 处理：</w:t>
      </w:r>
    </w:p>
    <w:p w14:paraId="675E8623">
      <w:pPr>
        <w:pStyle w:val="2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72" o:spt="75" type="#_x0000_t75" style="height:20pt;width:160pt;" o:ole="t" filled="f" o:preferrelative="t" stroked="f" coordsize="21600,21600"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72" DrawAspect="Content" ObjectID="_1468075762" r:id="rId78">
            <o:LockedField>false</o:LockedField>
          </o:OLEObject>
        </w:object>
      </w:r>
    </w:p>
    <w:p w14:paraId="06170327">
      <w:pPr>
        <w:pStyle w:val="2"/>
        <w:keepNext w:val="0"/>
        <w:keepLines w:val="0"/>
        <w:widowControl/>
        <w:suppressLineNumbers w:val="0"/>
      </w:pPr>
      <w:r>
        <w:t>对于 38～40 号食用菌，每年价格下降率在 1%～5% 之间随机变化。设：</w:t>
      </w:r>
    </w:p>
    <w:p w14:paraId="29CEA9B6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73" o:spt="75" type="#_x0000_t75" style="height:20pt;width:95pt;" o:ole="t" filled="f" o:preferrelative="t" stroked="f" coordsize="21600,21600"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73" DrawAspect="Content" ObjectID="_1468075763" r:id="rId80">
            <o:LockedField>false</o:LockedField>
          </o:OLEObject>
        </w:object>
      </w:r>
    </w:p>
    <w:p w14:paraId="35A2114C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并按年份逐步递推：</w:t>
      </w:r>
    </w:p>
    <w:p w14:paraId="5658BF87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74" o:spt="75" type="#_x0000_t75" style="height:20pt;width:102pt;" o:ole="t" filled="f" o:preferrelative="t" stroked="f" coordsize="21600,21600"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74" DrawAspect="Content" ObjectID="_1468075764" r:id="rId82">
            <o:LockedField>false</o:LockedField>
          </o:OLEObject>
        </w:object>
      </w:r>
    </w:p>
    <w:p w14:paraId="28ED602E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羊肚菌按照题目给出的每年下降 5% 处理，即</w:t>
      </w:r>
    </w:p>
    <w:p w14:paraId="2957B4FF">
      <w:pPr>
        <w:pStyle w:val="2"/>
        <w:keepNext w:val="0"/>
        <w:keepLines w:val="0"/>
        <w:widowControl/>
        <w:suppressLineNumbers w:val="0"/>
        <w:ind w:left="21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75" o:spt="75" type="#_x0000_t75" style="height:20pt;width:112pt;" o:ole="t" filled="f" o:preferrelative="t" stroked="f" coordsize="21600,21600"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75" DrawAspect="Content" ObjectID="_1468075765" r:id="rId84">
            <o:LockedField>false</o:LockedField>
          </o:OLEObject>
        </w:object>
      </w:r>
    </w:p>
    <w:p w14:paraId="2C151486">
      <w:pPr>
        <w:pStyle w:val="2"/>
        <w:keepNext w:val="0"/>
        <w:keepLines w:val="0"/>
        <w:widowControl/>
        <w:suppressLineNumbers w:val="0"/>
      </w:pPr>
      <w:r>
        <w:t>经过以上处理，每一个蒙特卡洛情景都对应一套完整的 2024—2030 年销量、亩产量和销售价格参数。</w:t>
      </w:r>
    </w:p>
    <w:p w14:paraId="271F0755">
      <w:pPr>
        <w:pStyle w:val="2"/>
        <w:keepNext w:val="0"/>
        <w:keepLines w:val="0"/>
        <w:widowControl/>
        <w:suppressLineNumbers w:val="0"/>
      </w:pPr>
      <w:r>
        <w:t>5.4.5 多情景利润模型的建立</w:t>
      </w:r>
    </w:p>
    <w:p w14:paraId="1C99BD3D">
      <w:pPr>
        <w:pStyle w:val="2"/>
        <w:keepNext w:val="0"/>
        <w:keepLines w:val="0"/>
        <w:widowControl/>
        <w:suppressLineNumbers w:val="0"/>
      </w:pPr>
      <w:r>
        <w:t>（1）</w:t>
      </w:r>
      <w:r>
        <w:rPr>
          <w:rFonts w:ascii="宋体" w:hAnsi="宋体" w:eastAsia="宋体" w:cs="宋体"/>
          <w:sz w:val="24"/>
          <w:szCs w:val="24"/>
        </w:rPr>
        <w:t>情景产量与销售量</w:t>
      </w:r>
    </w:p>
    <w:p w14:paraId="4A07B841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同一套种植面积 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76" o:spt="75" type="#_x0000_t75" style="height:19pt;width:19pt;" o:ole="t" filled="f" o:preferrelative="t" stroked="f" coordsize="21600,21600"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76" DrawAspect="Content" ObjectID="_1468075766" r:id="rId8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 xml:space="preserve"> 在不同亩产量情景下会形成不同产量。情景 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77" o:spt="75" type="#_x0000_t75" style="height:13.95pt;width:10pt;" o:ole="t" filled="f" o:preferrelative="t" stroked="f" coordsize="21600,21600"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77" DrawAspect="Content" ObjectID="_1468075767" r:id="rId88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中，年份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78" o:spt="75" type="#_x0000_t75" style="height:12pt;width:6.95pt;" o:ole="t" filled="f" o:preferrelative="t" stroked="f" coordsize="21600,21600"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78" DrawAspect="Content" ObjectID="_1468075768" r:id="rId90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 xml:space="preserve">、季节 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79" o:spt="75" type="#_x0000_t75" style="height:11pt;width:9pt;" o:ole="t" filled="f" o:preferrelative="t" stroked="f" coordsize="21600,21600"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79" DrawAspect="Content" ObjectID="_1468075769" r:id="rId92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 xml:space="preserve">的作物 </w:t>
      </w:r>
      <w:r>
        <w:rPr>
          <w:rFonts w:ascii="宋体" w:hAnsi="宋体" w:eastAsia="宋体" w:cs="宋体"/>
          <w:position w:val="-10"/>
          <w:sz w:val="24"/>
          <w:szCs w:val="24"/>
        </w:rPr>
        <w:object>
          <v:shape id="_x0000_i1080" o:spt="75" type="#_x0000_t75" style="height:15pt;width:10pt;" o:ole="t" filled="f" o:preferrelative="t" stroked="f" coordsize="21600,21600"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80" DrawAspect="Content" ObjectID="_1468075770" r:id="rId9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 xml:space="preserve"> 总产量为</w:t>
      </w:r>
    </w:p>
    <w:p w14:paraId="50926781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28"/>
          <w:sz w:val="24"/>
          <w:szCs w:val="24"/>
          <w:lang w:eastAsia="zh-CN"/>
        </w:rPr>
        <w:object>
          <v:shape id="_x0000_i1081" o:spt="75" type="#_x0000_t75" style="height:27pt;width:83pt;" o:ole="t" filled="f" o:preferrelative="t" stroked="f" coordsize="21600,21600"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81" DrawAspect="Content" ObjectID="_1468075771" r:id="rId96">
            <o:LockedField>false</o:LockedField>
          </o:OLEObject>
        </w:object>
      </w:r>
    </w:p>
    <w:p w14:paraId="03A18C5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实际能够形成收入的产量同时受到总产量和预期销售量的限制。引入正常销售量变量 </w:t>
      </w:r>
      <w:r>
        <w:rPr>
          <w:position w:val="-14"/>
        </w:rPr>
        <w:object>
          <v:shape id="_x0000_i1082" o:spt="75" type="#_x0000_t75" style="height:20pt;width:20pt;" o:ole="t" filled="f" o:preferrelative="t" stroked="f" coordsize="21600,21600"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82" DrawAspect="Content" ObjectID="_1468075772" r:id="rId98">
            <o:LockedField>false</o:LockedField>
          </o:OLEObject>
        </w:object>
      </w:r>
      <w:r>
        <w:t>有</w:t>
      </w:r>
    </w:p>
    <w:p w14:paraId="5128F7C6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83" o:spt="75" type="#_x0000_t75" style="height:20pt;width:51pt;" o:ole="t" filled="f" o:preferrelative="t" stroked="f" coordsize="21600,21600"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83" DrawAspect="Content" ObjectID="_1468075773" r:id="rId100">
            <o:LockedField>false</o:LockedField>
          </o:OLEObject>
        </w:object>
      </w:r>
    </w:p>
    <w:p w14:paraId="41BE3A63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84" o:spt="75" type="#_x0000_t75" style="height:20pt;width:52pt;" o:ole="t" filled="f" o:preferrelative="t" stroked="f" coordsize="21600,21600"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84" DrawAspect="Content" ObjectID="_1468075774" r:id="rId102">
            <o:LockedField>false</o:LockedField>
          </o:OLEObject>
        </w:object>
      </w:r>
    </w:p>
    <w:p w14:paraId="0F449C93">
      <w:pPr>
        <w:pStyle w:val="2"/>
        <w:keepNext w:val="0"/>
        <w:keepLines w:val="0"/>
        <w:widowControl/>
        <w:suppressLineNumbers w:val="0"/>
      </w:pPr>
      <w:r>
        <w:t>并满足</w:t>
      </w:r>
    </w:p>
    <w:p w14:paraId="59532207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85" o:spt="75" type="#_x0000_t75" style="height:20pt;width:39pt;" o:ole="t" filled="f" o:preferrelative="t" stroked="f" coordsize="21600,21600"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KSEE3" ShapeID="_x0000_i1085" DrawAspect="Content" ObjectID="_1468075775" r:id="rId104">
            <o:LockedField>false</o:LockedField>
          </o:OLEObject>
        </w:object>
      </w:r>
    </w:p>
    <w:p w14:paraId="61E18E22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由于销售价格为正，在利润最大化的条件下，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086" o:spt="75" type="#_x0000_t75" style="height:20pt;width:20pt;" o:ole="t" filled="f" o:preferrelative="t" stroked="f" coordsize="21600,21600"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KSEE3" ShapeID="_x0000_i1086" DrawAspect="Content" ObjectID="_1468075776" r:id="rId10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 xml:space="preserve"> 会取允许范围内的最大值，因此等价于</w:t>
      </w:r>
    </w:p>
    <w:p w14:paraId="39E3CD07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87" o:spt="75" type="#_x0000_t75" style="height:20pt;width:105pt;" o:ole="t" filled="f" o:preferrelative="t" stroked="f" coordsize="21600,21600"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87" DrawAspect="Content" ObjectID="_1468075777" r:id="rId108">
            <o:LockedField>false</o:LockedField>
          </o:OLEObject>
        </w:object>
      </w:r>
    </w:p>
    <w:p w14:paraId="7C286FA4">
      <w:pPr>
        <w:pStyle w:val="2"/>
        <w:keepNext w:val="0"/>
        <w:keepLines w:val="0"/>
        <w:widowControl/>
        <w:suppressLineNumbers w:val="0"/>
      </w:pPr>
      <w:r>
        <w:t>超过该情景预期销售量的部分不计入销售收入。</w:t>
      </w:r>
    </w:p>
    <w:p w14:paraId="7AF6E59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rFonts w:ascii="宋体" w:hAnsi="宋体" w:eastAsia="宋体" w:cs="宋体"/>
          <w:sz w:val="24"/>
          <w:szCs w:val="24"/>
        </w:rPr>
        <w:t>单个情景的七年利润</w:t>
      </w:r>
    </w:p>
    <w:p w14:paraId="172CA939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 xml:space="preserve">第 </w:t>
      </w:r>
      <w:r>
        <w:rPr>
          <w:position w:val="-6"/>
        </w:rPr>
        <w:object>
          <v:shape id="_x0000_i1088" o:spt="75" type="#_x0000_t75" style="height:13.95pt;width:10pt;" o:ole="t" filled="f" o:preferrelative="t" stroked="f" coordsize="21600,21600"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088" DrawAspect="Content" ObjectID="_1468075778" r:id="rId110">
            <o:LockedField>false</o:LockedField>
          </o:OLEObject>
        </w:object>
      </w:r>
      <w:r>
        <w:t xml:space="preserve"> 个情景下</w:t>
      </w:r>
      <w:r>
        <w:rPr>
          <w:rFonts w:hint="eastAsia"/>
          <w:lang w:val="en-US" w:eastAsia="zh-CN"/>
        </w:rPr>
        <w:t>的七年销售收入为</w:t>
      </w:r>
      <w:r>
        <w:t>：</w:t>
      </w:r>
    </w:p>
    <w:p w14:paraId="3FC3B6A9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89" o:spt="75" type="#_x0000_t75" style="height:28pt;width:107pt;" o:ole="t" filled="f" o:preferrelative="t" stroked="f" coordsize="21600,21600"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KSEE3" ShapeID="_x0000_i1089" DrawAspect="Content" ObjectID="_1468075779" r:id="rId112">
            <o:LockedField>false</o:LockedField>
          </o:OLEObject>
        </w:object>
      </w:r>
    </w:p>
    <w:p w14:paraId="3A6E4A1C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由于当前模型中的成本增长率不随情景变化，七年累计种植成本写为</w:t>
      </w:r>
      <w:r>
        <w:t>：</w:t>
      </w:r>
    </w:p>
    <w:p w14:paraId="0EA5A97A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90" o:spt="75" type="#_x0000_t75" style="height:28pt;width:112pt;" o:ole="t" filled="f" o:preferrelative="t" stroked="f" coordsize="21600,21600"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90" DrawAspect="Content" ObjectID="_1468075780" r:id="rId114">
            <o:LockedField>false</o:LockedField>
          </o:OLEObject>
        </w:object>
      </w:r>
    </w:p>
    <w:p w14:paraId="2FB246C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于是情景 </w:t>
      </w:r>
      <w:r>
        <w:rPr>
          <w:position w:val="-6"/>
        </w:rPr>
        <w:object>
          <v:shape id="_x0000_i1091" o:spt="75" type="#_x0000_t75" style="height:13.95pt;width:10pt;" o:ole="t" filled="f" o:preferrelative="t" stroked="f" coordsize="21600,21600"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KSEE3" ShapeID="_x0000_i1091" DrawAspect="Content" ObjectID="_1468075781" r:id="rId116">
            <o:LockedField>false</o:LockedField>
          </o:OLEObject>
        </w:object>
      </w:r>
      <w:r>
        <w:t>下的七年累计利润为</w:t>
      </w:r>
    </w:p>
    <w:p w14:paraId="28B18584">
      <w:pPr>
        <w:pStyle w:val="2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92" o:spt="75" type="#_x0000_t75" style="height:18pt;width:62pt;" o:ole="t" filled="f" o:preferrelative="t" stroked="f" coordsize="21600,21600"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KSEE3" ShapeID="_x0000_i1092" DrawAspect="Content" ObjectID="_1468075782" r:id="rId118">
            <o:LockedField>false</o:LockedField>
          </o:OLEObject>
        </w:object>
      </w:r>
    </w:p>
    <w:p w14:paraId="6A6C5DE7">
      <w:pPr>
        <w:pStyle w:val="2"/>
        <w:keepNext w:val="0"/>
        <w:keepLines w:val="0"/>
        <w:widowControl/>
        <w:suppressLineNumbers w:val="0"/>
      </w:pPr>
      <w:r>
        <w:t>即：</w:t>
      </w:r>
    </w:p>
    <w:p w14:paraId="66B556A7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93" o:spt="75" type="#_x0000_t75" style="height:28pt;width:139pt;" o:ole="t" filled="f" o:preferrelative="t" stroked="f" coordsize="21600,21600"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KSEE3" ShapeID="_x0000_i1093" DrawAspect="Content" ObjectID="_1468075783" r:id="rId120">
            <o:LockedField>false</o:LockedField>
          </o:OLEObject>
        </w:object>
      </w:r>
    </w:p>
    <w:p w14:paraId="4283283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30 个随机情景对应 30 个不同的 </w:t>
      </w:r>
      <w:r>
        <w:rPr>
          <w:position w:val="-12"/>
        </w:rPr>
        <w:object>
          <v:shape id="_x0000_i1094" o:spt="75" type="#_x0000_t75" style="height:18pt;width:18pt;" o:ole="t" filled="f" o:preferrelative="t" stroked="f" coordsize="21600,21600"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KSEE3" ShapeID="_x0000_i1094" DrawAspect="Content" ObjectID="_1468075784" r:id="rId122">
            <o:LockedField>false</o:LockedField>
          </o:OLEObject>
        </w:object>
      </w:r>
      <w:r>
        <w:t>，从而可以评价同一套种植方案面对不同未来条件时的收益变化。</w:t>
      </w:r>
    </w:p>
    <w:p w14:paraId="7B9620D9">
      <w:pPr>
        <w:pStyle w:val="2"/>
        <w:keepNext w:val="0"/>
        <w:keepLines w:val="0"/>
        <w:widowControl/>
        <w:suppressLineNumbers w:val="0"/>
      </w:pPr>
      <w:r>
        <w:t>5.4.6 CVaR 风险控制模型</w:t>
      </w:r>
    </w:p>
    <w:p w14:paraId="541F931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如果目标函数只使用情景平均利润</w:t>
      </w:r>
    </w:p>
    <w:p w14:paraId="6FEAD2B2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095" o:spt="75" type="#_x0000_t75" style="height:34pt;width:85pt;" o:ole="t" filled="f" o:preferrelative="t" stroked="f" coordsize="21600,21600"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KSEE3" ShapeID="_x0000_i1095" DrawAspect="Content" ObjectID="_1468075785" r:id="rId124">
            <o:LockedField>false</o:LockedField>
          </o:OLEObject>
        </w:object>
      </w:r>
    </w:p>
    <w:p w14:paraId="27D54E1D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则模型会更倾向于选择平均收益高的方案，但不能单独约束利润分布左侧的低收益情景。为刻画这种下行风险，将利润转换为损失：</w:t>
      </w:r>
    </w:p>
    <w:p w14:paraId="27C31C59">
      <w:pPr>
        <w:pStyle w:val="2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96" o:spt="75" type="#_x0000_t75" style="height:18pt;width:48pt;" o:ole="t" filled="f" o:preferrelative="t" stroked="f" coordsize="21600,21600"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KSEE3" ShapeID="_x0000_i1096" DrawAspect="Content" ObjectID="_1468075786" r:id="rId126">
            <o:LockedField>false</o:LockedField>
          </o:OLEObject>
        </w:object>
      </w:r>
    </w:p>
    <w:p w14:paraId="135F1CE5">
      <w:pPr>
        <w:pStyle w:val="2"/>
        <w:keepNext w:val="0"/>
        <w:keepLines w:val="0"/>
        <w:widowControl/>
        <w:suppressLineNumbers w:val="0"/>
      </w:pPr>
      <w:r>
        <w:t xml:space="preserve">给定置信水平 </w:t>
      </w:r>
      <w:r>
        <w:rPr>
          <w:position w:val="-10"/>
        </w:rPr>
        <w:object>
          <v:shape id="_x0000_i1097" o:spt="75" type="#_x0000_t75" style="height:16pt;width:45pt;" o:ole="t" filled="f" o:preferrelative="t" stroked="f" coordsize="21600,21600"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KSEE3" ShapeID="_x0000_i1097" DrawAspect="Content" ObjectID="_1468075787" r:id="rId128">
            <o:LockedField>false</o:LockedField>
          </o:OLEObject>
        </w:object>
      </w:r>
      <w:r>
        <w:t>，引入损失阈值</w:t>
      </w:r>
      <w:r>
        <w:rPr>
          <w:position w:val="-10"/>
        </w:rPr>
        <w:object>
          <v:shape id="_x0000_i1098" o:spt="75" type="#_x0000_t75" style="height:13pt;width:10pt;" o:ole="t" filled="f" o:preferrelative="t" stroked="f" coordsize="21600,21600"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KSEE3" ShapeID="_x0000_i1098" DrawAspect="Content" ObjectID="_1468075788" r:id="rId130">
            <o:LockedField>false</o:LockedField>
          </o:OLEObject>
        </w:object>
      </w:r>
      <w:r>
        <w:t>和辅助变量</w:t>
      </w:r>
      <w:r>
        <w:rPr>
          <w:position w:val="-12"/>
        </w:rPr>
        <w:object>
          <v:shape id="_x0000_i1099" o:spt="75" type="#_x0000_t75" style="height:18pt;width:13.95pt;" o:ole="t" filled="f" o:preferrelative="t" stroked="f" coordsize="21600,21600"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KSEE3" ShapeID="_x0000_i1099" DrawAspect="Content" ObjectID="_1468075789" r:id="rId132">
            <o:LockedField>false</o:LockedField>
          </o:OLEObject>
        </w:object>
      </w:r>
      <w:r>
        <w:t>，并满足：</w:t>
      </w:r>
    </w:p>
    <w:p w14:paraId="373DD56D">
      <w:pPr>
        <w:pStyle w:val="2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100" o:spt="75" type="#_x0000_t75" style="height:18pt;width:56pt;" o:ole="t" filled="f" o:preferrelative="t" stroked="f" coordsize="21600,21600"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100" DrawAspect="Content" ObjectID="_1468075790" r:id="rId134">
            <o:LockedField>false</o:LockedField>
          </o:OLEObject>
        </w:object>
      </w:r>
    </w:p>
    <w:p w14:paraId="10EAB160">
      <w:pPr>
        <w:pStyle w:val="2"/>
        <w:keepNext w:val="0"/>
        <w:keepLines w:val="0"/>
        <w:widowControl/>
        <w:suppressLineNumbers w:val="0"/>
      </w:pPr>
      <w:r>
        <w:t>即：</w:t>
      </w:r>
    </w:p>
    <w:p w14:paraId="06C9296F">
      <w:pPr>
        <w:pStyle w:val="2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101" o:spt="75" type="#_x0000_t75" style="height:18pt;width:66pt;" o:ole="t" filled="f" o:preferrelative="t" stroked="f" coordsize="21600,21600"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KSEE3" ShapeID="_x0000_i1101" DrawAspect="Content" ObjectID="_1468075791" r:id="rId136">
            <o:LockedField>false</o:LockedField>
          </o:OLEObject>
        </w:object>
      </w:r>
    </w:p>
    <w:p w14:paraId="69FD514F">
      <w:pPr>
        <w:pStyle w:val="2"/>
        <w:keepNext w:val="0"/>
        <w:keepLines w:val="0"/>
        <w:widowControl/>
        <w:suppressLineNumbers w:val="0"/>
      </w:pPr>
      <w:r>
        <w:t>同时要求：</w:t>
      </w:r>
    </w:p>
    <w:p w14:paraId="584239B7">
      <w:pPr>
        <w:pStyle w:val="2"/>
        <w:keepNext w:val="0"/>
        <w:keepLines w:val="0"/>
        <w:widowControl/>
        <w:suppressLineNumbers w:val="0"/>
        <w:ind w:left="420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102" o:spt="75" type="#_x0000_t75" style="height:18pt;width:31.95pt;" o:ole="t" filled="f" o:preferrelative="t" stroked="f" coordsize="21600,21600"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102" DrawAspect="Content" ObjectID="_1468075792" r:id="rId138">
            <o:LockedField>false</o:LockedField>
          </o:OLEObject>
        </w:object>
      </w:r>
    </w:p>
    <w:p w14:paraId="72A9622E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则离散等概率情景下的 CVaR 可以线性表示为</w:t>
      </w:r>
      <w:r>
        <w:br w:type="textWrapping"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  <w:position w:val="-28"/>
          <w:lang w:val="en-US" w:eastAsia="zh-CN"/>
        </w:rPr>
        <w:object>
          <v:shape id="_x0000_i1103" o:spt="75" type="#_x0000_t75" style="height:34pt;width:153pt;" o:ole="t" filled="f" o:preferrelative="t" stroked="f" coordsize="21600,21600"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KSEE3" ShapeID="_x0000_i1103" DrawAspect="Content" ObjectID="_1468075793" r:id="rId140">
            <o:LockedField>false</o:LockedField>
          </o:OLEObject>
        </w:object>
      </w:r>
    </w:p>
    <w:p w14:paraId="7BEEC840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这里的 CVaR 是在“损失”变量上定义的。由于本题计算得到的各情景利润均为正，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104" o:spt="75" type="#_x0000_t75" style="height:18pt;width:48pt;" o:ole="t" filled="f" o:preferrelative="t" stroked="f" coordsize="21600,21600"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104" DrawAspect="Content" ObjectID="_1468075794" r:id="rId142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为负值，因此程序输出的 CVaR 损失也是负数。为了便于经济意义上的解释，结果分析中使用</w:t>
      </w:r>
    </w:p>
    <w:p w14:paraId="64F9DF44">
      <w:pPr>
        <w:pStyle w:val="2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105" o:spt="75" type="#_x0000_t75" style="height:19pt;width:62pt;" o:ole="t" filled="f" o:preferrelative="t" stroked="f" coordsize="21600,21600"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KSEE3" ShapeID="_x0000_i1105" DrawAspect="Content" ObjectID="_1468075795" r:id="rId144">
            <o:LockedField>false</o:LockedField>
          </o:OLEObject>
        </w:object>
      </w:r>
    </w:p>
    <w:p w14:paraId="5AE83C3E">
      <w:pPr>
        <w:pStyle w:val="2"/>
        <w:keepNext w:val="0"/>
        <w:keepLines w:val="0"/>
        <w:widowControl/>
        <w:suppressLineNumbers w:val="0"/>
      </w:pPr>
      <w:r>
        <w:t>称为“下行 CVaR 利润水平”。</w:t>
      </w:r>
    </w:p>
    <w:p w14:paraId="0B483D11">
      <w:pPr>
        <w:pStyle w:val="2"/>
        <w:keepNext w:val="0"/>
        <w:keepLines w:val="0"/>
        <w:widowControl/>
        <w:suppressLineNumbers w:val="0"/>
      </w:pPr>
      <w:r>
        <w:t xml:space="preserve">在平均收益和低收益风险之间引入风险权重 </w:t>
      </w:r>
      <w:r>
        <w:rPr>
          <w:position w:val="-6"/>
        </w:rPr>
        <w:object>
          <v:shape id="_x0000_i1106" o:spt="75" type="#_x0000_t75" style="height:13.95pt;width:11pt;" o:ole="t" filled="f" o:preferrelative="t" stroked="f" coordsize="21600,21600"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KSEE3" ShapeID="_x0000_i1106" DrawAspect="Content" ObjectID="_1468075796" r:id="rId146">
            <o:LockedField>false</o:LockedField>
          </o:OLEObject>
        </w:object>
      </w:r>
      <w:r>
        <w:t>，</w:t>
      </w:r>
      <w:r>
        <w:rPr>
          <w:rFonts w:ascii="宋体" w:hAnsi="宋体" w:eastAsia="宋体" w:cs="宋体"/>
          <w:sz w:val="24"/>
          <w:szCs w:val="24"/>
        </w:rPr>
        <w:t>得到综合目标</w:t>
      </w:r>
      <w:r>
        <w:t>：</w:t>
      </w:r>
    </w:p>
    <w:p w14:paraId="6A79BE84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107" o:spt="75" type="#_x0000_t75" style="height:34pt;width:157pt;" o:ole="t" filled="f" o:preferrelative="t" stroked="f" coordsize="21600,21600"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KSEE3" ShapeID="_x0000_i1107" DrawAspect="Content" ObjectID="_1468075797" r:id="rId148">
            <o:LockedField>false</o:LockedField>
          </o:OLEObject>
        </w:object>
      </w:r>
    </w:p>
    <w:p w14:paraId="76930BDF">
      <w:pPr>
        <w:pStyle w:val="2"/>
        <w:keepNext w:val="0"/>
        <w:keepLines w:val="0"/>
        <w:widowControl/>
        <w:suppressLineNumbers w:val="0"/>
      </w:pPr>
      <w:r>
        <w:t>代入式</w:t>
      </w:r>
      <w:r>
        <w:rPr>
          <w:rFonts w:hint="eastAsia"/>
          <w:position w:val="-28"/>
          <w:lang w:val="en-US" w:eastAsia="zh-CN"/>
        </w:rPr>
        <w:object>
          <v:shape id="_x0000_i1108" o:spt="75" type="#_x0000_t75" style="height:34pt;width:153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KSEE3" ShapeID="_x0000_i1108" DrawAspect="Content" ObjectID="_1468075798" r:id="rId150">
            <o:LockedField>false</o:LockedField>
          </o:OLEObject>
        </w:object>
      </w:r>
      <w:r>
        <w:t>，得到：</w:t>
      </w:r>
    </w:p>
    <w:p w14:paraId="307B53A7">
      <w:pPr>
        <w:pStyle w:val="2"/>
        <w:keepNext w:val="0"/>
        <w:keepLines w:val="0"/>
        <w:widowControl/>
        <w:suppressLineNumbers w:val="0"/>
        <w:ind w:left="16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09" o:spt="75" type="#_x0000_t75" style="height:36pt;width:204.95pt;" o:ole="t" filled="f" o:preferrelative="t" stroked="f" coordsize="21600,21600">
            <v:fill on="f" focussize="0,0"/>
            <v:stroke on="f"/>
            <v:imagedata r:id="rId152" o:title=""/>
            <o:lock v:ext="edit" aspectratio="t"/>
            <w10:wrap type="none"/>
            <w10:anchorlock/>
          </v:shape>
          <o:OLEObject Type="Embed" ProgID="Equation.KSEE3" ShapeID="_x0000_i1109" DrawAspect="Content" ObjectID="_1468075799" r:id="rId151">
            <o:LockedField>false</o:LockedField>
          </o:OLEObject>
        </w:object>
      </w:r>
    </w:p>
    <w:p w14:paraId="5C2E8754">
      <w:pPr>
        <w:pStyle w:val="2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其中第一项反映 30 个未来情景中的平均收益，第二项控制低收益尾部情景。需要说明的是，式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</w:t>
      </w:r>
      <w:r>
        <w:rPr>
          <w:rFonts w:ascii="宋体" w:hAnsi="宋体" w:eastAsia="宋体" w:cs="宋体"/>
          <w:sz w:val="24"/>
          <w:szCs w:val="24"/>
        </w:rPr>
        <w:t>的数值是用于比较种植方案的综合目标函数值，并不等同于实际能够获得的经营利润。</w:t>
      </w:r>
    </w:p>
    <w:p w14:paraId="246C253A">
      <w:pPr>
        <w:pStyle w:val="2"/>
        <w:keepNext w:val="0"/>
        <w:keepLines w:val="0"/>
        <w:widowControl/>
        <w:suppressLineNumbers w:val="0"/>
      </w:pPr>
      <w:r>
        <w:t>5.4.7 种植约束</w:t>
      </w:r>
    </w:p>
    <w:p w14:paraId="667F9C08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问题二的随机性主要来自经营参数，土地条件和轮作制度没有变化，因此沿用问题一的农业约束。</w:t>
      </w:r>
    </w:p>
    <w:p w14:paraId="3AE31A0A">
      <w:pPr>
        <w:pStyle w:val="2"/>
        <w:keepNext w:val="0"/>
        <w:keepLines w:val="0"/>
        <w:widowControl/>
        <w:suppressLineNumbers w:val="0"/>
      </w:pPr>
      <w:r>
        <w:t>对于平旱地、梯田和山坡地，一年只种植一季粮食作物：</w:t>
      </w:r>
    </w:p>
    <w:p w14:paraId="16434B10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11" o:spt="75" type="#_x0000_t75" style="height:35pt;width:58pt;" o:ole="t" filled="f" o:preferrelative="t" stroked="f" coordsize="21600,21600"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111" DrawAspect="Content" ObjectID="_1468075800" r:id="rId153">
            <o:LockedField>false</o:LockedField>
          </o:OLEObject>
        </w:object>
      </w:r>
    </w:p>
    <w:p w14:paraId="13C1B0DA">
      <w:pPr>
        <w:pStyle w:val="2"/>
        <w:keepNext w:val="0"/>
        <w:keepLines w:val="0"/>
        <w:widowControl/>
        <w:suppressLineNumbers w:val="0"/>
      </w:pPr>
      <w:r>
        <w:t>对于水浇地，可以选择一季水稻或者两季蔬菜：</w:t>
      </w:r>
    </w:p>
    <w:p w14:paraId="1507DAF1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14"/>
          <w:lang w:val="en-US" w:eastAsia="zh-CN"/>
        </w:rPr>
        <w:object>
          <v:shape id="_x0000_i1112" o:spt="75" type="#_x0000_t75" style="height:19pt;width:63pt;" o:ole="t" filled="f" o:preferrelative="t" stroked="f" coordsize="21600,21600"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12" DrawAspect="Content" ObjectID="_1468075801" r:id="rId155">
            <o:LockedField>false</o:LockedField>
          </o:OLEObject>
        </w:object>
      </w:r>
    </w:p>
    <w:p w14:paraId="11DC2589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30"/>
          <w:lang w:val="en-US" w:eastAsia="zh-CN"/>
        </w:rPr>
        <w:object>
          <v:shape id="_x0000_i1113" o:spt="75" type="#_x0000_t75" style="height:35pt;width:92pt;" o:ole="t" filled="f" o:preferrelative="t" stroked="f" coordsize="21600,21600">
            <v:fill on="f" focussize="0,0"/>
            <v:stroke on="f"/>
            <v:imagedata r:id="rId158" o:title=""/>
            <o:lock v:ext="edit" aspectratio="t"/>
            <w10:wrap type="none"/>
            <w10:anchorlock/>
          </v:shape>
          <o:OLEObject Type="Embed" ProgID="Equation.KSEE3" ShapeID="_x0000_i1113" DrawAspect="Content" ObjectID="_1468075802" r:id="rId157">
            <o:LockedField>false</o:LockedField>
          </o:OLEObject>
        </w:object>
      </w:r>
    </w:p>
    <w:p w14:paraId="08AF21F5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position w:val="-30"/>
          <w:lang w:val="en-US" w:eastAsia="zh-CN"/>
        </w:rPr>
        <w:object>
          <v:shape id="_x0000_i1114" o:spt="75" type="#_x0000_t75" style="height:35pt;width:94pt;" o:ole="t" filled="f" o:preferrelative="t" stroked="f" coordsize="21600,21600">
            <v:fill on="f" focussize="0,0"/>
            <v:stroke on="f"/>
            <v:imagedata r:id="rId160" o:title=""/>
            <o:lock v:ext="edit" aspectratio="t"/>
            <w10:wrap type="none"/>
            <w10:anchorlock/>
          </v:shape>
          <o:OLEObject Type="Embed" ProgID="Equation.KSEE3" ShapeID="_x0000_i1114" DrawAspect="Content" ObjectID="_1468075803" r:id="rId159">
            <o:LockedField>false</o:LockedField>
          </o:OLEObject>
        </w:object>
      </w:r>
    </w:p>
    <w:p w14:paraId="3906C67B">
      <w:pPr>
        <w:pStyle w:val="2"/>
        <w:keepNext w:val="0"/>
        <w:keepLines w:val="0"/>
        <w:widowControl/>
        <w:suppressLineNumbers w:val="0"/>
      </w:pPr>
      <w:r>
        <w:t>同时第二季只能从大白菜、白萝卜和红萝卜中选择一种：</w:t>
      </w:r>
    </w:p>
    <w:p w14:paraId="108CB7B0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15" o:spt="75" type="#_x0000_t75" style="height:35pt;width:75pt;" o:ole="t" filled="f" o:preferrelative="t" stroked="f" coordsize="21600,21600">
            <v:fill on="f" focussize="0,0"/>
            <v:stroke on="f"/>
            <v:imagedata r:id="rId162" o:title=""/>
            <o:lock v:ext="edit" aspectratio="t"/>
            <w10:wrap type="none"/>
            <w10:anchorlock/>
          </v:shape>
          <o:OLEObject Type="Embed" ProgID="Equation.KSEE3" ShapeID="_x0000_i1115" DrawAspect="Content" ObjectID="_1468075804" r:id="rId161">
            <o:LockedField>false</o:LockedField>
          </o:OLEObject>
        </w:object>
      </w:r>
    </w:p>
    <w:p w14:paraId="54F71E59">
      <w:pPr>
        <w:pStyle w:val="2"/>
        <w:keepNext w:val="0"/>
        <w:keepLines w:val="0"/>
        <w:widowControl/>
        <w:suppressLineNumbers w:val="0"/>
      </w:pPr>
      <w:r>
        <w:t>普通大棚第一季种植蔬菜，第二季种植食用菌：</w:t>
      </w:r>
    </w:p>
    <w:p w14:paraId="04DC4CF9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16" o:spt="75" type="#_x0000_t75" style="height:35pt;width:59pt;" o:ole="t" filled="f" o:preferrelative="t" stroked="f" coordsize="21600,21600">
            <v:fill on="f" focussize="0,0"/>
            <v:stroke on="f"/>
            <v:imagedata r:id="rId164" o:title=""/>
            <o:lock v:ext="edit" aspectratio="t"/>
            <w10:wrap type="none"/>
            <w10:anchorlock/>
          </v:shape>
          <o:OLEObject Type="Embed" ProgID="Equation.KSEE3" ShapeID="_x0000_i1116" DrawAspect="Content" ObjectID="_1468075805" r:id="rId163">
            <o:LockedField>false</o:LockedField>
          </o:OLEObject>
        </w:object>
      </w:r>
    </w:p>
    <w:p w14:paraId="40671BF6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17" o:spt="75" type="#_x0000_t75" style="height:35pt;width:59pt;" o:ole="t" filled="f" o:preferrelative="t" stroked="f" coordsize="21600,21600">
            <v:fill on="f" focussize="0,0"/>
            <v:stroke on="f"/>
            <v:imagedata r:id="rId166" o:title=""/>
            <o:lock v:ext="edit" aspectratio="t"/>
            <w10:wrap type="none"/>
            <w10:anchorlock/>
          </v:shape>
          <o:OLEObject Type="Embed" ProgID="Equation.KSEE3" ShapeID="_x0000_i1117" DrawAspect="Content" ObjectID="_1468075806" r:id="rId165">
            <o:LockedField>false</o:LockedField>
          </o:OLEObject>
        </w:object>
      </w:r>
    </w:p>
    <w:p w14:paraId="03D08839">
      <w:pPr>
        <w:pStyle w:val="2"/>
        <w:keepNext w:val="0"/>
        <w:keepLines w:val="0"/>
        <w:widowControl/>
        <w:suppressLineNumbers w:val="0"/>
      </w:pPr>
      <w:r>
        <w:t>智慧大棚两季均种植蔬菜：</w:t>
      </w:r>
    </w:p>
    <w:p w14:paraId="1B7AD7AE">
      <w:pPr>
        <w:pStyle w:val="2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18" o:spt="75" type="#_x0000_t75" style="height:35pt;width:58pt;" o:ole="t" filled="f" o:preferrelative="t" stroked="f" coordsize="21600,21600">
            <v:fill on="f" focussize="0,0"/>
            <v:stroke on="f"/>
            <v:imagedata r:id="rId168" o:title=""/>
            <o:lock v:ext="edit" aspectratio="t"/>
            <w10:wrap type="none"/>
            <w10:anchorlock/>
          </v:shape>
          <o:OLEObject Type="Embed" ProgID="Equation.KSEE3" ShapeID="_x0000_i1118" DrawAspect="Content" ObjectID="_1468075807" r:id="rId167">
            <o:LockedField>false</o:LockedField>
          </o:OLEObject>
        </w:object>
      </w:r>
    </w:p>
    <w:p w14:paraId="06EF0C56">
      <w:pPr>
        <w:pStyle w:val="2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19" o:spt="75" type="#_x0000_t75" style="height:35pt;width:60pt;" o:ole="t" filled="f" o:preferrelative="t" stroked="f" coordsize="21600,21600">
            <v:fill on="f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KSEE3" ShapeID="_x0000_i1119" DrawAspect="Content" ObjectID="_1468075808" r:id="rId169">
            <o:LockedField>false</o:LockedField>
          </o:OLEObject>
        </w:object>
      </w:r>
    </w:p>
    <w:p w14:paraId="6CCE6256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为使是否种植变量</w:t>
      </w:r>
      <w:r>
        <w:rPr>
          <w:rFonts w:ascii="宋体" w:hAnsi="宋体" w:eastAsia="宋体" w:cs="宋体"/>
          <w:position w:val="-14"/>
          <w:sz w:val="24"/>
          <w:szCs w:val="24"/>
        </w:rPr>
        <w:object>
          <v:shape id="_x0000_i1120" o:spt="75" type="#_x0000_t75" style="height:19pt;width:20pt;" o:ole="t" filled="f" o:preferrelative="t" stroked="f" coordsize="21600,21600">
            <v:fill on="f" focussize="0,0"/>
            <v:stroke on="f"/>
            <v:imagedata r:id="rId172" o:title=""/>
            <o:lock v:ext="edit" aspectratio="t"/>
            <w10:wrap type="none"/>
            <w10:anchorlock/>
          </v:shape>
          <o:OLEObject Type="Embed" ProgID="Equation.KSEE3" ShapeID="_x0000_i1120" DrawAspect="Content" ObjectID="_1468075809" r:id="rId171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与面积变量对应，采用</w:t>
      </w:r>
    </w:p>
    <w:p w14:paraId="16B41848">
      <w:pPr>
        <w:pStyle w:val="2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14"/>
          <w:sz w:val="24"/>
          <w:szCs w:val="24"/>
          <w:lang w:eastAsia="zh-CN"/>
        </w:rPr>
        <w:object>
          <v:shape id="_x0000_i1121" o:spt="75" type="#_x0000_t75" style="height:19pt;width:110pt;" o:ole="t" filled="f" o:preferrelative="t" stroked="f" coordsize="21600,21600">
            <v:fill on="f" focussize="0,0"/>
            <v:stroke on="f"/>
            <v:imagedata r:id="rId174" o:title=""/>
            <o:lock v:ext="edit" aspectratio="t"/>
            <w10:wrap type="none"/>
            <w10:anchorlock/>
          </v:shape>
          <o:OLEObject Type="Embed" ProgID="Equation.KSEE3" ShapeID="_x0000_i1121" DrawAspect="Content" ObjectID="_1468075810" r:id="rId173">
            <o:LockedField>false</o:LockedField>
          </o:OLEObject>
        </w:object>
      </w:r>
    </w:p>
    <w:p w14:paraId="31533DF9">
      <w:pPr>
        <w:pStyle w:val="2"/>
        <w:keepNext w:val="0"/>
        <w:keepLines w:val="0"/>
        <w:widowControl/>
        <w:suppressLineNumbers w:val="0"/>
      </w:pPr>
      <w:r>
        <w:t>因此，只要某一种作物进入某地块，其面积至少为该地块面积的 10%。</w:t>
      </w:r>
    </w:p>
    <w:p w14:paraId="795BA2FE">
      <w:pPr>
        <w:pStyle w:val="2"/>
        <w:keepNext w:val="0"/>
        <w:keepLines w:val="0"/>
        <w:widowControl/>
        <w:suppressLineNumbers w:val="0"/>
      </w:pPr>
      <w:r>
        <w:t>为限制作物种植过于分散，对每个年份、作物和季节设置：</w:t>
      </w:r>
    </w:p>
    <w:p w14:paraId="0FDE79FF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122" o:spt="75" type="#_x0000_t75" style="height:27pt;width:53pt;" o:ole="t" filled="f" o:preferrelative="t" stroked="f" coordsize="21600,21600">
            <v:fill on="f" focussize="0,0"/>
            <v:stroke on="f"/>
            <v:imagedata r:id="rId176" o:title=""/>
            <o:lock v:ext="edit" aspectratio="t"/>
            <w10:wrap type="none"/>
            <w10:anchorlock/>
          </v:shape>
          <o:OLEObject Type="Embed" ProgID="Equation.KSEE3" ShapeID="_x0000_i1122" DrawAspect="Content" ObjectID="_1468075811" r:id="rId175">
            <o:LockedField>false</o:LockedField>
          </o:OLEObject>
        </w:object>
      </w:r>
    </w:p>
    <w:p w14:paraId="10361BD6">
      <w:pPr>
        <w:pStyle w:val="2"/>
        <w:keepNext w:val="0"/>
        <w:keepLines w:val="0"/>
        <w:widowControl/>
        <w:suppressLineNumbers w:val="0"/>
      </w:pPr>
      <w:r>
        <w:t>对于一年一季的地块，相邻两年不能连续种植同一种作物：</w:t>
      </w:r>
    </w:p>
    <w:p w14:paraId="7D727578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123" o:spt="75" type="#_x0000_t75" style="height:19pt;width:74pt;" o:ole="t" filled="f" o:preferrelative="t" stroked="f" coordsize="21600,21600">
            <v:fill on="f" focussize="0,0"/>
            <v:stroke on="f"/>
            <v:imagedata r:id="rId178" o:title=""/>
            <o:lock v:ext="edit" aspectratio="t"/>
            <w10:wrap type="none"/>
            <w10:anchorlock/>
          </v:shape>
          <o:OLEObject Type="Embed" ProgID="Equation.KSEE3" ShapeID="_x0000_i1123" DrawAspect="Content" ObjectID="_1468075812" r:id="rId177">
            <o:LockedField>false</o:LockedField>
          </o:OLEObject>
        </w:object>
      </w:r>
    </w:p>
    <w:p w14:paraId="3632A8FD">
      <w:pPr>
        <w:pStyle w:val="2"/>
        <w:keepNext w:val="0"/>
        <w:keepLines w:val="0"/>
        <w:widowControl/>
        <w:suppressLineNumbers w:val="0"/>
      </w:pPr>
      <w:r>
        <w:t>水浇地不能连续两年采用水稻种植模式：</w:t>
      </w:r>
    </w:p>
    <w:p w14:paraId="3031343B">
      <w:pPr>
        <w:pStyle w:val="2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124" o:spt="75" type="#_x0000_t75" style="height:19pt;width:60.95pt;" o:ole="t" filled="f" o:preferrelative="t" stroked="f" coordsize="21600,21600">
            <v:fill on="f" focussize="0,0"/>
            <v:stroke on="f"/>
            <v:imagedata r:id="rId180" o:title=""/>
            <o:lock v:ext="edit" aspectratio="t"/>
            <w10:wrap type="none"/>
            <w10:anchorlock/>
          </v:shape>
          <o:OLEObject Type="Embed" ProgID="Equation.KSEE3" ShapeID="_x0000_i1124" DrawAspect="Content" ObjectID="_1468075813" r:id="rId179">
            <o:LockedField>false</o:LockedField>
          </o:OLEObject>
        </w:object>
      </w:r>
    </w:p>
    <w:p w14:paraId="325F3922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智慧大棚同一年两季及跨年度连续季之间分别满足</w:t>
      </w:r>
    </w:p>
    <w:p w14:paraId="11E52950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25" o:spt="75" type="#_x0000_t75" style="height:19pt;width:66pt;" o:ole="t" filled="f" o:preferrelative="t" stroked="f" coordsize="21600,21600">
            <v:fill on="f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KSEE3" ShapeID="_x0000_i1125" DrawAspect="Content" ObjectID="_1468075814" r:id="rId181">
            <o:LockedField>false</o:LockedField>
          </o:OLEObject>
        </w:object>
      </w:r>
    </w:p>
    <w:p w14:paraId="66CBC80C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126" o:spt="75" type="#_x0000_t75" style="height:19pt;width:75pt;" o:ole="t" filled="f" o:preferrelative="t" stroked="f" coordsize="21600,21600"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KSEE3" ShapeID="_x0000_i1126" DrawAspect="Content" ObjectID="_1468075815" r:id="rId183">
            <o:LockedField>false</o:LockedField>
          </o:OLEObject>
        </w:object>
      </w:r>
    </w:p>
    <w:p w14:paraId="61F563FC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2023 年实际种植数据同时用于约束 2024 年的第一轮种植，避免在规划期边界处出现重茬。</w:t>
      </w:r>
    </w:p>
    <w:p w14:paraId="03F2A7F5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对于三年豆类轮作，仍采用问题一中的累计面积处理。设豆类集合为</w:t>
      </w:r>
    </w:p>
    <w:p w14:paraId="087F618B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127" o:spt="75" type="#_x0000_t75" style="height:17pt;width:117pt;" o:ole="t" filled="f" o:preferrelative="t" stroked="f" coordsize="21600,21600"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KSEE3" ShapeID="_x0000_i1127" DrawAspect="Content" ObjectID="_1468075816" r:id="rId185">
            <o:LockedField>false</o:LockedField>
          </o:OLEObject>
        </w:object>
      </w:r>
    </w:p>
    <w:p w14:paraId="759B1FC1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则任意连续三年满足</w:t>
      </w:r>
    </w:p>
    <w:p w14:paraId="186E440B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2"/>
          <w:lang w:eastAsia="zh-CN"/>
        </w:rPr>
        <w:object>
          <v:shape id="_x0000_i1128" o:spt="75" type="#_x0000_t75" style="height:36pt;width:89pt;" o:ole="t" filled="f" o:preferrelative="t" stroked="f" coordsize="21600,21600">
            <v:fill on="f" focussize="0,0"/>
            <v:stroke on="f"/>
            <v:imagedata r:id="rId188" o:title=""/>
            <o:lock v:ext="edit" aspectratio="t"/>
            <w10:wrap type="none"/>
            <w10:anchorlock/>
          </v:shape>
          <o:OLEObject Type="Embed" ProgID="Equation.KSEE3" ShapeID="_x0000_i1128" DrawAspect="Content" ObjectID="_1468075817" r:id="rId187">
            <o:LockedField>false</o:LockedField>
          </o:OLEObject>
        </w:object>
      </w:r>
    </w:p>
    <w:p w14:paraId="4C419F7D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第一个窗口为 2023—2025，因此设 2023 年地块 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129" o:spt="75" type="#_x0000_t75" style="height:13pt;width:6.95pt;" o:ole="t" filled="f" o:preferrelative="t" stroked="f" coordsize="21600,21600">
            <v:fill on="f" focussize="0,0"/>
            <v:stroke on="f"/>
            <v:imagedata r:id="rId190" o:title=""/>
            <o:lock v:ext="edit" aspectratio="t"/>
            <w10:wrap type="none"/>
            <w10:anchorlock/>
          </v:shape>
          <o:OLEObject Type="Embed" ProgID="Equation.KSEE3" ShapeID="_x0000_i1129" DrawAspect="Content" ObjectID="_1468075818" r:id="rId189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 xml:space="preserve"> 已种豆类面积为 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130" o:spt="75" type="#_x0000_t75" style="height:19pt;width:26pt;" o:ole="t" filled="f" o:preferrelative="t" stroked="f" coordsize="21600,21600">
            <v:fill on="f" focussize="0,0"/>
            <v:stroke on="f"/>
            <v:imagedata r:id="rId192" o:title=""/>
            <o:lock v:ext="edit" aspectratio="t"/>
            <w10:wrap type="none"/>
            <w10:anchorlock/>
          </v:shape>
          <o:OLEObject Type="Embed" ProgID="Equation.KSEE3" ShapeID="_x0000_i1130" DrawAspect="Content" ObjectID="_1468075819" r:id="rId191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，有</w:t>
      </w:r>
    </w:p>
    <w:p w14:paraId="10359087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32"/>
          <w:sz w:val="24"/>
          <w:szCs w:val="24"/>
          <w:lang w:eastAsia="zh-CN"/>
        </w:rPr>
        <w:object>
          <v:shape id="_x0000_i1131" o:spt="75" type="#_x0000_t75" style="height:36pt;width:132.95pt;" o:ole="t" filled="f" o:preferrelative="t" stroked="f" coordsize="21600,21600">
            <v:fill on="f" focussize="0,0"/>
            <v:stroke on="f"/>
            <v:imagedata r:id="rId194" o:title=""/>
            <o:lock v:ext="edit" aspectratio="t"/>
            <w10:wrap type="none"/>
            <w10:anchorlock/>
          </v:shape>
          <o:OLEObject Type="Embed" ProgID="Equation.KSEE3" ShapeID="_x0000_i1131" DrawAspect="Content" ObjectID="_1468075820" r:id="rId193">
            <o:LockedField>false</o:LockedField>
          </o:OLEObject>
        </w:object>
      </w:r>
      <w:bookmarkStart w:id="0" w:name="_GoBack"/>
      <w:bookmarkEnd w:id="0"/>
    </w:p>
    <w:p w14:paraId="2950DF6F">
      <w:pPr>
        <w:pStyle w:val="2"/>
        <w:keepNext w:val="0"/>
        <w:keepLines w:val="0"/>
        <w:widowControl/>
        <w:suppressLineNumbers w:val="0"/>
      </w:pPr>
      <w:r>
        <w:t>至此，随机情景、CVaR 风险项以及土地种植约束均可以写成线性形式，整个问题可以转化为混合整数线性规划模型。</w:t>
      </w:r>
    </w:p>
    <w:p w14:paraId="18DED13F">
      <w:pPr>
        <w:pStyle w:val="2"/>
        <w:keepNext w:val="0"/>
        <w:keepLines w:val="0"/>
        <w:widowControl/>
        <w:suppressLineNumbers w:val="0"/>
      </w:pPr>
      <w:r>
        <w:t>5.4.8 算法求解步骤</w:t>
      </w:r>
    </w:p>
    <w:p w14:paraId="3F2011D4">
      <w:pPr>
        <w:pStyle w:val="2"/>
        <w:keepNext w:val="0"/>
        <w:keepLines w:val="0"/>
        <w:widowControl/>
        <w:suppressLineNumbers w:val="0"/>
      </w:pPr>
      <w:r>
        <w:t>模型使用 MATLAB 编程实现，并调用 intlinprog 求解混合整数线性规划。实际程序按照以下步骤运行。</w:t>
      </w:r>
    </w:p>
    <w:p w14:paraId="1217725E">
      <w:pPr>
        <w:pStyle w:val="2"/>
        <w:keepNext w:val="0"/>
        <w:keepLines w:val="0"/>
        <w:widowControl/>
        <w:suppressLineNumbers w:val="0"/>
      </w:pPr>
      <w:r>
        <w:t>Step 1　读取基础数据</w:t>
      </w:r>
    </w:p>
    <w:p w14:paraId="2C98AA5E">
      <w:pPr>
        <w:pStyle w:val="2"/>
        <w:keepNext w:val="0"/>
        <w:keepLines w:val="0"/>
        <w:widowControl/>
        <w:suppressLineNumbers w:val="0"/>
      </w:pPr>
      <w:r>
        <w:t>读取附件1中的 54 个地块信息和 41 种农作物信息，包括地块名称、土地类型、地块面积以及作物编号等。读取附件2中的 2023 年实际种植面积、亩产量、单位面积种植成本和销售价格。</w:t>
      </w:r>
    </w:p>
    <w:p w14:paraId="19A64976">
      <w:pPr>
        <w:pStyle w:val="2"/>
        <w:keepNext w:val="0"/>
        <w:keepLines w:val="0"/>
        <w:widowControl/>
        <w:suppressLineNumbers w:val="0"/>
      </w:pPr>
      <w:r>
        <w:t>对于价格区间，继续采用问题一的处理方式，取区间中点作为 2023 年销售价格代表值。对于智慧大棚第一季缺少的参数，根据附件说明采用普通大棚第一季相应作物参数。</w:t>
      </w:r>
    </w:p>
    <w:p w14:paraId="319007A2">
      <w:pPr>
        <w:pStyle w:val="2"/>
        <w:keepNext w:val="0"/>
        <w:keepLines w:val="0"/>
        <w:widowControl/>
        <w:suppressLineNumbers w:val="0"/>
      </w:pPr>
      <w:r>
        <w:t>Step 2　筛选可行种植组合</w:t>
      </w:r>
    </w:p>
    <w:p w14:paraId="180E74F9">
      <w:pPr>
        <w:pStyle w:val="2"/>
        <w:keepNext w:val="0"/>
        <w:keepLines w:val="0"/>
        <w:widowControl/>
        <w:suppressLineNumbers w:val="0"/>
      </w:pPr>
      <w:r>
        <w:t>依据土地类型、作物种类和种植季节的适种关系，筛除不允许种植的“地块—作物—季节”组合。</w:t>
      </w:r>
    </w:p>
    <w:p w14:paraId="5B7F361F">
      <w:pPr>
        <w:pStyle w:val="2"/>
        <w:keepNext w:val="0"/>
        <w:keepLines w:val="0"/>
        <w:widowControl/>
        <w:suppressLineNumbers w:val="0"/>
      </w:pPr>
      <w:r>
        <w:t>经过筛选后，每一年共有 1062 个可行种植单元，并形成 59 个能够产生销售量的“作物—季节”组合。程序只对这些可行组合建立变量，以减少不必要的变量规模。</w:t>
      </w:r>
    </w:p>
    <w:p w14:paraId="0CA2A750">
      <w:pPr>
        <w:pStyle w:val="2"/>
        <w:keepNext w:val="0"/>
        <w:keepLines w:val="0"/>
        <w:widowControl/>
        <w:suppressLineNumbers w:val="0"/>
      </w:pPr>
      <w:r>
        <w:t>Step 3　计算 2023 年销售量基准</w:t>
      </w:r>
    </w:p>
    <w:p w14:paraId="2B259AB7">
      <w:pPr>
        <w:pStyle w:val="2"/>
        <w:keepNext w:val="0"/>
        <w:keepLines w:val="0"/>
        <w:widowControl/>
        <w:suppressLineNumbers w:val="0"/>
      </w:pPr>
      <w:r>
        <w:t>将 2023 年实际种植面积与相应亩产量相乘，并按照作物编号进行汇总，得到各作物的销售量基准 D_j^(0)。</w:t>
      </w:r>
    </w:p>
    <w:p w14:paraId="5E0002AA">
      <w:pPr>
        <w:pStyle w:val="2"/>
        <w:keepNext w:val="0"/>
        <w:keepLines w:val="0"/>
        <w:widowControl/>
        <w:suppressLineNumbers w:val="0"/>
      </w:pPr>
      <w:r>
        <w:t>同时保存 2023 年实际种植情况，用于建立 2023—2024 年之间的连续重茬约束以及 2023—2025 年第一个豆类轮作窗口。</w:t>
      </w:r>
    </w:p>
    <w:p w14:paraId="769197E1">
      <w:pPr>
        <w:pStyle w:val="2"/>
        <w:keepNext w:val="0"/>
        <w:keepLines w:val="0"/>
        <w:widowControl/>
        <w:suppressLineNumbers w:val="0"/>
      </w:pPr>
      <w:r>
        <w:t>Step 4　生成蒙特卡洛情景</w:t>
      </w:r>
    </w:p>
    <w:p w14:paraId="1A62EC6D">
      <w:pPr>
        <w:pStyle w:val="2"/>
        <w:keepNext w:val="0"/>
        <w:keepLines w:val="0"/>
        <w:widowControl/>
        <w:suppressLineNumbers w:val="0"/>
      </w:pPr>
      <w:r>
        <w:t>固定随机种子为 2024，生成 K = 30 组未来情景。</w:t>
      </w:r>
    </w:p>
    <w:p w14:paraId="5E35F5B4">
      <w:pPr>
        <w:pStyle w:val="2"/>
        <w:keepNext w:val="0"/>
        <w:keepLines w:val="0"/>
        <w:widowControl/>
        <w:suppressLineNumbers w:val="0"/>
      </w:pPr>
      <w:r>
        <w:t>其中，小麦和玉米的预期销售量按照 5%～10% 的随机年增长率逐年递推；其他作物销售量在 2023 年水平 ±5% 范围内随机变化；亩产量在基准值 ±10% 范围内随机变化；食用菌价格按照给定下降范围随机递推。</w:t>
      </w:r>
    </w:p>
    <w:p w14:paraId="5E2ED6E8">
      <w:pPr>
        <w:pStyle w:val="2"/>
        <w:keepNext w:val="0"/>
        <w:keepLines w:val="0"/>
        <w:widowControl/>
        <w:suppressLineNumbers w:val="0"/>
      </w:pPr>
      <w:r>
        <w:t>种植成本和蔬菜价格则分别按照每年增长 5% 的确定趋势计算。</w:t>
      </w:r>
    </w:p>
    <w:p w14:paraId="142D8F79">
      <w:pPr>
        <w:pStyle w:val="2"/>
        <w:keepNext w:val="0"/>
        <w:keepLines w:val="0"/>
        <w:widowControl/>
        <w:suppressLineNumbers w:val="0"/>
      </w:pPr>
      <w:r>
        <w:t>Step 5　建立变量编号</w:t>
      </w:r>
    </w:p>
    <w:p w14:paraId="25A1AD71">
      <w:pPr>
        <w:pStyle w:val="2"/>
        <w:keepNext w:val="0"/>
        <w:keepLines w:val="0"/>
        <w:widowControl/>
        <w:suppressLineNumbers w:val="0"/>
      </w:pPr>
      <w:r>
        <w:t>程序将多维变量统一转换为一维决策向量。</w:t>
      </w:r>
    </w:p>
    <w:p w14:paraId="33C05897">
      <w:pPr>
        <w:pStyle w:val="2"/>
        <w:keepNext w:val="0"/>
        <w:keepLines w:val="0"/>
        <w:widowControl/>
        <w:suppressLineNumbers w:val="0"/>
      </w:pPr>
      <w:r>
        <w:t>种植面积变量 x 共 7434 个；</w:t>
      </w:r>
    </w:p>
    <w:p w14:paraId="62BBB87C">
      <w:pPr>
        <w:pStyle w:val="2"/>
        <w:keepNext w:val="0"/>
        <w:keepLines w:val="0"/>
        <w:widowControl/>
        <w:suppressLineNumbers w:val="0"/>
      </w:pPr>
      <w:r>
        <w:t>0-1 种植状态变量 y 共 7434 个；</w:t>
      </w:r>
    </w:p>
    <w:p w14:paraId="502A851C">
      <w:pPr>
        <w:pStyle w:val="2"/>
        <w:keepNext w:val="0"/>
        <w:keepLines w:val="0"/>
        <w:widowControl/>
        <w:suppressLineNumbers w:val="0"/>
      </w:pPr>
      <w:r>
        <w:t>水浇地模式变量 z 共 56 个；</w:t>
      </w:r>
    </w:p>
    <w:p w14:paraId="50AA7CA8">
      <w:pPr>
        <w:pStyle w:val="2"/>
        <w:keepNext w:val="0"/>
        <w:keepLines w:val="0"/>
        <w:widowControl/>
        <w:suppressLineNumbers w:val="0"/>
      </w:pPr>
      <w:r>
        <w:t>30 个蒙特卡洛情景对应的销售量变量 u 共 12390 个；</w:t>
      </w:r>
    </w:p>
    <w:p w14:paraId="79B796A0">
      <w:pPr>
        <w:pStyle w:val="2"/>
        <w:keepNext w:val="0"/>
        <w:keepLines w:val="0"/>
        <w:widowControl/>
        <w:suppressLineNumbers w:val="0"/>
      </w:pPr>
      <w:r>
        <w:t>CVaR 部分包括 1 个 η 变量和 30 个 ξ_k 变量。</w:t>
      </w:r>
    </w:p>
    <w:p w14:paraId="566BC0CB">
      <w:pPr>
        <w:pStyle w:val="2"/>
        <w:keepNext w:val="0"/>
        <w:keepLines w:val="0"/>
        <w:widowControl/>
        <w:suppressLineNumbers w:val="0"/>
      </w:pPr>
      <w:r>
        <w:t>因此模型总变量数为：</w:t>
      </w:r>
    </w:p>
    <w:p w14:paraId="4CC340EC">
      <w:pPr>
        <w:pStyle w:val="2"/>
        <w:keepNext w:val="0"/>
        <w:keepLines w:val="0"/>
        <w:widowControl/>
        <w:suppressLineNumbers w:val="0"/>
      </w:pPr>
      <w:r>
        <w:t>27345</w:t>
      </w:r>
    </w:p>
    <w:p w14:paraId="5DFAFF0A">
      <w:pPr>
        <w:pStyle w:val="2"/>
        <w:keepNext w:val="0"/>
        <w:keepLines w:val="0"/>
        <w:widowControl/>
        <w:suppressLineNumbers w:val="0"/>
      </w:pPr>
      <w:r>
        <w:t>其中整数变量为：</w:t>
      </w:r>
    </w:p>
    <w:p w14:paraId="724553C2">
      <w:pPr>
        <w:pStyle w:val="2"/>
        <w:keepNext w:val="0"/>
        <w:keepLines w:val="0"/>
        <w:widowControl/>
        <w:suppressLineNumbers w:val="0"/>
      </w:pPr>
      <w:r>
        <w:t>7490</w:t>
      </w:r>
    </w:p>
    <w:p w14:paraId="524C662B">
      <w:pPr>
        <w:pStyle w:val="2"/>
        <w:keepNext w:val="0"/>
        <w:keepLines w:val="0"/>
        <w:widowControl/>
        <w:suppressLineNumbers w:val="0"/>
      </w:pPr>
      <w:r>
        <w:t>Step 6　建立约束矩阵</w:t>
      </w:r>
    </w:p>
    <w:p w14:paraId="2421EBCA">
      <w:pPr>
        <w:pStyle w:val="2"/>
        <w:keepNext w:val="0"/>
        <w:keepLines w:val="0"/>
        <w:widowControl/>
        <w:suppressLineNumbers w:val="0"/>
      </w:pPr>
      <w:r>
        <w:t>依次加入种植面积与 0-1 状态变量关联约束、不同土地类型的面积约束、水浇地种植模式约束、普通大棚和智慧大棚约束、种植集中程度约束、连续重茬约束以及三年豆类轮作约束。</w:t>
      </w:r>
    </w:p>
    <w:p w14:paraId="7C01875B">
      <w:pPr>
        <w:pStyle w:val="2"/>
        <w:keepNext w:val="0"/>
        <w:keepLines w:val="0"/>
        <w:widowControl/>
        <w:suppressLineNumbers w:val="0"/>
      </w:pPr>
      <w:r>
        <w:t>之后针对 30 个随机情景分别建立产量与销售量关系，并加入 CVaR 尾部风险约束。</w:t>
      </w:r>
    </w:p>
    <w:p w14:paraId="04E74DEE">
      <w:pPr>
        <w:pStyle w:val="2"/>
        <w:keepNext w:val="0"/>
        <w:keepLines w:val="0"/>
        <w:widowControl/>
        <w:suppressLineNumbers w:val="0"/>
      </w:pPr>
      <w:r>
        <w:t>最终模型包含：</w:t>
      </w:r>
    </w:p>
    <w:p w14:paraId="4426E33C">
      <w:pPr>
        <w:pStyle w:val="2"/>
        <w:keepNext w:val="0"/>
        <w:keepLines w:val="0"/>
        <w:widowControl/>
        <w:suppressLineNumbers w:val="0"/>
      </w:pPr>
      <w:r>
        <w:t>不等式约束 31385 个；</w:t>
      </w:r>
    </w:p>
    <w:p w14:paraId="3588E68B">
      <w:pPr>
        <w:pStyle w:val="2"/>
        <w:keepNext w:val="0"/>
        <w:keepLines w:val="0"/>
        <w:widowControl/>
        <w:suppressLineNumbers w:val="0"/>
      </w:pPr>
      <w:r>
        <w:t>等式约束 686 个。</w:t>
      </w:r>
    </w:p>
    <w:p w14:paraId="0A3AFDF3">
      <w:pPr>
        <w:pStyle w:val="2"/>
        <w:keepNext w:val="0"/>
        <w:keepLines w:val="0"/>
        <w:widowControl/>
        <w:suppressLineNumbers w:val="0"/>
      </w:pPr>
      <w:r>
        <w:t>为降低大型矩阵的内存占用，程序采用稀疏矩阵形式存储约束系数。</w:t>
      </w:r>
    </w:p>
    <w:p w14:paraId="78E420AA">
      <w:pPr>
        <w:pStyle w:val="2"/>
        <w:keepNext w:val="0"/>
        <w:keepLines w:val="0"/>
        <w:widowControl/>
        <w:suppressLineNumbers w:val="0"/>
      </w:pPr>
      <w:r>
        <w:t>Step 7　转换目标函数</w:t>
      </w:r>
    </w:p>
    <w:p w14:paraId="6FA4E544">
      <w:pPr>
        <w:pStyle w:val="2"/>
        <w:keepNext w:val="0"/>
        <w:keepLines w:val="0"/>
        <w:widowControl/>
        <w:suppressLineNumbers w:val="0"/>
      </w:pPr>
      <w:r>
        <w:t>MATLAB 中 intlinprog 默认求解最小化问题，因此将原最大化目标等价转化为：</w:t>
      </w:r>
    </w:p>
    <w:p w14:paraId="60AF4BEB">
      <w:pPr>
        <w:pStyle w:val="2"/>
        <w:keepNext w:val="0"/>
        <w:keepLines w:val="0"/>
        <w:widowControl/>
        <w:suppressLineNumbers w:val="0"/>
      </w:pPr>
      <w:r>
        <w:t>min [C - E(R)</w:t>
      </w:r>
      <w:r>
        <w:br w:type="textWrapping"/>
      </w:r>
      <w:r>
        <w:t>+ λη</w:t>
      </w:r>
      <w:r>
        <w:br w:type="textWrapping"/>
      </w:r>
      <w:r>
        <w:t>+ λ / ((1-β)K) × Σ_k ξ_k]　　　　（44）</w:t>
      </w:r>
    </w:p>
    <w:p w14:paraId="0C61CA0D">
      <w:pPr>
        <w:pStyle w:val="2"/>
        <w:keepNext w:val="0"/>
        <w:keepLines w:val="0"/>
        <w:widowControl/>
        <w:suppressLineNumbers w:val="0"/>
      </w:pPr>
      <w:r>
        <w:t>这一转换仅改变求解形式，与原来的平均利润和 CVaR 风险权衡目标完全等价。</w:t>
      </w:r>
    </w:p>
    <w:p w14:paraId="4C86536D">
      <w:pPr>
        <w:pStyle w:val="2"/>
        <w:keepNext w:val="0"/>
        <w:keepLines w:val="0"/>
        <w:widowControl/>
        <w:suppressLineNumbers w:val="0"/>
      </w:pPr>
      <w:r>
        <w:t>Step 8　调用求解器</w:t>
      </w:r>
    </w:p>
    <w:p w14:paraId="1357FDA2">
      <w:pPr>
        <w:pStyle w:val="2"/>
        <w:keepNext w:val="0"/>
        <w:keepLines w:val="0"/>
        <w:widowControl/>
        <w:suppressLineNumbers w:val="0"/>
      </w:pPr>
      <w:r>
        <w:t>程序设置最大运行时间为：</w:t>
      </w:r>
    </w:p>
    <w:p w14:paraId="765C0250">
      <w:pPr>
        <w:pStyle w:val="2"/>
        <w:keepNext w:val="0"/>
        <w:keepLines w:val="0"/>
        <w:widowControl/>
        <w:suppressLineNumbers w:val="0"/>
      </w:pPr>
      <w:r>
        <w:t>900 s</w:t>
      </w:r>
    </w:p>
    <w:p w14:paraId="4509C1DF">
      <w:pPr>
        <w:pStyle w:val="2"/>
        <w:keepNext w:val="0"/>
        <w:keepLines w:val="0"/>
        <w:widowControl/>
        <w:suppressLineNumbers w:val="0"/>
      </w:pPr>
      <w:r>
        <w:t>相对最优间隙容许值为：</w:t>
      </w:r>
    </w:p>
    <w:p w14:paraId="0B1A7E06">
      <w:pPr>
        <w:pStyle w:val="2"/>
        <w:keepNext w:val="0"/>
        <w:keepLines w:val="0"/>
        <w:widowControl/>
        <w:suppressLineNumbers w:val="0"/>
      </w:pPr>
      <w:r>
        <w:t>2%</w:t>
      </w:r>
    </w:p>
    <w:p w14:paraId="210486B7">
      <w:pPr>
        <w:pStyle w:val="2"/>
        <w:keepNext w:val="0"/>
        <w:keepLines w:val="0"/>
        <w:widowControl/>
        <w:suppressLineNumbers w:val="0"/>
      </w:pPr>
      <w:r>
        <w:t>本次计算实际耗时约：</w:t>
      </w:r>
    </w:p>
    <w:p w14:paraId="40260C7D">
      <w:pPr>
        <w:pStyle w:val="2"/>
        <w:keepNext w:val="0"/>
        <w:keepLines w:val="0"/>
        <w:widowControl/>
        <w:suppressLineNumbers w:val="0"/>
      </w:pPr>
      <w:r>
        <w:t>213.5 s</w:t>
      </w:r>
    </w:p>
    <w:p w14:paraId="3AE0AE0A">
      <w:pPr>
        <w:pStyle w:val="2"/>
        <w:keepNext w:val="0"/>
        <w:keepLines w:val="0"/>
        <w:widowControl/>
        <w:suppressLineNumbers w:val="0"/>
      </w:pPr>
      <w:r>
        <w:t>求解结束时：</w:t>
      </w:r>
    </w:p>
    <w:p w14:paraId="492D6C2D">
      <w:pPr>
        <w:pStyle w:val="2"/>
        <w:keepNext w:val="0"/>
        <w:keepLines w:val="0"/>
        <w:widowControl/>
        <w:suppressLineNumbers w:val="0"/>
      </w:pPr>
      <w:r>
        <w:t>exitflag = 1</w:t>
      </w:r>
    </w:p>
    <w:p w14:paraId="54CB987B">
      <w:pPr>
        <w:pStyle w:val="2"/>
        <w:keepNext w:val="0"/>
        <w:keepLines w:val="0"/>
        <w:widowControl/>
        <w:suppressLineNumbers w:val="0"/>
      </w:pPr>
      <w:r>
        <w:t>最终相对间隙为：</w:t>
      </w:r>
    </w:p>
    <w:p w14:paraId="3746F24F">
      <w:pPr>
        <w:pStyle w:val="2"/>
        <w:keepNext w:val="0"/>
        <w:keepLines w:val="0"/>
        <w:widowControl/>
        <w:suppressLineNumbers w:val="0"/>
      </w:pPr>
      <w:r>
        <w:t>1.2317%</w:t>
      </w:r>
    </w:p>
    <w:p w14:paraId="275822D2">
      <w:pPr>
        <w:pStyle w:val="2"/>
        <w:keepNext w:val="0"/>
        <w:keepLines w:val="0"/>
        <w:widowControl/>
        <w:suppressLineNumbers w:val="0"/>
      </w:pPr>
      <w:r>
        <w:t>低于设定的 2% 停止条件，因此求解器在当前精度要求下完成求解。</w:t>
      </w:r>
    </w:p>
    <w:p w14:paraId="597E38DC">
      <w:pPr>
        <w:pStyle w:val="2"/>
        <w:keepNext w:val="0"/>
        <w:keepLines w:val="0"/>
        <w:widowControl/>
        <w:suppressLineNumbers w:val="0"/>
      </w:pPr>
      <w:r>
        <w:t>最后将一维决策结果恢复为“地块—作物—季节—年份”的种植面积矩阵，并将 2024—2030 年种植方案写入 result2_MATLAB_CVaR.xlsx。</w:t>
      </w:r>
    </w:p>
    <w:p w14:paraId="61BDA06A">
      <w:pPr>
        <w:pStyle w:val="2"/>
        <w:keepNext w:val="0"/>
        <w:keepLines w:val="0"/>
        <w:widowControl/>
        <w:suppressLineNumbers w:val="0"/>
      </w:pPr>
      <w:r>
        <w:t>5.4.9 结果分析</w:t>
      </w:r>
    </w:p>
    <w:p w14:paraId="087F91DF">
      <w:pPr>
        <w:pStyle w:val="2"/>
        <w:keepNext w:val="0"/>
        <w:keepLines w:val="0"/>
        <w:widowControl/>
        <w:suppressLineNumbers w:val="0"/>
      </w:pPr>
      <w:r>
        <w:t>在 30 个蒙特卡洛情景下，同一套种植方案得到的 2024—2030 年累计利润存在一定差异。程序计算得到的主要风险和收益指标如下。</w:t>
      </w:r>
    </w:p>
    <w:p w14:paraId="22C53A9D">
      <w:pPr>
        <w:pStyle w:val="2"/>
        <w:keepNext w:val="0"/>
        <w:keepLines w:val="0"/>
        <w:widowControl/>
        <w:suppressLineNumbers w:val="0"/>
      </w:pPr>
      <w:r>
        <w:t>情景平均七年利润：4244.3047 万元；</w:t>
      </w:r>
    </w:p>
    <w:p w14:paraId="17A4D0E6">
      <w:pPr>
        <w:pStyle w:val="2"/>
        <w:keepNext w:val="0"/>
        <w:keepLines w:val="0"/>
        <w:widowControl/>
        <w:suppressLineNumbers w:val="0"/>
      </w:pPr>
      <w:r>
        <w:t>七年利润中位数：4250.4792 万元；</w:t>
      </w:r>
    </w:p>
    <w:p w14:paraId="414C1DB6">
      <w:pPr>
        <w:pStyle w:val="2"/>
        <w:keepNext w:val="0"/>
        <w:keepLines w:val="0"/>
        <w:widowControl/>
        <w:suppressLineNumbers w:val="0"/>
      </w:pPr>
      <w:r>
        <w:t>七年利润标准差：22.0830 万元；</w:t>
      </w:r>
    </w:p>
    <w:p w14:paraId="0136E1CC">
      <w:pPr>
        <w:pStyle w:val="2"/>
        <w:keepNext w:val="0"/>
        <w:keepLines w:val="0"/>
        <w:widowControl/>
        <w:suppressLineNumbers w:val="0"/>
      </w:pPr>
      <w:r>
        <w:t>最差情景七年利润：4188.1337 万元；</w:t>
      </w:r>
    </w:p>
    <w:p w14:paraId="7242E25D">
      <w:pPr>
        <w:pStyle w:val="2"/>
        <w:keepNext w:val="0"/>
        <w:keepLines w:val="0"/>
        <w:widowControl/>
        <w:suppressLineNumbers w:val="0"/>
      </w:pPr>
      <w:r>
        <w:t>最好情景七年利润：4274.0898 万元；</w:t>
      </w:r>
    </w:p>
    <w:p w14:paraId="16598B63">
      <w:pPr>
        <w:pStyle w:val="2"/>
        <w:keepNext w:val="0"/>
        <w:keepLines w:val="0"/>
        <w:widowControl/>
        <w:suppressLineNumbers w:val="0"/>
      </w:pPr>
      <w:r>
        <w:t>下行 CVaR 利润水平：4199.1566 万元。</w:t>
      </w:r>
    </w:p>
    <w:p w14:paraId="16B836BC">
      <w:pPr>
        <w:pStyle w:val="2"/>
        <w:keepNext w:val="0"/>
        <w:keepLines w:val="0"/>
        <w:widowControl/>
        <w:suppressLineNumbers w:val="0"/>
      </w:pPr>
      <w:r>
        <w:t>30 个情景的平均七年利润为：</w:t>
      </w:r>
    </w:p>
    <w:p w14:paraId="05060311">
      <w:pPr>
        <w:pStyle w:val="2"/>
        <w:keepNext w:val="0"/>
        <w:keepLines w:val="0"/>
        <w:widowControl/>
        <w:suppressLineNumbers w:val="0"/>
      </w:pPr>
      <w:r>
        <w:t>4244.3047 万元</w:t>
      </w:r>
    </w:p>
    <w:p w14:paraId="52856CAD">
      <w:pPr>
        <w:pStyle w:val="2"/>
        <w:keepNext w:val="0"/>
        <w:keepLines w:val="0"/>
        <w:widowControl/>
        <w:suppressLineNumbers w:val="0"/>
      </w:pPr>
      <w:r>
        <w:t>中位数为：</w:t>
      </w:r>
    </w:p>
    <w:p w14:paraId="19D8CCCD">
      <w:pPr>
        <w:pStyle w:val="2"/>
        <w:keepNext w:val="0"/>
        <w:keepLines w:val="0"/>
        <w:widowControl/>
        <w:suppressLineNumbers w:val="0"/>
      </w:pPr>
      <w:r>
        <w:t>4250.4792 万元</w:t>
      </w:r>
    </w:p>
    <w:p w14:paraId="72547A27">
      <w:pPr>
        <w:pStyle w:val="2"/>
        <w:keepNext w:val="0"/>
        <w:keepLines w:val="0"/>
        <w:widowControl/>
        <w:suppressLineNumbers w:val="0"/>
      </w:pPr>
      <w:r>
        <w:t>二者差异较小。情景利润标准差为 22.0830 万元，其占平均利润的比例约为：</w:t>
      </w:r>
    </w:p>
    <w:p w14:paraId="04CCB0AF">
      <w:pPr>
        <w:pStyle w:val="2"/>
        <w:keepNext w:val="0"/>
        <w:keepLines w:val="0"/>
        <w:widowControl/>
        <w:suppressLineNumbers w:val="0"/>
      </w:pPr>
      <w:r>
        <w:t>22.0830 / 4244.3047 × 100% ≈ 0.52%</w:t>
      </w:r>
    </w:p>
    <w:p w14:paraId="1DA5EE00">
      <w:pPr>
        <w:pStyle w:val="2"/>
        <w:keepNext w:val="0"/>
        <w:keepLines w:val="0"/>
        <w:widowControl/>
        <w:suppressLineNumbers w:val="0"/>
      </w:pPr>
      <w:r>
        <w:t>说明在当前随机参数范围和种植方案下，30 个情景之间的七年累计收益存在一定差异，但整体波动幅度相对于平均利润较小。</w:t>
      </w:r>
    </w:p>
    <w:p w14:paraId="2E91CC47">
      <w:pPr>
        <w:pStyle w:val="2"/>
        <w:keepNext w:val="0"/>
        <w:keepLines w:val="0"/>
        <w:widowControl/>
        <w:suppressLineNumbers w:val="0"/>
      </w:pPr>
      <w:r>
        <w:t>样本中最差情景的累计利润为 4188.1337 万元，最好情景为 4274.0898 万元，两者相差约 85.96 万元。从蒙特卡洛情景利润排序图可以看到，大多数情景的累计利润集中在 4200 万元以上，较低收益主要集中在排序前端的少数情景中。因此，采用 CVaR 重点处理低收益尾部，与本问考虑潜在种植风险的要求相符。</w:t>
      </w:r>
    </w:p>
    <w:p w14:paraId="2F38D1B4">
      <w:pPr>
        <w:pStyle w:val="2"/>
        <w:keepNext w:val="0"/>
        <w:keepLines w:val="0"/>
        <w:widowControl/>
        <w:suppressLineNumbers w:val="0"/>
      </w:pPr>
      <w:r>
        <w:t>在 β = 0.90 的条件下，下行 CVaR 利润水平为：</w:t>
      </w:r>
    </w:p>
    <w:p w14:paraId="2176E626">
      <w:pPr>
        <w:pStyle w:val="2"/>
        <w:keepNext w:val="0"/>
        <w:keepLines w:val="0"/>
        <w:widowControl/>
        <w:suppressLineNumbers w:val="0"/>
      </w:pPr>
      <w:r>
        <w:t>4199.1566 万元</w:t>
      </w:r>
    </w:p>
    <w:p w14:paraId="5F928E6F">
      <w:pPr>
        <w:pStyle w:val="2"/>
        <w:keepNext w:val="0"/>
        <w:keepLines w:val="0"/>
        <w:widowControl/>
        <w:suppressLineNumbers w:val="0"/>
      </w:pPr>
      <w:r>
        <w:t>与平均利润相比低约：</w:t>
      </w:r>
    </w:p>
    <w:p w14:paraId="0FCE2CF9">
      <w:pPr>
        <w:pStyle w:val="2"/>
        <w:keepNext w:val="0"/>
        <w:keepLines w:val="0"/>
        <w:widowControl/>
        <w:suppressLineNumbers w:val="0"/>
      </w:pPr>
      <w:r>
        <w:t>4244.3047 - 4199.1566 = 45.1481 万元</w:t>
      </w:r>
    </w:p>
    <w:p w14:paraId="708B8174">
      <w:pPr>
        <w:pStyle w:val="2"/>
        <w:keepNext w:val="0"/>
        <w:keepLines w:val="0"/>
        <w:widowControl/>
        <w:suppressLineNumbers w:val="0"/>
      </w:pPr>
      <w:r>
        <w:t>该数值高于样本中的最低利润 4188.1337 万元。CVaR 并不是只反映单个最差情景，而是综合评价低收益尾部的若干情景，因此可以避免模型过度依赖某一个偶然出现的极端随机样本。</w:t>
      </w:r>
    </w:p>
    <w:p w14:paraId="4DCD1A49">
      <w:pPr>
        <w:pStyle w:val="2"/>
        <w:keepNext w:val="0"/>
        <w:keepLines w:val="0"/>
        <w:widowControl/>
        <w:suppressLineNumbers w:val="0"/>
      </w:pPr>
      <w:r>
        <w:t>各年度期望利润分别为：</w:t>
      </w:r>
    </w:p>
    <w:p w14:paraId="07C4C4A1">
      <w:pPr>
        <w:pStyle w:val="2"/>
        <w:keepNext w:val="0"/>
        <w:keepLines w:val="0"/>
        <w:widowControl/>
        <w:suppressLineNumbers w:val="0"/>
      </w:pPr>
      <w:r>
        <w:t>2024 年：582.90 万元；</w:t>
      </w:r>
    </w:p>
    <w:p w14:paraId="37E9172B">
      <w:pPr>
        <w:pStyle w:val="2"/>
        <w:keepNext w:val="0"/>
        <w:keepLines w:val="0"/>
        <w:widowControl/>
        <w:suppressLineNumbers w:val="0"/>
      </w:pPr>
      <w:r>
        <w:t>2025 年：584.79 万元；</w:t>
      </w:r>
    </w:p>
    <w:p w14:paraId="0975E77F">
      <w:pPr>
        <w:pStyle w:val="2"/>
        <w:keepNext w:val="0"/>
        <w:keepLines w:val="0"/>
        <w:widowControl/>
        <w:suppressLineNumbers w:val="0"/>
      </w:pPr>
      <w:r>
        <w:t>2026 年：609.49 万元；</w:t>
      </w:r>
    </w:p>
    <w:p w14:paraId="53577B56">
      <w:pPr>
        <w:pStyle w:val="2"/>
        <w:keepNext w:val="0"/>
        <w:keepLines w:val="0"/>
        <w:widowControl/>
        <w:suppressLineNumbers w:val="0"/>
      </w:pPr>
      <w:r>
        <w:t>2027 年：610.50 万元；</w:t>
      </w:r>
    </w:p>
    <w:p w14:paraId="4DB6254D">
      <w:pPr>
        <w:pStyle w:val="2"/>
        <w:keepNext w:val="0"/>
        <w:keepLines w:val="0"/>
        <w:widowControl/>
        <w:suppressLineNumbers w:val="0"/>
      </w:pPr>
      <w:r>
        <w:t>2028 年：606.33 万元；</w:t>
      </w:r>
    </w:p>
    <w:p w14:paraId="2CB33C1C">
      <w:pPr>
        <w:pStyle w:val="2"/>
        <w:keepNext w:val="0"/>
        <w:keepLines w:val="0"/>
        <w:widowControl/>
        <w:suppressLineNumbers w:val="0"/>
      </w:pPr>
      <w:r>
        <w:t>2029 年：619.13 万元；</w:t>
      </w:r>
    </w:p>
    <w:p w14:paraId="414B48AF">
      <w:pPr>
        <w:pStyle w:val="2"/>
        <w:keepNext w:val="0"/>
        <w:keepLines w:val="0"/>
        <w:widowControl/>
        <w:suppressLineNumbers w:val="0"/>
      </w:pPr>
      <w:r>
        <w:t>2030 年：631.17 万元。</w:t>
      </w:r>
    </w:p>
    <w:p w14:paraId="3AC3CEFB">
      <w:pPr>
        <w:pStyle w:val="2"/>
        <w:keepNext w:val="0"/>
        <w:keepLines w:val="0"/>
        <w:widowControl/>
        <w:suppressLineNumbers w:val="0"/>
      </w:pPr>
      <w:r>
        <w:t>可以看出，年度期望利润总体呈上升趋势，但并不是逐年严格增加。例如 2028 年的期望利润较 2027 年略有下降。这是因为本模型同时受到销售量变化、亩产量波动、成本上涨、销售价格变化以及轮作约束等多项因素影响，各年份的种植方案也会因前后年份的种植状态而发生调整。</w:t>
      </w:r>
    </w:p>
    <w:p w14:paraId="62932F68">
      <w:pPr>
        <w:pStyle w:val="2"/>
        <w:keepNext w:val="0"/>
        <w:keepLines w:val="0"/>
        <w:widowControl/>
        <w:suppressLineNumbers w:val="0"/>
      </w:pPr>
      <w:r>
        <w:t>从不确定性区间来看，2024 年利润的 5%～95% 情景区间为：</w:t>
      </w:r>
    </w:p>
    <w:p w14:paraId="1D43DDEC">
      <w:pPr>
        <w:pStyle w:val="2"/>
        <w:keepNext w:val="0"/>
        <w:keepLines w:val="0"/>
        <w:widowControl/>
        <w:suppressLineNumbers w:val="0"/>
      </w:pPr>
      <w:r>
        <w:t>576.68～591.88 万元</w:t>
      </w:r>
    </w:p>
    <w:p w14:paraId="0047D3B8">
      <w:pPr>
        <w:pStyle w:val="2"/>
        <w:keepNext w:val="0"/>
        <w:keepLines w:val="0"/>
        <w:widowControl/>
        <w:suppressLineNumbers w:val="0"/>
      </w:pPr>
      <w:r>
        <w:t>而 2030 年扩大为：</w:t>
      </w:r>
    </w:p>
    <w:p w14:paraId="28854A1F">
      <w:pPr>
        <w:pStyle w:val="2"/>
        <w:keepNext w:val="0"/>
        <w:keepLines w:val="0"/>
        <w:widowControl/>
        <w:suppressLineNumbers w:val="0"/>
      </w:pPr>
      <w:r>
        <w:t>619.63～643.62 万元</w:t>
      </w:r>
    </w:p>
    <w:p w14:paraId="2FC9B170">
      <w:pPr>
        <w:pStyle w:val="2"/>
        <w:keepNext w:val="0"/>
        <w:keepLines w:val="0"/>
        <w:widowControl/>
        <w:suppressLineNumbers w:val="0"/>
      </w:pPr>
      <w:r>
        <w:t>后期年份的利润区间相对更宽。这与情景生成方式有关，小麦和玉米的销售量以及部分食用菌销售价格均采用逐年递推，前期产生的随机变化会继续影响后续年份，因此随着规划期延长，不同随机情景之间的差异有所积累。</w:t>
      </w:r>
    </w:p>
    <w:p w14:paraId="2356B8BD">
      <w:pPr>
        <w:pStyle w:val="2"/>
        <w:keepNext w:val="0"/>
        <w:keepLines w:val="0"/>
        <w:widowControl/>
        <w:suppressLineNumbers w:val="0"/>
      </w:pPr>
      <w:r>
        <w:t>从最终种植结构来看，2024—2030 年累计种植面积较大的作物主要包括小麦、谷子、玉米、黄豆和绿豆。按作物类别统计，粮食非豆类和粮食豆类占据主要种植面积，蔬菜和食用菌所占面积相对较小。该结果与不同土地类型的面积构成以及豆类轮作要求有关。模型并未简单地选择单一高收益作物，而是在市场需求变化、土地适种条件和轮作要求之间进行综合配置。</w:t>
      </w:r>
    </w:p>
    <w:p w14:paraId="7E318C6E">
      <w:pPr>
        <w:pStyle w:val="2"/>
        <w:keepNext w:val="0"/>
        <w:keepLines w:val="0"/>
        <w:widowControl/>
        <w:suppressLineNumbers w:val="0"/>
      </w:pPr>
      <w:r>
        <w:t>程序计算得到的综合目标函数值为：</w:t>
      </w:r>
    </w:p>
    <w:p w14:paraId="18F90FC4">
      <w:pPr>
        <w:pStyle w:val="2"/>
        <w:keepNext w:val="0"/>
        <w:keepLines w:val="0"/>
        <w:widowControl/>
        <w:suppressLineNumbers w:val="0"/>
      </w:pPr>
      <w:r>
        <w:t>5084.1360 万元</w:t>
      </w:r>
    </w:p>
    <w:p w14:paraId="283DEAD3">
      <w:pPr>
        <w:pStyle w:val="2"/>
        <w:keepNext w:val="0"/>
        <w:keepLines w:val="0"/>
        <w:widowControl/>
        <w:suppressLineNumbers w:val="0"/>
      </w:pPr>
      <w:r>
        <w:t>该数值由平均利润和 CVaR 风险项共同组成。由于损失定义为 L_k = -Π_k，因此该综合目标函数值并不代表实际能够获得的七年经营利润。问题二中实际具有经济意义的主要结果仍应采用平均七年利润 4244.3047 万元、最差情景利润 4188.1337 万元以及下行 CVaR 利润 4199.1566 万元进行分析。</w:t>
      </w:r>
    </w:p>
    <w:p w14:paraId="7FA968C7">
      <w:pPr>
        <w:pStyle w:val="2"/>
        <w:keepNext w:val="0"/>
        <w:keepLines w:val="0"/>
        <w:widowControl/>
        <w:suppressLineNumbers w:val="0"/>
      </w:pPr>
      <w:r>
        <w:t>【需要核对的问题】</w:t>
      </w:r>
    </w:p>
    <w:p w14:paraId="6D61C2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240CBE">
      <w:pPr>
        <w:pStyle w:val="2"/>
        <w:keepNext w:val="0"/>
        <w:keepLines w:val="0"/>
        <w:widowControl/>
        <w:suppressLineNumbers w:val="0"/>
        <w:ind w:left="720"/>
      </w:pPr>
      <w:r>
        <w:t>当前模型使用 K = 30、β = 0.90、λ = 0.20，这些数值是本次计算采用的工作参数，目前尚未进行不同参数组合的对比。因此论文中不能写成“经过参数寻优得到最优值”。</w:t>
      </w:r>
    </w:p>
    <w:p w14:paraId="349EB7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F4799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60AB49">
      <w:pPr>
        <w:pStyle w:val="2"/>
        <w:keepNext w:val="0"/>
        <w:keepLines w:val="0"/>
        <w:widowControl/>
        <w:suppressLineNumbers w:val="0"/>
        <w:ind w:left="720"/>
      </w:pPr>
      <w:r>
        <w:t>当前代码仍沿用问题一的销售量处理口径，即将由 2023 年全年产量得到的 D_j^(0) 作为未来每一个可种植季节的正常销售量上限。如果后续决定将销售量改为全年统一限制，或者分别建立不同季节的销售量上限，则模型公式、MATLAB 程序及现有结果都需要同步修改。</w:t>
      </w:r>
    </w:p>
    <w:p w14:paraId="5BACF7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DB0B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0DB206"/>
    <w:multiLevelType w:val="singleLevel"/>
    <w:tmpl w:val="4C0DB206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5CEAC967"/>
    <w:multiLevelType w:val="multilevel"/>
    <w:tmpl w:val="5CEAC9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AE0272"/>
    <w:rsid w:val="04AE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6" Type="http://schemas.openxmlformats.org/officeDocument/2006/relationships/fontTable" Target="fontTable.xml"/><Relationship Id="rId195" Type="http://schemas.openxmlformats.org/officeDocument/2006/relationships/numbering" Target="numbering.xml"/><Relationship Id="rId194" Type="http://schemas.openxmlformats.org/officeDocument/2006/relationships/image" Target="media/image95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94.wmf"/><Relationship Id="rId191" Type="http://schemas.openxmlformats.org/officeDocument/2006/relationships/oleObject" Target="embeddings/oleObject95.bin"/><Relationship Id="rId190" Type="http://schemas.openxmlformats.org/officeDocument/2006/relationships/image" Target="media/image93.wmf"/><Relationship Id="rId19" Type="http://schemas.openxmlformats.org/officeDocument/2006/relationships/image" Target="media/image8.wmf"/><Relationship Id="rId189" Type="http://schemas.openxmlformats.org/officeDocument/2006/relationships/oleObject" Target="embeddings/oleObject94.bin"/><Relationship Id="rId188" Type="http://schemas.openxmlformats.org/officeDocument/2006/relationships/image" Target="media/image92.wmf"/><Relationship Id="rId187" Type="http://schemas.openxmlformats.org/officeDocument/2006/relationships/oleObject" Target="embeddings/oleObject93.bin"/><Relationship Id="rId186" Type="http://schemas.openxmlformats.org/officeDocument/2006/relationships/image" Target="media/image91.wmf"/><Relationship Id="rId185" Type="http://schemas.openxmlformats.org/officeDocument/2006/relationships/oleObject" Target="embeddings/oleObject92.bin"/><Relationship Id="rId184" Type="http://schemas.openxmlformats.org/officeDocument/2006/relationships/image" Target="media/image90.wmf"/><Relationship Id="rId183" Type="http://schemas.openxmlformats.org/officeDocument/2006/relationships/oleObject" Target="embeddings/oleObject91.bin"/><Relationship Id="rId182" Type="http://schemas.openxmlformats.org/officeDocument/2006/relationships/image" Target="media/image89.wmf"/><Relationship Id="rId181" Type="http://schemas.openxmlformats.org/officeDocument/2006/relationships/oleObject" Target="embeddings/oleObject90.bin"/><Relationship Id="rId180" Type="http://schemas.openxmlformats.org/officeDocument/2006/relationships/image" Target="media/image88.wmf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89.bin"/><Relationship Id="rId178" Type="http://schemas.openxmlformats.org/officeDocument/2006/relationships/image" Target="media/image87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6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5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3.wmf"/><Relationship Id="rId17" Type="http://schemas.openxmlformats.org/officeDocument/2006/relationships/image" Target="media/image7.wmf"/><Relationship Id="rId169" Type="http://schemas.openxmlformats.org/officeDocument/2006/relationships/oleObject" Target="embeddings/oleObject84.bin"/><Relationship Id="rId168" Type="http://schemas.openxmlformats.org/officeDocument/2006/relationships/image" Target="media/image82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9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8.wmf"/><Relationship Id="rId16" Type="http://schemas.openxmlformats.org/officeDocument/2006/relationships/oleObject" Target="embeddings/oleObject7.bin"/><Relationship Id="rId159" Type="http://schemas.openxmlformats.org/officeDocument/2006/relationships/oleObject" Target="embeddings/oleObject79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5.bin"/><Relationship Id="rId150" Type="http://schemas.openxmlformats.org/officeDocument/2006/relationships/oleObject" Target="embeddings/oleObject74.bin"/><Relationship Id="rId15" Type="http://schemas.openxmlformats.org/officeDocument/2006/relationships/image" Target="media/image6.wmf"/><Relationship Id="rId149" Type="http://schemas.openxmlformats.org/officeDocument/2006/relationships/image" Target="media/image73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8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5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4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238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2026-08-28T07:11:00Z</dcterms:created>
  <dc:creator>。。。。</dc:creator>
  <cp:lastModifiedBy>。。。。</cp:lastModifiedBy>
  <dcterms:modified xsi:type="dcterms:W3CDTF">2026-08-28T11:09:37Z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1F7CF716A3BB47E1873334FEA66D6918_11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