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4911B">
      <w:pPr>
        <w:pStyle w:val="2"/>
        <w:keepNext w:val="0"/>
        <w:keepLines w:val="0"/>
        <w:widowControl/>
        <w:suppressLineNumbers w:val="0"/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>5.5.7控制变量的确定</w:t>
      </w:r>
    </w:p>
    <w:p w14:paraId="25A9287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>问题二</w:t>
      </w:r>
      <w:r>
        <w:rPr>
          <w:rFonts w:ascii="宋体" w:hAnsi="宋体" w:eastAsia="宋体" w:cs="宋体"/>
          <w:sz w:val="24"/>
          <w:szCs w:val="24"/>
        </w:rPr>
        <w:t>最终模型中包含装料方式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73" o:spt="75" type="#_x0000_t75" style="height:13pt;width:13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73" DrawAspect="Content" ObjectID="_1468075725" r:id="rId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和总装料量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74" o:spt="75" type="#_x0000_t75" style="height:13pt;width:16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74" DrawAspect="Content" ObjectID="_1468075726" r:id="rId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。其中</w:t>
      </w:r>
    </w:p>
    <w:p w14:paraId="4D96DC5B">
      <w:pPr>
        <w:ind w:left="29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75" o:spt="75" type="#_x0000_t75" style="height:38pt;width:102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75" DrawAspect="Content" ObjectID="_1468075727" r:id="rId8">
            <o:LockedField>false</o:LockedField>
          </o:OLEObject>
        </w:object>
      </w:r>
    </w:p>
    <w:p w14:paraId="49BFDC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由于题目要求在“相同实验条件”下比较不同催化剂组合，本问不将 DD 和 MM 与四个核心因素一起连续优化，而是将其作为控制条件。</w:t>
      </w:r>
    </w:p>
    <w:p w14:paraId="7418A3F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附件1中两种装料方式均存在总装料量为100 mg的实验数据，因此取总装料量为100 mg，在相同总装料量下分别令 </w:t>
      </w:r>
      <w:r>
        <w:rPr>
          <w:position w:val="-6"/>
        </w:rPr>
        <w:object>
          <v:shape id="_x0000_i1076" o:spt="75" type="#_x0000_t75" style="height:13.95pt;width:31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76" DrawAspect="Content" ObjectID="_1468075728" r:id="rId10">
            <o:LockedField>false</o:LockedField>
          </o:OLEObject>
        </w:object>
      </w:r>
      <w:r>
        <w:t xml:space="preserve"> 和 </w:t>
      </w:r>
      <w:r>
        <w:rPr>
          <w:position w:val="-4"/>
        </w:rPr>
        <w:object>
          <v:shape id="_x0000_i1077" o:spt="75" type="#_x0000_t75" style="height:13pt;width:29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77" DrawAspect="Content" ObjectID="_1468075729" r:id="rId12">
            <o:LockedField>false</o:LockedField>
          </o:OLEObject>
        </w:object>
      </w:r>
      <w:bookmarkStart w:id="0" w:name="_GoBack"/>
      <w:bookmarkEnd w:id="0"/>
      <w:r>
        <w:t>完成优化，再比较两者的最大收率。这样既保留了问题二中控制变量对模型预测的修正作用，又避免通过改变总装料量或装料方式人为获得更高的目标函数值。</w:t>
      </w:r>
    </w:p>
    <w:p w14:paraId="206F8671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E2DEA9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5.5.8 分层网格搜索与多起点 SQP 局部优化算法求解</w:t>
      </w:r>
    </w:p>
    <w:p w14:paraId="4B6AEA59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为提高优化结果的稳定性，本文采用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分层网格搜索与多起点 SQP 局部优化算法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进行求解。该方法首先在整个可行域内进行搜索，获得多个高收率候选点，再利用 SQP 算法进行局部精细优化，最终得到最大 C4 烯烃收率对应的催化剂组合和反应温度。</w:t>
      </w:r>
    </w:p>
    <w:p w14:paraId="6A49FA65">
      <w:pP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FAA8DE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Step1：确定搜索范围。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根据附件数据范围确定 </w:t>
      </w:r>
      <w:r>
        <w:rPr>
          <w:rFonts w:hint="default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"/>
        </w:rPr>
        <w:object>
          <v:shape id="_x0000_i1071" o:spt="75" type="#_x0000_t75" style="height:18pt;width:55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71" DrawAspect="Content" ObjectID="_1468075730" r:id="rId14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 的上下界，并建立优化可行域。</w:t>
      </w:r>
    </w:p>
    <w:p w14:paraId="5C8535A8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Step2：网格搜索。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在可行域内生成候选点，将各点代入问题二建立的响应面模型，计算对应 C4 烯烃收率，并保留收率较高的可行点。</w:t>
      </w:r>
    </w:p>
    <w:p w14:paraId="3C5F898F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Step3：局部优化。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以筛选出的多个高收率点作为初始值，利用 MATLAB 中 fmincon 的 SQP 算法求解：</w:t>
      </w:r>
    </w:p>
    <w:p w14:paraId="01E7B1BB">
      <w:pPr>
        <w:pStyle w:val="4"/>
        <w:keepNext w:val="0"/>
        <w:keepLines w:val="0"/>
        <w:widowControl/>
        <w:suppressLineNumbers w:val="0"/>
        <w:ind w:left="3780" w:leftChars="0" w:firstLine="42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"/>
        </w:rPr>
        <w:object>
          <v:shape id="_x0000_i1072" o:spt="75" type="#_x0000_t75" style="height:16pt;width:45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72" DrawAspect="Content" ObjectID="_1468075731" r:id="rId16">
            <o:LockedField>false</o:LockedField>
          </o:OLEObject>
        </w:object>
      </w:r>
    </w:p>
    <w:p w14:paraId="64D51AA3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得到多个局部最优结果。</w:t>
      </w:r>
    </w:p>
    <w:p w14:paraId="42925B8D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Step4：结果比较。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比较所有局部优化结果，选取预测 C4 烯烃收率最大的方案作为最终优化结果。</w:t>
      </w:r>
    </w:p>
    <w:p w14:paraId="6A98A95A">
      <w:pPr>
        <w:ind w:left="1680" w:leftChars="0" w:firstLine="420" w:firstLineChars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8126FF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45B03F9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764C57A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0D3397E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1E06DCE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3BDF79C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1A48397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4CCF9A5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0F81091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16D077D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7A2B0F6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201FD31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09EB3EC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32E2529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5.5.9 模型求解结果</w:t>
      </w:r>
    </w:p>
    <w:p w14:paraId="53BB338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MATLAB实际计算结果如表5.5.2所示。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0"/>
        <w:gridCol w:w="296"/>
        <w:gridCol w:w="900"/>
        <w:gridCol w:w="1624"/>
        <w:gridCol w:w="1350"/>
        <w:gridCol w:w="666"/>
        <w:gridCol w:w="881"/>
        <w:gridCol w:w="764"/>
        <w:gridCol w:w="785"/>
      </w:tblGrid>
      <w:tr w14:paraId="60C04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15F9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温度条件</w:t>
            </w:r>
          </w:p>
        </w:tc>
        <w:tc>
          <w:tcPr>
            <w:tcW w:w="0" w:type="auto"/>
            <w:shd w:val="clear"/>
            <w:vAlign w:val="center"/>
          </w:tcPr>
          <w:p w14:paraId="5C37DC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装料方式</w:t>
            </w:r>
          </w:p>
        </w:tc>
        <w:tc>
          <w:tcPr>
            <w:tcW w:w="0" w:type="auto"/>
            <w:shd w:val="clear"/>
            <w:vAlign w:val="center"/>
          </w:tcPr>
          <w:p w14:paraId="1DEDEA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position w:val="-10"/>
                <w:lang w:eastAsia="zh-CN"/>
              </w:rPr>
              <w:object>
                <v:shape id="_x0000_i1025" o:spt="75" type="#_x0000_t75" style="height:17pt;width:42.95pt;" o:ole="t" filled="f" o:preferrelative="t" stroked="f" coordsize="21600,21600"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32" r:id="rId1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D40B8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position w:val="-10"/>
                <w:lang w:eastAsia="zh-CN"/>
              </w:rPr>
              <w:object>
                <v:shape id="_x0000_i1026" o:spt="75" type="#_x0000_t75" style="height:17pt;width:80pt;" o:ole="t" filled="f" o:preferrelative="t" stroked="f" coordsize="21600,21600"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33" r:id="rId20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3B0C9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position w:val="-12"/>
                <w:lang w:eastAsia="zh-CN"/>
              </w:rPr>
              <w:object>
                <v:shape id="_x0000_i1027" o:spt="75" type="#_x0000_t75" style="height:18pt;width:66pt;" o:ole="t" filled="f" o:preferrelative="t" stroked="f" coordsize="21600,21600"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34" r:id="rId22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E6DA4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position w:val="-6"/>
                <w:lang w:eastAsia="zh-CN"/>
              </w:rPr>
              <w:object>
                <v:shape id="_x0000_i1028" o:spt="75" type="#_x0000_t75" style="height:13.95pt;width:31pt;" o:ole="t" filled="f" o:preferrelative="t" stroked="f" coordsize="21600,21600"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35" r:id="rId2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6CC74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position w:val="-6"/>
                <w:lang w:eastAsia="zh-CN"/>
              </w:rPr>
              <w:object>
                <v:shape id="_x0000_i1029" o:spt="75" type="#_x0000_t75" style="height:17pt;width:31pt;" o:ole="t" filled="f" o:preferrelative="t" stroked="f" coordsize="21600,21600">
                  <v:fill on="f" focussize="0,0"/>
                  <v:stroke on="f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36" r:id="rId26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5EC9F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position w:val="-6"/>
                <w:lang w:eastAsia="zh-CN"/>
              </w:rPr>
              <w:object>
                <v:shape id="_x0000_i1030" o:spt="75" type="#_x0000_t75" style="height:17pt;width:28pt;" o:ole="t" filled="f" o:preferrelative="t" stroked="f" coordsize="21600,21600"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7" r:id="rId2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7CB55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position w:val="-6"/>
                <w:lang w:eastAsia="zh-CN"/>
              </w:rPr>
              <w:object>
                <v:shape id="_x0000_i1031" o:spt="75" type="#_x0000_t75" style="height:13.95pt;width:28pt;" o:ole="t" filled="f" o:preferrelative="t" stroked="f" coordsize="21600,21600"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8" r:id="rId30">
                  <o:LockedField>false</o:LockedField>
                </o:OLEObject>
              </w:object>
            </w:r>
          </w:p>
        </w:tc>
      </w:tr>
      <w:tr w14:paraId="179B6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F8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一般条件</w:t>
            </w:r>
          </w:p>
        </w:tc>
        <w:tc>
          <w:tcPr>
            <w:tcW w:w="0" w:type="auto"/>
            <w:shd w:val="clear"/>
            <w:vAlign w:val="center"/>
          </w:tcPr>
          <w:p w14:paraId="79A83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Ⅰ</w:t>
            </w:r>
          </w:p>
        </w:tc>
        <w:tc>
          <w:tcPr>
            <w:tcW w:w="0" w:type="auto"/>
            <w:shd w:val="clear"/>
            <w:vAlign w:val="center"/>
          </w:tcPr>
          <w:p w14:paraId="6B2117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0.500</w:t>
            </w:r>
          </w:p>
        </w:tc>
        <w:tc>
          <w:tcPr>
            <w:tcW w:w="0" w:type="auto"/>
            <w:shd w:val="clear"/>
            <w:vAlign w:val="center"/>
          </w:tcPr>
          <w:p w14:paraId="151E29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48.22:51.78</w:t>
            </w:r>
          </w:p>
        </w:tc>
        <w:tc>
          <w:tcPr>
            <w:tcW w:w="0" w:type="auto"/>
            <w:shd w:val="clear"/>
            <w:vAlign w:val="center"/>
          </w:tcPr>
          <w:p w14:paraId="2D1A16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0.300</w:t>
            </w:r>
          </w:p>
        </w:tc>
        <w:tc>
          <w:tcPr>
            <w:tcW w:w="0" w:type="auto"/>
            <w:shd w:val="clear"/>
            <w:vAlign w:val="center"/>
          </w:tcPr>
          <w:p w14:paraId="0E634B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/>
            <w:vAlign w:val="center"/>
          </w:tcPr>
          <w:p w14:paraId="28E165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100.000</w:t>
            </w:r>
          </w:p>
        </w:tc>
        <w:tc>
          <w:tcPr>
            <w:tcW w:w="0" w:type="auto"/>
            <w:shd w:val="clear"/>
            <w:vAlign w:val="center"/>
          </w:tcPr>
          <w:p w14:paraId="0B3708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51.551</w:t>
            </w:r>
          </w:p>
        </w:tc>
        <w:tc>
          <w:tcPr>
            <w:tcW w:w="0" w:type="auto"/>
            <w:shd w:val="clear"/>
            <w:vAlign w:val="center"/>
          </w:tcPr>
          <w:p w14:paraId="68FD2F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51.551</w:t>
            </w:r>
          </w:p>
        </w:tc>
      </w:tr>
      <w:tr w14:paraId="540EB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21E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一般条件</w:t>
            </w:r>
          </w:p>
        </w:tc>
        <w:tc>
          <w:tcPr>
            <w:tcW w:w="0" w:type="auto"/>
            <w:shd w:val="clear"/>
            <w:vAlign w:val="center"/>
          </w:tcPr>
          <w:p w14:paraId="7A1F8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Ⅱ</w:t>
            </w:r>
          </w:p>
        </w:tc>
        <w:tc>
          <w:tcPr>
            <w:tcW w:w="0" w:type="auto"/>
            <w:shd w:val="clear"/>
            <w:vAlign w:val="center"/>
          </w:tcPr>
          <w:p w14:paraId="3E3CFD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0.500</w:t>
            </w:r>
          </w:p>
        </w:tc>
        <w:tc>
          <w:tcPr>
            <w:tcW w:w="0" w:type="auto"/>
            <w:shd w:val="clear"/>
            <w:vAlign w:val="center"/>
          </w:tcPr>
          <w:p w14:paraId="20E1DB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46.51:53.49</w:t>
            </w:r>
          </w:p>
        </w:tc>
        <w:tc>
          <w:tcPr>
            <w:tcW w:w="0" w:type="auto"/>
            <w:shd w:val="clear"/>
            <w:vAlign w:val="center"/>
          </w:tcPr>
          <w:p w14:paraId="718C8C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0.300</w:t>
            </w:r>
          </w:p>
        </w:tc>
        <w:tc>
          <w:tcPr>
            <w:tcW w:w="0" w:type="auto"/>
            <w:shd w:val="clear"/>
            <w:vAlign w:val="center"/>
          </w:tcPr>
          <w:p w14:paraId="4CA0B8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/>
            <w:vAlign w:val="center"/>
          </w:tcPr>
          <w:p w14:paraId="2D3719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95.893</w:t>
            </w:r>
          </w:p>
        </w:tc>
        <w:tc>
          <w:tcPr>
            <w:tcW w:w="0" w:type="auto"/>
            <w:shd w:val="clear"/>
            <w:vAlign w:val="center"/>
          </w:tcPr>
          <w:p w14:paraId="4CA80B4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47.701</w:t>
            </w:r>
          </w:p>
        </w:tc>
        <w:tc>
          <w:tcPr>
            <w:tcW w:w="0" w:type="auto"/>
            <w:shd w:val="clear"/>
            <w:vAlign w:val="center"/>
          </w:tcPr>
          <w:p w14:paraId="3D8EEB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45.742</w:t>
            </w:r>
          </w:p>
        </w:tc>
      </w:tr>
      <w:tr w14:paraId="479FE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90D7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32" o:spt="75" type="#_x0000_t75" style="height:13.95pt;width:54pt;" o:ole="t" filled="f" o:preferrelative="t" stroked="f" coordsize="21600,21600">
                  <v:fill on="f" focussize="0,0"/>
                  <v:stroke on="f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9" r:id="rId32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FDB9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Ⅰ</w:t>
            </w:r>
          </w:p>
        </w:tc>
        <w:tc>
          <w:tcPr>
            <w:tcW w:w="0" w:type="auto"/>
            <w:shd w:val="clear"/>
            <w:vAlign w:val="center"/>
          </w:tcPr>
          <w:p w14:paraId="57E89A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0.500</w:t>
            </w:r>
          </w:p>
        </w:tc>
        <w:tc>
          <w:tcPr>
            <w:tcW w:w="0" w:type="auto"/>
            <w:shd w:val="clear"/>
            <w:vAlign w:val="center"/>
          </w:tcPr>
          <w:p w14:paraId="68FB8A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55.16:44.84</w:t>
            </w:r>
          </w:p>
        </w:tc>
        <w:tc>
          <w:tcPr>
            <w:tcW w:w="0" w:type="auto"/>
            <w:shd w:val="clear"/>
            <w:vAlign w:val="center"/>
          </w:tcPr>
          <w:p w14:paraId="69ED567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0.300</w:t>
            </w:r>
          </w:p>
        </w:tc>
        <w:tc>
          <w:tcPr>
            <w:tcW w:w="0" w:type="auto"/>
            <w:shd w:val="clear"/>
            <w:vAlign w:val="center"/>
          </w:tcPr>
          <w:p w14:paraId="3C312F33">
            <w:pPr>
              <w:keepNext w:val="0"/>
              <w:keepLines w:val="0"/>
              <w:widowControl/>
              <w:suppressLineNumbers w:val="0"/>
              <w:jc w:val="righ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34" o:spt="75" type="#_x0000_t75" style="height:16pt;width:26pt;" o:ole="t" filled="f" o:preferrelative="t" stroked="f" coordsize="21600,21600">
                  <v:fill on="f" focussize="0,0"/>
                  <v:stroke on="f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40" r:id="rId3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1971C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39.206</w:t>
            </w:r>
          </w:p>
        </w:tc>
        <w:tc>
          <w:tcPr>
            <w:tcW w:w="0" w:type="auto"/>
            <w:shd w:val="clear"/>
            <w:vAlign w:val="center"/>
          </w:tcPr>
          <w:p w14:paraId="087B6E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22.652</w:t>
            </w:r>
          </w:p>
        </w:tc>
        <w:tc>
          <w:tcPr>
            <w:tcW w:w="0" w:type="auto"/>
            <w:shd w:val="clear"/>
            <w:vAlign w:val="center"/>
          </w:tcPr>
          <w:p w14:paraId="60CA78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8.881</w:t>
            </w:r>
          </w:p>
        </w:tc>
      </w:tr>
      <w:tr w14:paraId="69D40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7A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33" o:spt="75" type="#_x0000_t75" style="height:13.95pt;width:54pt;" o:ole="t" filled="f" o:preferrelative="t" stroked="f" coordsize="21600,21600">
                  <v:path/>
                  <v:fill on="f" focussize="0,0"/>
                  <v:stroke on="f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41" r:id="rId36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136D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Ⅱ</w:t>
            </w:r>
          </w:p>
        </w:tc>
        <w:tc>
          <w:tcPr>
            <w:tcW w:w="0" w:type="auto"/>
            <w:shd w:val="clear"/>
            <w:vAlign w:val="center"/>
          </w:tcPr>
          <w:p w14:paraId="2E0EA4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0.500</w:t>
            </w:r>
          </w:p>
        </w:tc>
        <w:tc>
          <w:tcPr>
            <w:tcW w:w="0" w:type="auto"/>
            <w:shd w:val="clear"/>
            <w:vAlign w:val="center"/>
          </w:tcPr>
          <w:p w14:paraId="388776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55.42:44.58</w:t>
            </w:r>
          </w:p>
        </w:tc>
        <w:tc>
          <w:tcPr>
            <w:tcW w:w="0" w:type="auto"/>
            <w:shd w:val="clear"/>
            <w:vAlign w:val="center"/>
          </w:tcPr>
          <w:p w14:paraId="35EDCE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0.300</w:t>
            </w:r>
          </w:p>
        </w:tc>
        <w:tc>
          <w:tcPr>
            <w:tcW w:w="0" w:type="auto"/>
            <w:shd w:val="clear"/>
            <w:vAlign w:val="center"/>
          </w:tcPr>
          <w:p w14:paraId="2F491B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35" o:spt="75" type="#_x0000_t75" style="height:16pt;width:26pt;" o:ole="t" filled="f" o:preferrelative="t" stroked="f" coordsize="21600,21600">
                  <v:path/>
                  <v:fill on="f" focussize="0,0"/>
                  <v:stroke on="f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42" r:id="rId3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13789F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34.806</w:t>
            </w:r>
          </w:p>
        </w:tc>
        <w:tc>
          <w:tcPr>
            <w:tcW w:w="0" w:type="auto"/>
            <w:shd w:val="clear"/>
            <w:vAlign w:val="center"/>
          </w:tcPr>
          <w:p w14:paraId="0E7214B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18.921</w:t>
            </w:r>
          </w:p>
        </w:tc>
        <w:tc>
          <w:tcPr>
            <w:tcW w:w="0" w:type="auto"/>
            <w:shd w:val="clear"/>
            <w:vAlign w:val="center"/>
          </w:tcPr>
          <w:p w14:paraId="28596A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6.586</w:t>
            </w:r>
          </w:p>
        </w:tc>
      </w:tr>
    </w:tbl>
    <w:p w14:paraId="440495C7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由表5.5.2可以看出，在两种温度约束下，装料方式Ⅰ得到的最大预测收率均高于装料方式Ⅱ。因此在固定总装料量100 mg的条件下，最终优先选择装料方式Ⅰ。</w:t>
      </w:r>
    </w:p>
    <w:p w14:paraId="0F47382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（1）一般温度条件</w:t>
      </w:r>
    </w:p>
    <w:p w14:paraId="58C4039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一般温度范围内的最优结果为</w:t>
      </w:r>
    </w:p>
    <w:p w14:paraId="75FD7095">
      <w:pPr>
        <w:pStyle w:val="4"/>
        <w:keepNext w:val="0"/>
        <w:keepLines w:val="0"/>
        <w:widowControl/>
        <w:suppressLineNumbers w:val="0"/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eastAsia="zh-CN"/>
        </w:rPr>
        <w:object>
          <v:shape id="_x0000_i1036" o:spt="75" type="#_x0000_t75" style="height:17pt;width:63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36" DrawAspect="Content" ObjectID="_1468075743" r:id="rId3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position w:val="-10"/>
          <w:sz w:val="24"/>
          <w:szCs w:val="24"/>
          <w:lang w:eastAsia="zh-CN"/>
        </w:rPr>
        <w:object>
          <v:shape id="_x0000_i1037" o:spt="75" alt="" type="#_x0000_t75" style="height:17pt;width:69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37" DrawAspect="Content" ObjectID="_1468075744" r:id="rId4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position w:val="-12"/>
          <w:sz w:val="24"/>
          <w:szCs w:val="24"/>
          <w:lang w:eastAsia="zh-CN"/>
        </w:rPr>
        <w:object>
          <v:shape id="_x0000_i1038" o:spt="75" alt="" type="#_x0000_t75" style="height:18pt;width:85.9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38" DrawAspect="Content" ObjectID="_1468075745" r:id="rId42">
            <o:LockedField>false</o:LockedField>
          </o:OLEObject>
        </w:object>
      </w:r>
    </w:p>
    <w:p w14:paraId="78022643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39" o:spt="75" type="#_x0000_t75" style="height:13.95pt;width:55pt;" o:ole="t" filled="f" o:preferrelative="t" stroked="f" coordsize="21600,21600"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39" DrawAspect="Content" ObjectID="_1468075746" r:id="rId44">
            <o:LockedField>false</o:LockedField>
          </o:OLEObject>
        </w:object>
      </w:r>
    </w:p>
    <w:p w14:paraId="36588B0A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由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40" o:spt="75" type="#_x0000_t75" style="height:17pt;width:13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0" DrawAspect="Content" ObjectID="_1468075747" r:id="rId4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的定义可知，当总装料量固定为100mg时，对应的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41" o:spt="75" type="#_x0000_t75" style="height:17pt;width:47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1" DrawAspect="Content" ObjectID="_1468075748" r:id="rId4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42" o:spt="75" type="#_x0000_t75" style="height:13pt;width:28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2" DrawAspect="Content" ObjectID="_1468075749" r:id="rId5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质量比例约为</w:t>
      </w:r>
    </w:p>
    <w:p w14:paraId="5D7B738A">
      <w:pPr>
        <w:pStyle w:val="4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3" o:spt="75" type="#_x0000_t75" style="height:17pt;width:152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3" DrawAspect="Content" ObjectID="_1468075750" r:id="rId52">
            <o:LockedField>false</o:LockedField>
          </o:OLEObject>
        </w:object>
      </w:r>
    </w:p>
    <w:p w14:paraId="223B153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因此一般条件下，模型推荐的催化剂组合可以写为：</w:t>
      </w:r>
    </w:p>
    <w:p w14:paraId="0DF08D8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eastAsia"/>
          <w:lang w:val="en-US"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4" o:spt="75" type="#_x0000_t75" style="height:16pt;width:46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4" DrawAspect="Content" ObjectID="_1468075751" r:id="rId5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7pt;width:279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45" DrawAspect="Content" ObjectID="_1468075752" r:id="rId56">
            <o:LockedField>false</o:LockedField>
          </o:OLEObject>
        </w:object>
      </w:r>
    </w:p>
    <w:p w14:paraId="5D2A9EB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并采用装料方式Ⅰ，在</w:t>
      </w:r>
    </w:p>
    <w:p w14:paraId="763F5CF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3360" w:leftChars="0" w:right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46" o:spt="75" type="#_x0000_t75" style="height:13.95pt;width:55pt;" o:ole="t" filled="f" o:preferrelative="t" stroked="f" coordsize="21600,21600"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46" DrawAspect="Content" ObjectID="_1468075753" r:id="rId58">
            <o:LockedField>false</o:LockedField>
          </o:OLEObject>
        </w:object>
      </w:r>
    </w:p>
    <w:p w14:paraId="6A8B373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附近进行反应。</w:t>
      </w:r>
    </w:p>
    <w:p w14:paraId="1B4D2B5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该条件下模型预测乙醇转化率为</w:t>
      </w:r>
    </w:p>
    <w:p w14:paraId="59AE3B9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default"/>
          <w:lang w:val="en-US" w:eastAsia="zh-CN"/>
        </w:rPr>
      </w:pPr>
      <w:r>
        <w:rPr>
          <w:rFonts w:hint="default"/>
          <w:position w:val="-6"/>
          <w:lang w:val="en-US" w:eastAsia="zh-CN"/>
        </w:rPr>
        <w:object>
          <v:shape id="_x0000_i1047" o:spt="75" type="#_x0000_t75" style="height:17pt;width:74pt;" o:ole="t" filled="f" o:preferrelative="t" stroked="f" coordsize="21600,21600"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47" DrawAspect="Content" ObjectID="_1468075754" r:id="rId60">
            <o:LockedField>false</o:LockedField>
          </o:OLEObject>
        </w:object>
      </w:r>
    </w:p>
    <w:p w14:paraId="1781979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C4烯烃选择性为</w:t>
      </w:r>
    </w:p>
    <w:p w14:paraId="439AAD9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default"/>
          <w:lang w:val="en-US" w:eastAsia="zh-CN"/>
        </w:rPr>
      </w:pPr>
      <w:r>
        <w:rPr>
          <w:rFonts w:hint="default"/>
          <w:position w:val="-6"/>
          <w:lang w:val="en-US" w:eastAsia="zh-CN"/>
        </w:rPr>
        <w:object>
          <v:shape id="_x0000_i1048" o:spt="75" type="#_x0000_t75" style="height:17pt;width:66pt;" o:ole="t" filled="f" o:preferrelative="t" stroked="f" coordsize="21600,21600"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48" DrawAspect="Content" ObjectID="_1468075755" r:id="rId62">
            <o:LockedField>false</o:LockedField>
          </o:OLEObject>
        </w:object>
      </w:r>
    </w:p>
    <w:p w14:paraId="1B93BCD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从而得到最大预收率</w:t>
      </w:r>
    </w:p>
    <w:p w14:paraId="2CD3D70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default"/>
          <w:lang w:val="en-US" w:eastAsia="zh-CN"/>
        </w:rPr>
      </w:pPr>
      <w:r>
        <w:rPr>
          <w:rFonts w:hint="default"/>
          <w:position w:val="-12"/>
          <w:lang w:val="en-US" w:eastAsia="zh-CN"/>
        </w:rPr>
        <w:object>
          <v:shape id="_x0000_i1049" o:spt="75" type="#_x0000_t75" style="height:18pt;width:78pt;" o:ole="t" filled="f" o:preferrelative="t" stroked="f" coordsize="21600,21600"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49" DrawAspect="Content" ObjectID="_1468075756" r:id="rId64">
            <o:LockedField>false</o:LockedField>
          </o:OLEObject>
        </w:object>
      </w:r>
    </w:p>
    <w:p w14:paraId="22EB4C1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需要指出的是，该方案并不是附件1中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50" o:spt="75" type="#_x0000_t75" style="height:13pt;width:47pt;" o:ole="t" filled="f" o:preferrelative="t" stroked="f" coordsize="21600,21600"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0" DrawAspect="Content" ObjectID="_1468075757" r:id="rId6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51" o:spt="75" type="#_x0000_t75" style="height:13.95pt;width:42pt;" o:ole="t" filled="f" o:preferrelative="t" stroked="f" coordsize="21600,21600"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1" DrawAspect="Content" ObjectID="_1468075758" r:id="rId6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的某一个已有编号，而是根据问题二响应面在附件实验因素范围内得到的连续优化结果。因此这里给出的结果应理解为</w:t>
      </w:r>
      <w:r>
        <w:rPr>
          <w:rStyle w:val="7"/>
          <w:rFonts w:ascii="宋体" w:hAnsi="宋体" w:eastAsia="宋体" w:cs="宋体"/>
          <w:sz w:val="24"/>
          <w:szCs w:val="24"/>
        </w:rPr>
        <w:t>模型推荐的新催化剂组合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9D0BFD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ascii="宋体" w:hAnsi="宋体" w:eastAsia="宋体" w:cs="宋体"/>
          <w:sz w:val="24"/>
          <w:szCs w:val="24"/>
        </w:rPr>
      </w:pPr>
    </w:p>
    <w:p w14:paraId="73E3A2D7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（2）温度低于350℃</w:t>
      </w:r>
    </w:p>
    <w:p w14:paraId="71B00F76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当增加</w:t>
      </w:r>
    </w:p>
    <w:p w14:paraId="57AAC215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"/>
        </w:rPr>
        <w:object>
          <v:shape id="_x0000_i1052" o:spt="75" type="#_x0000_t75" style="height:13.95pt;width:54pt;" o:ole="t" filled="f" o:preferrelative="t" stroked="f" coordsize="21600,21600"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2" DrawAspect="Content" ObjectID="_1468075759" r:id="rId70">
            <o:LockedField>false</o:LockedField>
          </o:OLEObject>
        </w:object>
      </w:r>
    </w:p>
    <w:p w14:paraId="0C5F5290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约束以后，装料方式Ⅰ仍然得到较高的预测收率。最优条件为</w:t>
      </w:r>
    </w:p>
    <w:p w14:paraId="0030A56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1680" w:leftChars="0" w:right="0" w:firstLine="420" w:firstLineChars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"/>
        </w:rPr>
        <w:object>
          <v:shape id="_x0000_i1053" o:spt="75" type="#_x0000_t75" style="height:17pt;width:63pt;" o:ole="t" filled="f" o:preferrelative="t" stroked="f" coordsize="21600,21600"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3" DrawAspect="Content" ObjectID="_1468075760" r:id="rId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"/>
        </w:rPr>
        <w:object>
          <v:shape id="_x0000_i1054" o:spt="75" type="#_x0000_t75" style="height:17pt;width:59pt;" o:ole="t" filled="f" o:preferrelative="t" stroked="f" coordsize="21600,21600"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54" DrawAspect="Content" ObjectID="_1468075761" r:id="rId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"/>
        </w:rPr>
        <w:object>
          <v:shape id="_x0000_i1055" o:spt="75" type="#_x0000_t75" style="height:18pt;width:85.95pt;" o:ole="t" filled="f" o:preferrelative="t" stroked="f" coordsize="21600,21600"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55" DrawAspect="Content" ObjectID="_1468075762" r:id="rId76">
            <o:LockedField>false</o:LockedField>
          </o:OLEObject>
        </w:object>
      </w:r>
    </w:p>
    <w:p w14:paraId="70B2E58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对应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"/>
        </w:rPr>
        <w:object>
          <v:shape id="_x0000_i1056" o:spt="75" type="#_x0000_t75" style="height:17pt;width:47pt;" o:ole="t" filled="f" o:preferrelative="t" stroked="f" coordsize="21600,21600"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56" DrawAspect="Content" ObjectID="_1468075763" r:id="rId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与的</w:t>
      </w:r>
      <w:r>
        <w:rPr>
          <w:rFonts w:hint="eastAsia" w:ascii="宋体" w:hAnsi="宋体" w:eastAsia="宋体" w:cs="宋体"/>
          <w:b w:val="0"/>
          <w:bCs w:val="0"/>
          <w:kern w:val="0"/>
          <w:position w:val="-4"/>
          <w:sz w:val="24"/>
          <w:szCs w:val="24"/>
          <w:lang w:val="en-US" w:eastAsia="zh-CN" w:bidi="ar"/>
        </w:rPr>
        <w:object>
          <v:shape id="_x0000_i1059" o:spt="75" type="#_x0000_t75" style="height:13pt;width:28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59" DrawAspect="Content" ObjectID="_1468075764" r:id="rId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质量比约为</w:t>
      </w:r>
    </w:p>
    <w:p w14:paraId="7A24D7C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3780" w:leftChars="0" w:right="0" w:firstLine="42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"/>
        </w:rPr>
        <w:object>
          <v:shape id="_x0000_i1058" o:spt="75" type="#_x0000_t75" style="height:13.95pt;width:64pt;" o:ole="t" filled="f" o:preferrelative="t" stroked="f" coordsize="21600,21600"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58" DrawAspect="Content" ObjectID="_1468075765" r:id="rId82">
            <o:LockedField>false</o:LockedField>
          </o:OLEObject>
        </w:object>
      </w:r>
    </w:p>
    <w:p w14:paraId="1C593A1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因此低温条件下推荐组合为</w:t>
      </w:r>
    </w:p>
    <w:p w14:paraId="006E6E2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520" w:leftChars="0" w:right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60" o:spt="75" type="#_x0000_t75" style="height:16pt;width:46pt;" o:ole="t" filled="f" o:preferrelative="t" stroked="f" coordsize="21600,21600"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0" DrawAspect="Content" ObjectID="_1468075766" r:id="rId84">
            <o:LockedField>false</o:LockedField>
          </o:OLEObject>
        </w:objec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61" o:spt="75" type="#_x0000_t75" style="height:17pt;width:279pt;" o:ole="t" filled="f" o:preferrelative="t" stroked="f" coordsize="21600,21600"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1" DrawAspect="Content" ObjectID="_1468075767" r:id="rId86">
            <o:LockedField>false</o:LockedField>
          </o:OLEObject>
        </w:object>
      </w:r>
    </w:p>
    <w:p w14:paraId="705A5BC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并采用装料方式Ⅰ。</w:t>
      </w:r>
    </w:p>
    <w:p w14:paraId="0F80139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程序计算得到温度为349.999℃，由于该值只是严格不等式数值实现产生的上界结果，因此在实际结论中应写为</w:t>
      </w:r>
    </w:p>
    <w:p w14:paraId="74047AE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336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6"/>
          <w:sz w:val="24"/>
          <w:szCs w:val="24"/>
          <w:lang w:eastAsia="zh-CN"/>
        </w:rPr>
        <w:object>
          <v:shape id="_x0000_i1062" o:spt="75" type="#_x0000_t75" style="height:16pt;width:64pt;" o:ole="t" filled="f" o:preferrelative="t" stroked="f" coordsize="21600,21600"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2" DrawAspect="Content" ObjectID="_1468075768" r:id="rId88">
            <o:LockedField>false</o:LockedField>
          </o:OLEObject>
        </w:object>
      </w:r>
    </w:p>
    <w:p w14:paraId="526ED38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即温度低于350℃且尽可能接近350℃。</w:t>
      </w:r>
    </w:p>
    <w:p w14:paraId="20D24F6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此时模型预测</w:t>
      </w:r>
    </w:p>
    <w:p w14:paraId="72B34E9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3360" w:leftChars="0" w:right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63" o:spt="75" type="#_x0000_t75" style="height:17pt;width:69pt;" o:ole="t" filled="f" o:preferrelative="t" stroked="f" coordsize="21600,21600"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3" DrawAspect="Content" ObjectID="_1468075769" r:id="rId90">
            <o:LockedField>false</o:LockedField>
          </o:OLEObject>
        </w:object>
      </w:r>
    </w:p>
    <w:p w14:paraId="29112E7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3360" w:leftChars="0" w:right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64" o:spt="75" type="#_x0000_t75" style="height:17pt;width:66pt;" o:ole="t" filled="f" o:preferrelative="t" stroked="f" coordsize="21600,21600"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4" DrawAspect="Content" ObjectID="_1468075770" r:id="rId92">
            <o:LockedField>false</o:LockedField>
          </o:OLEObject>
        </w:object>
      </w:r>
    </w:p>
    <w:p w14:paraId="5D117BA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相应的最大预测C4烯烃收率为</w:t>
      </w:r>
    </w:p>
    <w:p w14:paraId="3E98480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3360" w:leftChars="0" w:right="0" w:firstLine="420" w:firstLineChars="0"/>
        <w:rPr>
          <w:rFonts w:hint="default"/>
          <w:lang w:val="en-US" w:eastAsia="zh-CN"/>
        </w:rPr>
      </w:pPr>
      <w:r>
        <w:rPr>
          <w:rFonts w:hint="default"/>
          <w:position w:val="-12"/>
          <w:lang w:val="en-US" w:eastAsia="zh-CN"/>
        </w:rPr>
        <w:object>
          <v:shape id="_x0000_i1065" o:spt="75" type="#_x0000_t75" style="height:18pt;width:71pt;" o:ole="t" filled="f" o:preferrelative="t" stroked="f" coordsize="21600,21600"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65" DrawAspect="Content" ObjectID="_1468075771" r:id="rId94">
            <o:LockedField>false</o:LockedField>
          </o:OLEObject>
        </w:object>
      </w:r>
    </w:p>
    <w:p w14:paraId="3A42B4F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  <w:lang w:val="en-US" w:eastAsia="zh-CN"/>
        </w:rPr>
      </w:pPr>
    </w:p>
    <w:p w14:paraId="20BADC6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5.5.10 优化结果比较与分析</w:t>
      </w:r>
    </w:p>
    <w:p w14:paraId="2944A1D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599940" cy="2520950"/>
            <wp:effectExtent l="0" t="0" r="635" b="3175"/>
            <wp:docPr id="1" name="图片 1" descr="f46cc685a0efc8ec7eb2446b7c3ff3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46cc685a0efc8ec7eb2446b7c3ff36e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D366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从图5.5.1可以直观看出，一般温度条件下允许温度提高至450℃时，最大预测收率明显高于</w:t>
      </w:r>
      <w:r>
        <w:rPr>
          <w:rFonts w:ascii="宋体" w:hAnsi="宋体" w:eastAsia="宋体" w:cs="宋体"/>
          <w:kern w:val="0"/>
          <w:position w:val="-6"/>
          <w:sz w:val="24"/>
          <w:szCs w:val="24"/>
          <w:lang w:val="en-US" w:eastAsia="zh-CN" w:bidi="ar"/>
        </w:rPr>
        <w:object>
          <v:shape id="_x0000_i1066" o:spt="75" type="#_x0000_t75" style="height:13.95pt;width:54pt;" o:ole="t" filled="f" o:preferrelative="t" stroked="f" coordsize="21600,21600"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66" DrawAspect="Content" ObjectID="_1468075772" r:id="rId97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情况。同时，无论是否限制温度低于350℃，装料方式Ⅰ的最优结果均高于装料方式Ⅱ。这与问题二中温度对乙醇转化率和C4烯烃选择性均具有较大综合影响的结论保持一致：在已有实验区域内，提高温度总体有利于提高乙醇转化率，而C4烯烃选择性同样受到较强的温度影响。</w:t>
      </w:r>
    </w:p>
    <w:p w14:paraId="6416AFD0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894AA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进一步固定各情形下得到的最优催化剂组成，只改变温度，可以得到预测C4烯烃收率随温度的变化曲线。</w:t>
      </w:r>
    </w:p>
    <w:p w14:paraId="54C1A84E">
      <w:pPr>
        <w:rPr>
          <w:rFonts w:ascii="宋体" w:hAnsi="宋体" w:eastAsia="宋体" w:cs="宋体"/>
          <w:sz w:val="24"/>
          <w:szCs w:val="24"/>
        </w:rPr>
      </w:pPr>
    </w:p>
    <w:p w14:paraId="3BB5B9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4015740"/>
            <wp:effectExtent l="0" t="0" r="8255" b="3810"/>
            <wp:docPr id="2" name="图片 2" descr="757347ba76dc95be02c0f48407b5f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57347ba76dc95be02c0f48407b5ff8b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9A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346599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5.5.11 边界解及模型可靠性分析</w:t>
      </w:r>
    </w:p>
    <w:p w14:paraId="18967666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本问的最优结果具有明显的边界特征。一般条件下：</w:t>
      </w:r>
    </w:p>
    <w:p w14:paraId="76C914B4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"/>
        </w:rPr>
        <w:object>
          <v:shape id="_x0000_i1067" o:spt="75" type="#_x0000_t75" style="height:17pt;width:63pt;" o:ole="t" filled="f" o:preferrelative="t" stroked="f" coordsize="21600,21600"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67" DrawAspect="Content" ObjectID="_1468075773" r:id="rId100">
            <o:LockedField>false</o:LockedField>
          </o:OLEObject>
        </w:object>
      </w:r>
    </w:p>
    <w:p w14:paraId="48837A11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达到Co负载量实验范围下界，</w:t>
      </w:r>
    </w:p>
    <w:p w14:paraId="650D2CDA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68" o:spt="75" type="#_x0000_t75" style="height:18pt;width:85.95pt;" o:ole="t" filled="f" o:preferrelative="t" stroked="f" coordsize="21600,21600"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68" DrawAspect="Content" ObjectID="_1468075774" r:id="rId102">
            <o:LockedField>false</o:LockedField>
          </o:OLEObject>
        </w:object>
      </w:r>
    </w:p>
    <w:p w14:paraId="69D3AB04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达到乙醇浓度实验范围下界，而</w:t>
      </w:r>
    </w:p>
    <w:p w14:paraId="09A1C6FF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69" o:spt="75" type="#_x0000_t75" style="height:13.95pt;width:55pt;" o:ole="t" filled="f" o:preferrelative="t" stroked="f" coordsize="21600,21600"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069" DrawAspect="Content" ObjectID="_1468075775" r:id="rId104">
            <o:LockedField>false</o:LockedField>
          </o:OLEObject>
        </w:object>
      </w:r>
    </w:p>
    <w:p w14:paraId="06CC0EA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达到实验温度上界。同时，模型预测</w:t>
      </w:r>
    </w:p>
    <w:p w14:paraId="1F6201EA">
      <w:pPr>
        <w:ind w:left="33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70" o:spt="75" type="#_x0000_t75" style="height:17pt;width:53pt;" o:ole="t" filled="f" o:preferrelative="t" stroked="f" coordsize="21600,21600"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0" DrawAspect="Content" ObjectID="_1468075776" r:id="rId106">
            <o:LockedField>false</o:LockedField>
          </o:OLEObject>
        </w:object>
      </w:r>
    </w:p>
    <w:p w14:paraId="3FD10D8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恰好达到乙醇转化率的物理上界。</w:t>
      </w:r>
    </w:p>
    <w:p w14:paraId="295FB5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在附件1所覆盖的实验因素范围以及问题二建立的响应面模型范围内，预测C4烯烃收率的最大值位于Co负载量和乙醇浓度的下边界、温度的上边界附近。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486817"/>
    <w:rsid w:val="2E48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png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png"/><Relationship Id="rId95" Type="http://schemas.openxmlformats.org/officeDocument/2006/relationships/image" Target="media/image45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3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image" Target="media/image2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oleObject" Target="embeddings/oleObject18.bin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8" Type="http://schemas.openxmlformats.org/officeDocument/2006/relationships/fontTable" Target="fontTable.xml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2026-09-04T03:18:00Z</dcterms:created>
  <dc:creator>。。。。</dc:creator>
  <cp:lastModifiedBy>。。。。</cp:lastModifiedBy>
  <dcterms:modified xsi:type="dcterms:W3CDTF">2026-09-04T07:47:17Z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66CC7814AB524C73B5A2EAAFE0BA155A_11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