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4F1FF0E">
      <w:pPr>
        <w:jc w:val="center"/>
      </w:pPr>
      <w:bookmarkStart w:id="0" w:name="_GoBack"/>
      <w:bookmarkEnd w:id="0"/>
      <w:r>
        <w:rPr>
          <w:rFonts w:ascii="宋体" w:hAnsi="宋体" w:eastAsia="宋体"/>
          <w:b/>
          <w:sz w:val="24"/>
        </w:rPr>
        <w:t>表 6-2  模型推广应用场景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2835"/>
        <w:gridCol w:w="4535"/>
        <w:gridCol w:w="3402"/>
      </w:tblGrid>
      <w:tr w14:paraId="504B66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268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8D763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19"/>
              </w:rPr>
              <w:t>推广场景</w:t>
            </w:r>
          </w:p>
        </w:tc>
        <w:tc>
          <w:tcPr>
            <w:tcW w:w="2835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59BF9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19"/>
              </w:rPr>
              <w:t>可借鉴的模型思想</w:t>
            </w:r>
          </w:p>
        </w:tc>
        <w:tc>
          <w:tcPr>
            <w:tcW w:w="4535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CA020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19"/>
              </w:rPr>
              <w:t>数据替换与关键参数</w:t>
            </w:r>
          </w:p>
        </w:tc>
        <w:tc>
          <w:tcPr>
            <w:tcW w:w="3402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41381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19"/>
              </w:rPr>
              <w:t>应用目标</w:t>
            </w:r>
          </w:p>
        </w:tc>
      </w:tr>
      <w:tr w14:paraId="4ACF2A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E87E69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消防站布局优化</w:t>
            </w:r>
          </w:p>
        </w:tc>
        <w:tc>
          <w:tcPr>
            <w:tcW w:w="28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C2AA69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道路网络最短路径模型；覆盖分配模型；新增设施选址模型。</w:t>
            </w:r>
          </w:p>
        </w:tc>
        <w:tc>
          <w:tcPr>
            <w:tcW w:w="45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286788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将交巡警平台替换为消防站，将发案率替换为火灾风险、人口密度或重点建筑权重，将 3 分钟服务半径替换为消防响应时间标准。</w:t>
            </w:r>
          </w:p>
        </w:tc>
        <w:tc>
          <w:tcPr>
            <w:tcW w:w="340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C22EA6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提高重点区域消防覆盖率，缩短火灾初期响应时间，降低最远服务点的到达时间。</w:t>
            </w:r>
          </w:p>
        </w:tc>
      </w:tr>
      <w:tr w14:paraId="282568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4E8078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急救站与医疗救援点选址</w:t>
            </w:r>
          </w:p>
        </w:tc>
        <w:tc>
          <w:tcPr>
            <w:tcW w:w="28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0ECE2B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加权覆盖模型；最大响应时间控制；服务范围重新分配。</w:t>
            </w:r>
          </w:p>
        </w:tc>
        <w:tc>
          <w:tcPr>
            <w:tcW w:w="45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0FE509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将道路节点作为急救需求点，引入人口密度、老龄人口比例、历史急救呼叫量等权重，并将平台工作量替换为急救呼叫强度。</w:t>
            </w:r>
          </w:p>
        </w:tc>
        <w:tc>
          <w:tcPr>
            <w:tcW w:w="340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9FCC4D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提升高需求区域的急救可达性，减少急救盲区，使急救资源分布更均衡。</w:t>
            </w:r>
          </w:p>
        </w:tc>
      </w:tr>
      <w:tr w14:paraId="798F83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F52F0C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重大活动安保布控</w:t>
            </w:r>
          </w:p>
        </w:tc>
        <w:tc>
          <w:tcPr>
            <w:tcW w:w="28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E5D9C1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瓶颈指派模型；一对一快速调度模型。</w:t>
            </w:r>
          </w:p>
        </w:tc>
        <w:tc>
          <w:tcPr>
            <w:tcW w:w="45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54CF82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将封锁口替换为安保卡点、出入口或重点通道，将交巡警平台替换为安保力量集结点，并以到达时间作为调度成本。</w:t>
            </w:r>
          </w:p>
        </w:tc>
        <w:tc>
          <w:tcPr>
            <w:tcW w:w="340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71F684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在有限人员条件下快速完成全部卡点布控，降低最晚到达卡点的时间。</w:t>
            </w:r>
          </w:p>
        </w:tc>
      </w:tr>
      <w:tr w14:paraId="14865E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5EAE08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交通管制与应急封控</w:t>
            </w:r>
          </w:p>
        </w:tc>
        <w:tc>
          <w:tcPr>
            <w:tcW w:w="28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62023D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最小最大时间指派模型；关键路口封锁调度模型。</w:t>
            </w:r>
          </w:p>
        </w:tc>
        <w:tc>
          <w:tcPr>
            <w:tcW w:w="45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966251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将进出城区交通要道替换为需要管制的道路节点或桥隧出入口，将平台替换为执勤点、交警中队或移动警力。</w:t>
            </w:r>
          </w:p>
        </w:tc>
        <w:tc>
          <w:tcPr>
            <w:tcW w:w="340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B66B54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在突发事件、事故分流或区域管制场景下，实现关键通道快速封控。</w:t>
            </w:r>
          </w:p>
        </w:tc>
      </w:tr>
      <w:tr w14:paraId="582D30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0E6C95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快递、外卖配送站点布局</w:t>
            </w:r>
          </w:p>
        </w:tc>
        <w:tc>
          <w:tcPr>
            <w:tcW w:w="28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8D105C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服务范围分配模型；设施选址-分配联合优化。</w:t>
            </w:r>
          </w:p>
        </w:tc>
        <w:tc>
          <w:tcPr>
            <w:tcW w:w="45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3D87C2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将交巡警平台替换为配送站，将节点需求权重替换为订单量、配送频次或客户密度，将出警距离替换为配送距离或配送时间。</w:t>
            </w:r>
          </w:p>
        </w:tc>
        <w:tc>
          <w:tcPr>
            <w:tcW w:w="340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7CD737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降低平均配送距离，改善高订单区域的服务时效，提高站点负荷均衡性。</w:t>
            </w:r>
          </w:p>
        </w:tc>
      </w:tr>
      <w:tr w14:paraId="28935B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7A80D9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社区公共服务设施配置</w:t>
            </w:r>
          </w:p>
        </w:tc>
        <w:tc>
          <w:tcPr>
            <w:tcW w:w="28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1806BC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加权服务覆盖模型；工作量均衡评价模型。</w:t>
            </w:r>
          </w:p>
        </w:tc>
        <w:tc>
          <w:tcPr>
            <w:tcW w:w="45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D81BF7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将平台替换为社区服务中心、便民服务站或网格化管理点，将发案率替换为人口规模、服务需求频次或重点人群权重。</w:t>
            </w:r>
          </w:p>
        </w:tc>
        <w:tc>
          <w:tcPr>
            <w:tcW w:w="340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BE1776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提高居民服务可达性，减少公共服务空白区域，优化基层服务资源布局。</w:t>
            </w:r>
          </w:p>
        </w:tc>
      </w:tr>
    </w:tbl>
    <w:p w14:paraId="3F2A8406">
      <w:pPr>
        <w:spacing w:before="160" w:line="288" w:lineRule="auto"/>
      </w:pPr>
      <w:r>
        <w:rPr>
          <w:rFonts w:ascii="宋体" w:hAnsi="宋体" w:eastAsia="宋体"/>
          <w:sz w:val="20"/>
        </w:rPr>
        <w:t>说明：表中推广场景均以道路网络最短路径为基础，通过替换服务设施、需求权重和响应时间标准，可将本文模型扩展到不同类型的应急服务与公共服务资源配置问题。</w:t>
      </w:r>
    </w:p>
    <w:sectPr>
      <w:pgSz w:w="15840" w:h="12240" w:orient="landscape"/>
      <w:pgMar w:top="964" w:right="964" w:bottom="964" w:left="964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7F918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qFormat="1"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宋体" w:hAnsi="宋体" w:eastAsia="宋体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807</Words>
  <Characters>809</Characters>
  <Lines>0</Lines>
  <Paragraphs>0</Paragraphs>
  <TotalTime>0</TotalTime>
  <ScaleCrop>false</ScaleCrop>
  <LinksUpToDate>false</LinksUpToDate>
  <CharactersWithSpaces>814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。。。。</cp:lastModifiedBy>
  <dcterms:modified xsi:type="dcterms:W3CDTF">2026-06-30T13:03:42Z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F6901F38D0D3440BACFBDEE4F7743442_13</vt:lpwstr>
  </property>
</Properties>
</file>