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47F729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以单个航班为研究对象，根据第二问的结果，单航班平均旅客人数为153人，其中60%的旅客选择出租车，故进入出租车乘车区的旅客人数约为92人。将其划分为30个3人乘客组和1个2人乘客组，共形成31项出租车上客任务。</w:t>
      </w:r>
    </w:p>
    <w:p w14:paraId="4C1837F4">
      <w:pPr>
        <w:pStyle w:val="2"/>
        <w:keepNext w:val="0"/>
        <w:keepLines w:val="0"/>
        <w:widowControl/>
        <w:suppressLineNumbers w:val="0"/>
      </w:pPr>
      <w:r>
        <w:t>在30分钟规划期内对模型进行求解，31项任务均得到安排，92名乘客全部完成乘车，实际最晚完成时刻为21分钟。模型求解的主要结果如表10所示。</w:t>
      </w:r>
    </w:p>
    <w:p w14:paraId="72141460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表10 双车道上车点布局与调度求解结果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5"/>
        <w:gridCol w:w="1335"/>
      </w:tblGrid>
      <w:tr w14:paraId="3E6395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F7295A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shd w:val="clear"/>
            <w:vAlign w:val="center"/>
          </w:tcPr>
          <w:p w14:paraId="6C3AFFA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求解结果</w:t>
            </w:r>
          </w:p>
        </w:tc>
      </w:tr>
      <w:tr w14:paraId="7FF24A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1D36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单航班平均旅客人数</w:t>
            </w:r>
          </w:p>
        </w:tc>
        <w:tc>
          <w:tcPr>
            <w:tcW w:w="0" w:type="auto"/>
            <w:shd w:val="clear"/>
            <w:vAlign w:val="center"/>
          </w:tcPr>
          <w:p w14:paraId="2BB8EF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153人</w:t>
            </w:r>
          </w:p>
        </w:tc>
      </w:tr>
      <w:tr w14:paraId="498F52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3103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选择出租车的旅客比例</w:t>
            </w:r>
          </w:p>
        </w:tc>
        <w:tc>
          <w:tcPr>
            <w:tcW w:w="0" w:type="auto"/>
            <w:shd w:val="clear"/>
            <w:vAlign w:val="center"/>
          </w:tcPr>
          <w:p w14:paraId="5C5F1D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60%</w:t>
            </w:r>
          </w:p>
        </w:tc>
      </w:tr>
      <w:tr w14:paraId="33C143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CDD6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选择出租车的旅客人数</w:t>
            </w:r>
          </w:p>
        </w:tc>
        <w:tc>
          <w:tcPr>
            <w:tcW w:w="0" w:type="auto"/>
            <w:shd w:val="clear"/>
            <w:vAlign w:val="center"/>
          </w:tcPr>
          <w:p w14:paraId="586936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92人</w:t>
            </w:r>
          </w:p>
        </w:tc>
      </w:tr>
      <w:tr w14:paraId="5704A6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1AFB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3人乘客组数量</w:t>
            </w:r>
          </w:p>
        </w:tc>
        <w:tc>
          <w:tcPr>
            <w:tcW w:w="0" w:type="auto"/>
            <w:shd w:val="clear"/>
            <w:vAlign w:val="center"/>
          </w:tcPr>
          <w:p w14:paraId="03732E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30组</w:t>
            </w:r>
          </w:p>
        </w:tc>
      </w:tr>
      <w:tr w14:paraId="3F65F3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704B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2人乘客组数量</w:t>
            </w:r>
          </w:p>
        </w:tc>
        <w:tc>
          <w:tcPr>
            <w:tcW w:w="0" w:type="auto"/>
            <w:shd w:val="clear"/>
            <w:vAlign w:val="center"/>
          </w:tcPr>
          <w:p w14:paraId="4D0121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1组</w:t>
            </w:r>
          </w:p>
        </w:tc>
      </w:tr>
      <w:tr w14:paraId="17C3E0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0CD5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出租车上客任务数</w:t>
            </w:r>
          </w:p>
        </w:tc>
        <w:tc>
          <w:tcPr>
            <w:tcW w:w="0" w:type="auto"/>
            <w:shd w:val="clear"/>
            <w:vAlign w:val="center"/>
          </w:tcPr>
          <w:p w14:paraId="2044C2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31项</w:t>
            </w:r>
          </w:p>
        </w:tc>
      </w:tr>
      <w:tr w14:paraId="33C5C7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EA7F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完成任务数</w:t>
            </w:r>
          </w:p>
        </w:tc>
        <w:tc>
          <w:tcPr>
            <w:tcW w:w="0" w:type="auto"/>
            <w:shd w:val="clear"/>
            <w:vAlign w:val="center"/>
          </w:tcPr>
          <w:p w14:paraId="72B219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31项</w:t>
            </w:r>
          </w:p>
        </w:tc>
      </w:tr>
      <w:tr w14:paraId="231BF7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AAC3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完成乘车人数</w:t>
            </w:r>
          </w:p>
        </w:tc>
        <w:tc>
          <w:tcPr>
            <w:tcW w:w="0" w:type="auto"/>
            <w:shd w:val="clear"/>
            <w:vAlign w:val="center"/>
          </w:tcPr>
          <w:p w14:paraId="645517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92人</w:t>
            </w:r>
          </w:p>
        </w:tc>
      </w:tr>
      <w:tr w14:paraId="700D55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491D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启用上车点数量</w:t>
            </w:r>
          </w:p>
        </w:tc>
        <w:tc>
          <w:tcPr>
            <w:tcW w:w="0" w:type="auto"/>
            <w:shd w:val="clear"/>
            <w:vAlign w:val="center"/>
          </w:tcPr>
          <w:p w14:paraId="5D9137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5个</w:t>
            </w:r>
          </w:p>
        </w:tc>
      </w:tr>
      <w:tr w14:paraId="5316D4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AD4A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最晚完成时刻</w:t>
            </w:r>
          </w:p>
        </w:tc>
        <w:tc>
          <w:tcPr>
            <w:tcW w:w="0" w:type="auto"/>
            <w:shd w:val="clear"/>
            <w:vAlign w:val="center"/>
          </w:tcPr>
          <w:p w14:paraId="5215CE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21 min</w:t>
            </w:r>
          </w:p>
        </w:tc>
      </w:tr>
      <w:tr w14:paraId="0873A7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2355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任务平均等待时间</w:t>
            </w:r>
          </w:p>
        </w:tc>
        <w:tc>
          <w:tcPr>
            <w:tcW w:w="0" w:type="auto"/>
            <w:shd w:val="clear"/>
            <w:vAlign w:val="center"/>
          </w:tcPr>
          <w:p w14:paraId="1FE0D2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8.77 min</w:t>
            </w:r>
          </w:p>
        </w:tc>
      </w:tr>
      <w:tr w14:paraId="55D06A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3AF5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乘客平均步行距离</w:t>
            </w:r>
          </w:p>
        </w:tc>
        <w:tc>
          <w:tcPr>
            <w:tcW w:w="0" w:type="auto"/>
            <w:shd w:val="clear"/>
            <w:vAlign w:val="center"/>
          </w:tcPr>
          <w:p w14:paraId="629ADE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19.26 m/人</w:t>
            </w:r>
          </w:p>
        </w:tc>
      </w:tr>
      <w:tr w14:paraId="250E8E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F3D1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车辆服务效率</w:t>
            </w:r>
          </w:p>
        </w:tc>
        <w:tc>
          <w:tcPr>
            <w:tcW w:w="0" w:type="auto"/>
            <w:shd w:val="clear"/>
            <w:vAlign w:val="center"/>
          </w:tcPr>
          <w:p w14:paraId="22B9B6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88.57辆/h</w:t>
            </w:r>
          </w:p>
        </w:tc>
      </w:tr>
      <w:tr w14:paraId="43C044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FAC5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乘客服务效率</w:t>
            </w:r>
          </w:p>
        </w:tc>
        <w:tc>
          <w:tcPr>
            <w:tcW w:w="0" w:type="auto"/>
            <w:shd w:val="clear"/>
            <w:vAlign w:val="center"/>
          </w:tcPr>
          <w:p w14:paraId="67904C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262.86人/h</w:t>
            </w:r>
          </w:p>
        </w:tc>
      </w:tr>
    </w:tbl>
    <w:p w14:paraId="1DBFC31E">
      <w:pPr>
        <w:pStyle w:val="2"/>
        <w:keepNext w:val="0"/>
        <w:keepLines w:val="0"/>
        <w:widowControl/>
        <w:suppressLineNumbers w:val="0"/>
      </w:pPr>
      <w:r>
        <w:t>车辆服务效率按照21分钟内完成31项出租车上客任务计算，即：</w:t>
      </w:r>
    </w:p>
    <w:p w14:paraId="240CD753">
      <w:pPr>
        <w:pStyle w:val="2"/>
        <w:keepNext w:val="0"/>
        <w:keepLines w:val="0"/>
        <w:widowControl/>
        <w:suppressLineNumbers w:val="0"/>
        <w:ind w:left="252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position w:val="-24"/>
          <w:lang w:eastAsia="zh-CN"/>
        </w:rPr>
        <w:object>
          <v:shape id="_x0000_i1025" o:spt="75" type="#_x0000_t75" style="height:31pt;width:101pt;" o:ole="t" filled="f" o:preferrelative="t" stroked="f" coordsize="21600,21600"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  <w:r>
        <w:rPr>
          <w:rFonts w:hint="eastAsia"/>
          <w:lang w:val="en-US" w:eastAsia="zh-CN"/>
        </w:rPr>
        <w:t>辆/h</w:t>
      </w:r>
    </w:p>
    <w:p w14:paraId="35AC188F">
      <w:pPr>
        <w:pStyle w:val="2"/>
        <w:keepNext w:val="0"/>
        <w:keepLines w:val="0"/>
        <w:widowControl/>
        <w:suppressLineNumbers w:val="0"/>
      </w:pPr>
      <w:r>
        <w:t>同理，乘客服务效率为：</w:t>
      </w:r>
    </w:p>
    <w:p w14:paraId="38CA9EF8">
      <w:pPr>
        <w:pStyle w:val="2"/>
        <w:keepNext w:val="0"/>
        <w:keepLines w:val="0"/>
        <w:widowControl/>
        <w:suppressLineNumbers w:val="0"/>
        <w:ind w:left="2100" w:leftChars="0" w:firstLine="420" w:firstLineChars="0"/>
        <w:rPr>
          <w:rFonts w:hint="default"/>
          <w:lang w:val="en-US"/>
        </w:rPr>
      </w:pPr>
      <w:r>
        <w:rPr>
          <w:rFonts w:hint="eastAsia" w:eastAsiaTheme="minorEastAsia"/>
          <w:position w:val="-24"/>
          <w:lang w:eastAsia="zh-CN"/>
        </w:rPr>
        <w:object>
          <v:shape id="_x0000_i1026" o:spt="75" alt="" type="#_x0000_t75" style="height:31pt;width:110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6">
            <o:LockedField>false</o:LockedField>
          </o:OLEObject>
        </w:object>
      </w:r>
      <w:r>
        <w:rPr>
          <w:rFonts w:hint="eastAsia"/>
          <w:lang w:val="en-US" w:eastAsia="zh-CN"/>
        </w:rPr>
        <w:t>人/h</w:t>
      </w:r>
    </w:p>
    <w:p w14:paraId="21D6461E">
      <w:pPr>
        <w:pStyle w:val="2"/>
        <w:keepNext w:val="0"/>
        <w:keepLines w:val="0"/>
        <w:widowControl/>
        <w:suppressLineNumbers w:val="0"/>
      </w:pPr>
      <w:r>
        <w:t>这里的服务效率为当前单航班集中到达情景下的折算小时服务能力，主要用于评价不同上车点布局和调度方案的相对效率。</w:t>
      </w:r>
    </w:p>
    <w:p w14:paraId="15A2C3A9">
      <w:pPr>
        <w:pStyle w:val="2"/>
        <w:keepNext w:val="0"/>
        <w:keepLines w:val="0"/>
        <w:widowControl/>
        <w:suppressLineNumbers w:val="0"/>
      </w:pPr>
      <w:r>
        <w:t>模型从15个候选位置中选出5个上车点，具体位置如表11所示。</w:t>
      </w:r>
    </w:p>
    <w:p w14:paraId="3655CBD6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表11 最终启用的上车点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8"/>
        <w:gridCol w:w="1024"/>
        <w:gridCol w:w="1507"/>
        <w:gridCol w:w="1748"/>
        <w:gridCol w:w="1280"/>
      </w:tblGrid>
      <w:tr w14:paraId="5C5D22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55C4C8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上车点</w:t>
            </w:r>
          </w:p>
        </w:tc>
        <w:tc>
          <w:tcPr>
            <w:tcW w:w="0" w:type="auto"/>
            <w:shd w:val="clear"/>
            <w:vAlign w:val="center"/>
          </w:tcPr>
          <w:p w14:paraId="48EB75D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所在车道</w:t>
            </w:r>
          </w:p>
        </w:tc>
        <w:tc>
          <w:tcPr>
            <w:tcW w:w="0" w:type="auto"/>
            <w:shd w:val="clear"/>
            <w:vAlign w:val="center"/>
          </w:tcPr>
          <w:p w14:paraId="145A598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沿车道位置/m</w:t>
            </w:r>
          </w:p>
        </w:tc>
        <w:tc>
          <w:tcPr>
            <w:tcW w:w="0" w:type="auto"/>
            <w:shd w:val="clear"/>
            <w:vAlign w:val="center"/>
          </w:tcPr>
          <w:p w14:paraId="065943A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乘客步行距离/m</w:t>
            </w:r>
          </w:p>
        </w:tc>
        <w:tc>
          <w:tcPr>
            <w:tcW w:w="0" w:type="auto"/>
            <w:shd w:val="clear"/>
            <w:vAlign w:val="center"/>
          </w:tcPr>
          <w:p w14:paraId="501CA60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承担任务数</w:t>
            </w:r>
          </w:p>
        </w:tc>
      </w:tr>
      <w:tr w14:paraId="3465F6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FC75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0" w:type="auto"/>
            <w:shd w:val="clear"/>
            <w:vAlign w:val="center"/>
          </w:tcPr>
          <w:p w14:paraId="36EE87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车道1</w:t>
            </w:r>
          </w:p>
        </w:tc>
        <w:tc>
          <w:tcPr>
            <w:tcW w:w="0" w:type="auto"/>
            <w:shd w:val="clear"/>
            <w:vAlign w:val="center"/>
          </w:tcPr>
          <w:p w14:paraId="50EC59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8.0</w:t>
            </w:r>
          </w:p>
        </w:tc>
        <w:tc>
          <w:tcPr>
            <w:tcW w:w="0" w:type="auto"/>
            <w:shd w:val="clear"/>
            <w:vAlign w:val="center"/>
          </w:tcPr>
          <w:p w14:paraId="447B74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9.60</w:t>
            </w:r>
          </w:p>
        </w:tc>
        <w:tc>
          <w:tcPr>
            <w:tcW w:w="0" w:type="auto"/>
            <w:shd w:val="clear"/>
            <w:vAlign w:val="center"/>
          </w:tcPr>
          <w:p w14:paraId="361B0A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</w:tr>
      <w:tr w14:paraId="153143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C71B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P4</w:t>
            </w:r>
          </w:p>
        </w:tc>
        <w:tc>
          <w:tcPr>
            <w:tcW w:w="0" w:type="auto"/>
            <w:shd w:val="clear"/>
            <w:vAlign w:val="center"/>
          </w:tcPr>
          <w:p w14:paraId="3D9911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车道1</w:t>
            </w:r>
          </w:p>
        </w:tc>
        <w:tc>
          <w:tcPr>
            <w:tcW w:w="0" w:type="auto"/>
            <w:shd w:val="clear"/>
            <w:vAlign w:val="center"/>
          </w:tcPr>
          <w:p w14:paraId="3DAD52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29.0</w:t>
            </w:r>
          </w:p>
        </w:tc>
        <w:tc>
          <w:tcPr>
            <w:tcW w:w="0" w:type="auto"/>
            <w:shd w:val="clear"/>
            <w:vAlign w:val="center"/>
          </w:tcPr>
          <w:p w14:paraId="669F98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19.05</w:t>
            </w:r>
          </w:p>
        </w:tc>
        <w:tc>
          <w:tcPr>
            <w:tcW w:w="0" w:type="auto"/>
            <w:shd w:val="clear"/>
            <w:vAlign w:val="center"/>
          </w:tcPr>
          <w:p w14:paraId="720A98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</w:tr>
      <w:tr w14:paraId="2F21C6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52EB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P6</w:t>
            </w:r>
          </w:p>
        </w:tc>
        <w:tc>
          <w:tcPr>
            <w:tcW w:w="0" w:type="auto"/>
            <w:shd w:val="clear"/>
            <w:vAlign w:val="center"/>
          </w:tcPr>
          <w:p w14:paraId="1C7052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车道1</w:t>
            </w:r>
          </w:p>
        </w:tc>
        <w:tc>
          <w:tcPr>
            <w:tcW w:w="0" w:type="auto"/>
            <w:shd w:val="clear"/>
            <w:vAlign w:val="center"/>
          </w:tcPr>
          <w:p w14:paraId="7634BF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43.0</w:t>
            </w:r>
          </w:p>
        </w:tc>
        <w:tc>
          <w:tcPr>
            <w:tcW w:w="0" w:type="auto"/>
            <w:shd w:val="clear"/>
            <w:vAlign w:val="center"/>
          </w:tcPr>
          <w:p w14:paraId="152B9C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25.35</w:t>
            </w:r>
          </w:p>
        </w:tc>
        <w:tc>
          <w:tcPr>
            <w:tcW w:w="0" w:type="auto"/>
            <w:shd w:val="clear"/>
            <w:vAlign w:val="center"/>
          </w:tcPr>
          <w:p w14:paraId="13A1E8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</w:tr>
      <w:tr w14:paraId="63E603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BF58F8">
            <w:pPr>
              <w:keepNext w:val="0"/>
              <w:keepLines w:val="0"/>
              <w:widowControl/>
              <w:suppressLineNumbers w:val="0"/>
              <w:jc w:val="left"/>
            </w:pPr>
            <w:bookmarkStart w:id="0" w:name="_GoBack"/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P8</w:t>
            </w:r>
          </w:p>
        </w:tc>
        <w:tc>
          <w:tcPr>
            <w:tcW w:w="0" w:type="auto"/>
            <w:shd w:val="clear"/>
            <w:vAlign w:val="center"/>
          </w:tcPr>
          <w:p w14:paraId="325088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车道1</w:t>
            </w:r>
          </w:p>
        </w:tc>
        <w:tc>
          <w:tcPr>
            <w:tcW w:w="0" w:type="auto"/>
            <w:shd w:val="clear"/>
            <w:vAlign w:val="center"/>
          </w:tcPr>
          <w:p w14:paraId="48F2AD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57.0</w:t>
            </w:r>
          </w:p>
        </w:tc>
        <w:tc>
          <w:tcPr>
            <w:tcW w:w="0" w:type="auto"/>
            <w:shd w:val="clear"/>
            <w:vAlign w:val="center"/>
          </w:tcPr>
          <w:p w14:paraId="6DC7BB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31.65</w:t>
            </w:r>
          </w:p>
        </w:tc>
        <w:tc>
          <w:tcPr>
            <w:tcW w:w="0" w:type="auto"/>
            <w:shd w:val="clear"/>
            <w:vAlign w:val="center"/>
          </w:tcPr>
          <w:p w14:paraId="2F8E83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</w:tr>
      <w:bookmarkEnd w:id="0"/>
      <w:tr w14:paraId="77FF0E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9D1B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P10</w:t>
            </w:r>
          </w:p>
        </w:tc>
        <w:tc>
          <w:tcPr>
            <w:tcW w:w="0" w:type="auto"/>
            <w:shd w:val="clear"/>
            <w:vAlign w:val="center"/>
          </w:tcPr>
          <w:p w14:paraId="405BEA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车道2</w:t>
            </w:r>
          </w:p>
        </w:tc>
        <w:tc>
          <w:tcPr>
            <w:tcW w:w="0" w:type="auto"/>
            <w:shd w:val="clear"/>
            <w:vAlign w:val="center"/>
          </w:tcPr>
          <w:p w14:paraId="3CAF51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18.5</w:t>
            </w:r>
          </w:p>
        </w:tc>
        <w:tc>
          <w:tcPr>
            <w:tcW w:w="0" w:type="auto"/>
            <w:shd w:val="clear"/>
            <w:vAlign w:val="center"/>
          </w:tcPr>
          <w:p w14:paraId="19857C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18.33</w:t>
            </w:r>
          </w:p>
        </w:tc>
        <w:tc>
          <w:tcPr>
            <w:tcW w:w="0" w:type="auto"/>
            <w:shd w:val="clear"/>
            <w:vAlign w:val="center"/>
          </w:tcPr>
          <w:p w14:paraId="391F0C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</w:tr>
    </w:tbl>
    <w:p w14:paraId="42ED6201">
      <w:pPr>
        <w:pStyle w:val="2"/>
        <w:keepNext w:val="0"/>
        <w:keepLines w:val="0"/>
        <w:widowControl/>
        <w:suppressLineNumbers w:val="0"/>
      </w:pPr>
      <w:r>
        <w:t>由图8可知，车道1启用了P1、P4、P6和P8共4个上车点，车道2启用了P10一个上车点。两条车道中的上车点在纵向位置上呈错位分布，能够避免不同车道中位置过近的车辆同时启动或驶离。</w:t>
      </w:r>
    </w:p>
    <w:p w14:paraId="7EA753FB">
      <w:pPr>
        <w:pStyle w:val="2"/>
        <w:keepNext w:val="0"/>
        <w:keepLines w:val="0"/>
        <w:widowControl/>
        <w:suppressLineNumbers w:val="0"/>
      </w:pPr>
      <w:r>
        <w:t>车道1靠近乘客候车区域，其步行距离整体较短，因此承担了主要上客任务，共完成24项任务、服务71名乘客；车道2中的P10承担7项任务、服务21名乘客，主要发挥辅助分流作用。该结果表明，在保证完成时间最短的前提下，模型会优先使用步行距离较短的车道1，同时保留车道2的部分服务能力，以提高整体并行效率。</w:t>
      </w:r>
    </w:p>
    <w:p w14:paraId="57DC849C">
      <w:pPr>
        <w:pStyle w:val="2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3441065"/>
            <wp:effectExtent l="0" t="0" r="7620" b="6985"/>
            <wp:docPr id="3" name="图片 3" descr="question3_fast_figure1_lay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question3_fast_figure1_layout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CA64F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图8 双车道候选上车点及最终启用方案</w:t>
      </w:r>
    </w:p>
    <w:p w14:paraId="0A0D9336">
      <w:pPr>
        <w:pStyle w:val="2"/>
        <w:keepNext w:val="0"/>
        <w:keepLines w:val="0"/>
        <w:widowControl/>
        <w:suppressLineNumbers w:val="0"/>
      </w:pPr>
      <w:r>
        <w:t>根据任务调度结果，31项任务分为8个开始服务批次，具体如表12所示。</w:t>
      </w:r>
    </w:p>
    <w:p w14:paraId="44A7CE29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表12 各批次任务调度结果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3"/>
        <w:gridCol w:w="1265"/>
        <w:gridCol w:w="1627"/>
        <w:gridCol w:w="2487"/>
      </w:tblGrid>
      <w:tr w14:paraId="59C2F5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3DF69F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开始时刻/min</w:t>
            </w:r>
          </w:p>
        </w:tc>
        <w:tc>
          <w:tcPr>
            <w:tcW w:w="0" w:type="auto"/>
            <w:shd w:val="clear"/>
            <w:vAlign w:val="center"/>
          </w:tcPr>
          <w:p w14:paraId="0810757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开始任务数</w:t>
            </w:r>
          </w:p>
        </w:tc>
        <w:tc>
          <w:tcPr>
            <w:tcW w:w="0" w:type="auto"/>
            <w:shd w:val="clear"/>
            <w:vAlign w:val="center"/>
          </w:tcPr>
          <w:p w14:paraId="65F55F9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服务乘客数/人</w:t>
            </w:r>
          </w:p>
        </w:tc>
        <w:tc>
          <w:tcPr>
            <w:tcW w:w="0" w:type="auto"/>
            <w:shd w:val="clear"/>
            <w:vAlign w:val="center"/>
          </w:tcPr>
          <w:p w14:paraId="60503AC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本批最晚完成时刻/min</w:t>
            </w:r>
          </w:p>
        </w:tc>
      </w:tr>
      <w:tr w14:paraId="3E9551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5C98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11E1BF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71ACDC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0" w:type="auto"/>
            <w:shd w:val="clear"/>
            <w:vAlign w:val="center"/>
          </w:tcPr>
          <w:p w14:paraId="44B4FB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</w:tr>
      <w:tr w14:paraId="3DA9D6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36CE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37D974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324475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/>
            <w:vAlign w:val="center"/>
          </w:tcPr>
          <w:p w14:paraId="74C5D9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</w:tr>
      <w:tr w14:paraId="624086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7F94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292C97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15E5BB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/>
            <w:vAlign w:val="center"/>
          </w:tcPr>
          <w:p w14:paraId="1B4826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  <w:tr w14:paraId="175BE0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93DC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vAlign w:val="center"/>
          </w:tcPr>
          <w:p w14:paraId="4FDD24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1CB857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/>
            <w:vAlign w:val="center"/>
          </w:tcPr>
          <w:p w14:paraId="2BCEED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</w:tr>
      <w:tr w14:paraId="00064C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DF43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/>
            <w:vAlign w:val="center"/>
          </w:tcPr>
          <w:p w14:paraId="79147F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378BCB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/>
            <w:vAlign w:val="center"/>
          </w:tcPr>
          <w:p w14:paraId="250675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</w:tr>
      <w:tr w14:paraId="6B0DF2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2A9A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0" w:type="auto"/>
            <w:shd w:val="clear"/>
            <w:vAlign w:val="center"/>
          </w:tcPr>
          <w:p w14:paraId="5D845D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63E9A7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5FCAE3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</w:t>
            </w:r>
          </w:p>
        </w:tc>
      </w:tr>
      <w:tr w14:paraId="1420EC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EBF7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/>
            <w:vAlign w:val="center"/>
          </w:tcPr>
          <w:p w14:paraId="5B5981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79D0CE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/>
            <w:vAlign w:val="center"/>
          </w:tcPr>
          <w:p w14:paraId="6C8F14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</w:t>
            </w:r>
          </w:p>
        </w:tc>
      </w:tr>
      <w:tr w14:paraId="25F607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5BF9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</w:t>
            </w:r>
          </w:p>
        </w:tc>
        <w:tc>
          <w:tcPr>
            <w:tcW w:w="0" w:type="auto"/>
            <w:shd w:val="clear"/>
            <w:vAlign w:val="center"/>
          </w:tcPr>
          <w:p w14:paraId="084843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6DD126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/>
            <w:vAlign w:val="center"/>
          </w:tcPr>
          <w:p w14:paraId="730644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21</w:t>
            </w:r>
          </w:p>
        </w:tc>
      </w:tr>
    </w:tbl>
    <w:p w14:paraId="759568F8">
      <w:pPr>
        <w:pStyle w:val="2"/>
        <w:keepNext w:val="0"/>
        <w:keepLines w:val="0"/>
        <w:widowControl/>
        <w:suppressLineNumbers w:val="0"/>
      </w:pPr>
      <w:r>
        <w:t>在0分钟时，P1、P4、P6、P8和P10同时投入服务，共安排5项任务。其中，唯一的2人乘客组被安排至P8，并在3分钟内完成。P1、P4、P6和P10的大部分任务服务时间均为3分钟，因此可以按照3分钟左右的周期连续周转。</w:t>
      </w:r>
    </w:p>
    <w:p w14:paraId="1801BBE2">
      <w:pPr>
        <w:pStyle w:val="2"/>
        <w:keepNext w:val="0"/>
        <w:keepLines w:val="0"/>
        <w:widowControl/>
        <w:suppressLineNumbers w:val="0"/>
      </w:pPr>
      <w:r>
        <w:t>P8距离候车区域较远，乘客步行时间相对较长，3人乘客组在该点的服务时间达到4分钟。因此，模型仅在0分钟、6分钟和14分钟三个时刻使用P8，而未将其作为持续运行的主上车点。该安排说明P8主要用于高峰阶段提高并行服务能力，而P1、P4、P6和P10构成稳定运行的主要上车点。</w:t>
      </w:r>
    </w:p>
    <w:p w14:paraId="48D288EA">
      <w:pPr>
        <w:pStyle w:val="2"/>
        <w:keepNext w:val="0"/>
        <w:keepLines w:val="0"/>
        <w:widowControl/>
        <w:suppressLineNumbers w:val="0"/>
      </w:pPr>
      <w:r>
        <w:t>由图9的甘特图可以看出，同一上车点上的各项任务在时间上不存在重叠，任务完成后下一组乘客才进入该上车点。两条车道能够在多个时段并行运行，所有任务最终于21分钟完成。</w:t>
      </w:r>
    </w:p>
    <w:p w14:paraId="2BE164C4">
      <w:pPr>
        <w:pStyle w:val="2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3390900"/>
            <wp:effectExtent l="0" t="0" r="5080" b="0"/>
            <wp:docPr id="2" name="图片 2" descr="question3_fast_figure2_gant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question3_fast_figure2_gantt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BC4BA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图9 最优出租车—乘客组调度甘特图</w:t>
      </w:r>
    </w:p>
    <w:p w14:paraId="09D4A545">
      <w:pPr>
        <w:pStyle w:val="2"/>
        <w:keepNext w:val="0"/>
        <w:keepLines w:val="0"/>
        <w:widowControl/>
        <w:suppressLineNumbers w:val="0"/>
      </w:pPr>
      <w:r>
        <w:t>由于同一航班的92名出租车旅客被视为同一批次到达，因此各任务的等待时间等于其开始服务时刻。31项任务的平均等待时间为8.77分钟。该指标是对乘客组等待时间的平均，并非对每名乘客单独加权计算。</w:t>
      </w:r>
    </w:p>
    <w:p w14:paraId="4BA45907">
      <w:pPr>
        <w:pStyle w:val="2"/>
        <w:keepNext w:val="0"/>
        <w:keepLines w:val="0"/>
        <w:widowControl/>
        <w:suppressLineNumbers w:val="0"/>
      </w:pPr>
      <w:r>
        <w:t>从图10可以看出，车道1在主要服务阶段同时服务3至4辆出租车，车道2同时服务1辆出租车。0至21分钟内，两条车道持续参与调度；21分钟后所有任务完成，两条车道占用数量降为0。</w:t>
      </w:r>
    </w:p>
    <w:p w14:paraId="28EA3A96">
      <w:pPr>
        <w:pStyle w:val="2"/>
        <w:keepNext w:val="0"/>
        <w:keepLines w:val="0"/>
        <w:widowControl/>
        <w:suppressLineNumbers w:val="0"/>
      </w:pPr>
    </w:p>
    <w:p w14:paraId="56F0C4A7">
      <w:pPr>
        <w:pStyle w:val="2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3498850"/>
            <wp:effectExtent l="0" t="0" r="2540" b="6350"/>
            <wp:docPr id="1" name="图片 1" descr="question3_fast_figure3_lane_occupan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question3_fast_figure3_lane_occupancy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3664F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图10 两条车道动态占用情况</w:t>
      </w:r>
    </w:p>
    <w:p w14:paraId="19BC36E7">
      <w:pPr>
        <w:pStyle w:val="2"/>
        <w:keepNext w:val="0"/>
        <w:keepLines w:val="0"/>
        <w:widowControl/>
        <w:suppressLineNumbers w:val="0"/>
      </w:pPr>
      <w:r>
        <w:t>综合来看，模型最终形成“车道1四点主服务、车道2单点辅助分流”的调度方案。在满足上车点安全间距、同点服务不重叠以及双车道运行冲突约束的条件下，5个上车点能够在21分钟内完成31项出租车上客任务，使92名乘客全部完成乘车。该方案兼顾了车道并行服务能力、任务完成时间和乘客步行距离，能够有效提高单航班旅客集中到达时的乘车组织效率。</w:t>
      </w:r>
    </w:p>
    <w:p w14:paraId="551FC5D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7118F1"/>
    <w:rsid w:val="7B711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2026-07-13T13:27:00Z</dcterms:created>
  <dc:creator>。。。。</dc:creator>
  <cp:lastModifiedBy>。。。。</cp:lastModifiedBy>
  <dcterms:modified xsi:type="dcterms:W3CDTF">2026-07-13T13:31:43Z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10F6E896AEE44E8FA2E903B0B6AE9F17_11</vt:lpwstr>
  </property>
  <property fmtid="{D5CDD505-2E9C-101B-9397-08002B2CF9AE}" pid="4" name="KSOTemplateDocerSaveRecord">
    <vt:lpwstr>eyJoZGlkIjoiOTFiODYxYjE1NjRkZTAxY2M3NWM4ODAzM2Q2YzU4OTgiLCJ1c2VySWQiOiIxMzg5OTQ2NTEyIn0=</vt:lpwstr>
  </property>
</Properties>
</file>