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A816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问题三：基于装配树分层递推的生产决策优化</w:t>
      </w:r>
    </w:p>
    <w:p w14:paraId="01AC0D1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问将生产过程扩展为零配件、半成品与最终成品组成的多层装配结构。此时，一个检测决策的影响不再局限于当前环节。例如，零配件不检测可以节省前期检测费用，但其不合格风险会随物料进入半成品乃至成品生产过程；上层产品若选择报废，又会使下层已经发生的采购和加工费用重新支出。因此，需要将各层物料的质量与成本联系起来，计算不同检测、拆解组合下完成合格交付所需的全部费用。</w:t>
      </w:r>
    </w:p>
    <w:p w14:paraId="2540621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本文沿用问题二中以合格交付订单为单位的利润计算口径，将各生产环节表示为装配树节点。通过自底向上传递节点的输出合格概率和期望取得成本，计算任一固定策略的期望利润，再对策略集合进行枚举比较。</w:t>
      </w:r>
    </w:p>
    <w:p w14:paraId="4EA3F5A1"/>
    <w:p w14:paraId="186FCBEE">
      <w:pPr>
        <w:bidi w:val="0"/>
        <w:rPr>
          <w:rFonts w:hint="eastAsia"/>
        </w:rPr>
      </w:pPr>
      <w:r>
        <w:rPr>
          <w:rFonts w:hint="eastAsia"/>
        </w:rPr>
        <w:t>5.3.1 装配层级划分与物料质量传递</w:t>
      </w:r>
    </w:p>
    <w:p w14:paraId="55C14D7F">
      <w:pPr>
        <w:bidi w:val="0"/>
        <w:rPr>
          <w:rFonts w:hint="eastAsia"/>
        </w:rPr>
      </w:pPr>
      <w:r>
        <w:rPr>
          <w:rFonts w:hint="eastAsia"/>
        </w:rPr>
        <w:t>题目给出的装配关系为：零配件1、2、3组成半成品1，零配件4、5、6组成半成品2，零配件7、8组成半成品3，三个半成品进一步装配为最终成品。该结构中，每个非根节点只向一个上层节点提供物料，适合按照装配树逐层计算。</w:t>
      </w:r>
    </w:p>
    <w:p w14:paraId="51D5B767">
      <w:pPr>
        <w:bidi w:val="0"/>
        <w:rPr>
          <w:rFonts w:hint="eastAsia"/>
        </w:rPr>
      </w:pPr>
      <w:r>
        <w:rPr>
          <w:rFonts w:hint="eastAsia"/>
        </w:rPr>
        <w:t>记零配件节点集合为</w:t>
      </w:r>
      <w:r>
        <w:rPr>
          <w:rFonts w:hint="eastAsia" w:ascii="宋体" w:hAnsi="宋体" w:eastAsia="宋体" w:cs="宋体"/>
          <w:szCs w:val="24"/>
        </w:rPr>
        <w:object>
          <v:shape id="_x0000_i1025" o:spt="75" type="#_x0000_t75" style="height:13pt;width:11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，装配节点集合为</w:t>
      </w:r>
      <w:r>
        <w:rPr>
          <w:rFonts w:hint="eastAsia" w:ascii="宋体" w:hAnsi="宋体" w:eastAsia="宋体" w:cs="宋体"/>
          <w:szCs w:val="24"/>
        </w:rPr>
        <w:object>
          <v:shape id="_x0000_i1026" o:spt="75" type="#_x0000_t75" style="height:13pt;width:1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，最终成品对应根节点</w:t>
      </w:r>
      <w:r>
        <w:rPr>
          <w:rFonts w:hint="eastAsia" w:ascii="宋体" w:hAnsi="宋体" w:eastAsia="宋体" w:cs="宋体"/>
          <w:szCs w:val="24"/>
        </w:rPr>
        <w:object>
          <v:shape id="_x0000_i1028" o:spt="75" type="#_x0000_t75" style="height:10pt;width: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  <w:r>
        <w:rPr>
          <w:rFonts w:hint="eastAsia"/>
        </w:rPr>
        <w:t>，节点</w:t>
      </w:r>
      <w:r>
        <w:rPr>
          <w:rFonts w:hint="eastAsia" w:ascii="宋体" w:hAnsi="宋体" w:eastAsia="宋体" w:cs="宋体"/>
          <w:szCs w:val="24"/>
        </w:rPr>
        <w:object>
          <v:shape id="_x0000_i1029" o:spt="75" type="#_x0000_t75" style="height:15pt;width:10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  <w:r>
        <w:rPr>
          <w:rFonts w:hint="eastAsia"/>
        </w:rPr>
        <w:t>的直接投入物集合为</w:t>
      </w:r>
      <w:r>
        <w:rPr>
          <w:rFonts w:hint="eastAsia" w:ascii="宋体" w:hAnsi="宋体" w:eastAsia="宋体" w:cs="宋体"/>
          <w:szCs w:val="24"/>
        </w:rPr>
        <w:object>
          <v:shape id="_x0000_i1030" o:spt="75" type="#_x0000_t75" style="height:16pt;width:27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29" r:id="rId12">
            <o:LockedField>false</o:LockedField>
          </o:OLEObject>
        </w:object>
      </w:r>
      <w:r>
        <w:rPr>
          <w:rFonts w:hint="eastAsia"/>
        </w:rPr>
        <w:t>。对一般树状装配结构，只需相应改变节点集合及其连接关系，以下递推关系仍可使用。</w:t>
      </w:r>
    </w:p>
    <w:p w14:paraId="7D11CD86">
      <w:pPr>
        <w:bidi w:val="0"/>
        <w:rPr>
          <w:rFonts w:hint="eastAsia"/>
        </w:rPr>
      </w:pPr>
    </w:p>
    <w:p w14:paraId="680D5BB8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由于各节点是否检测会改变向上层提供的物料质量，本文以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1" o:spt="75" type="#_x0000_t75" style="height:18pt;width:13.95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0" r:id="rId1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表示节点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32" o:spt="75" type="#_x0000_t75" style="height:11pt;width:9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1" r:id="rId1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输出物料的合格概率，以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3" o:spt="75" type="#_x0000_t75" style="height:18pt;width:15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1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表示按既定策略取得该节点一个输出所需的期望成本。对于零配件，设置检测决策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4" o:spt="75" type="#_x0000_t75" style="height:18pt;width:12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；对于半成品及成品，设置检测决策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35" o:spt="75" type="#_x0000_t75" style="height:19pt;width:13.95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4" r:id="rId2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和拆解决策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36" o:spt="75" type="#_x0000_t75" style="height:19pt;width:13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5" r:id="rId2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。上述决策均取0或1，并在一个订单的重复生产过程中保持不变。</w:t>
      </w:r>
    </w:p>
    <w:p w14:paraId="06EC06CE">
      <w:pPr>
        <w:bidi w:val="0"/>
        <w:rPr>
          <w:rFonts w:ascii="宋体" w:hAnsi="宋体" w:eastAsia="宋体" w:cs="宋体"/>
          <w:sz w:val="24"/>
          <w:szCs w:val="24"/>
        </w:rPr>
      </w:pPr>
    </w:p>
    <w:p w14:paraId="6B527610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首先考虑零配件的取得过程。不检测时，企业采购一件后即投入生产，其质量仍服从原次品率；检测时，若发现不合格，则需要重新采购和检测，直至取得合格件。因此，检测方案的成本应包含此前被检出不合格零配件的购买与检测支出，而不只是最终合格件的费用。</w:t>
      </w:r>
    </w:p>
    <w:p w14:paraId="777C6032">
      <w:pPr>
        <w:bidi w:val="0"/>
        <w:rPr>
          <w:rFonts w:ascii="宋体" w:hAnsi="宋体" w:eastAsia="宋体" w:cs="宋体"/>
          <w:sz w:val="24"/>
          <w:szCs w:val="24"/>
        </w:rPr>
      </w:pPr>
    </w:p>
    <w:p w14:paraId="41B633F0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在新采购零配件质量相互独立、检测结果准确的条件下，有</w:t>
      </w:r>
    </w:p>
    <w:p w14:paraId="00F42934">
      <w:pPr>
        <w:bidi w:val="0"/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eastAsia="zh-CN"/>
        </w:rPr>
        <w:object>
          <v:shape id="_x0000_i1037" o:spt="75" type="#_x0000_t75" style="height:34pt;width:188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6" r:id="rId26">
            <o:LockedField>false</o:LockedField>
          </o:OLEObject>
        </w:object>
      </w:r>
    </w:p>
    <w:p w14:paraId="4AEE449C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8" o:spt="75" type="#_x0000_t75" style="height:18pt;width:13.95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7" r:id="rId2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为零配件次品率，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9" o:spt="75" type="#_x0000_t75" style="height:18pt;width:11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8" r:id="rId3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为购买单价，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0" o:spt="75" type="#_x0000_t75" style="height:18pt;width:9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0" DrawAspect="Content" ObjectID="_1468075739" r:id="rId3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为单次检测费用。不检测时，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1" o:spt="75" type="#_x0000_t75" style="height:18pt;width:91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0" r:id="rId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检测时，输出物料保证合格，平均需要采购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2" o:spt="75" type="#_x0000_t75" style="height:18pt;width:46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1" r:id="rId3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次，从而得到式中的期望取得成本。</w:t>
      </w:r>
    </w:p>
    <w:p w14:paraId="1DB52159">
      <w:pPr>
        <w:bidi w:val="0"/>
        <w:rPr>
          <w:rFonts w:ascii="宋体" w:hAnsi="宋体" w:eastAsia="宋体" w:cs="宋体"/>
          <w:sz w:val="24"/>
          <w:szCs w:val="24"/>
        </w:rPr>
      </w:pPr>
    </w:p>
    <w:p w14:paraId="2A730680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例如，零配件1的购买单价为2元，检测费为1元，次品率为0.1。选择检测后，取得一件合格零配件的期望成本为3.3333元。该费用高于单次购买与检测费用之和，是因为其中计入了不合格来料导致的重复采购支出。</w:t>
      </w:r>
    </w:p>
    <w:p w14:paraId="284B11B7">
      <w:pPr>
        <w:bidi w:val="0"/>
        <w:rPr>
          <w:rFonts w:ascii="宋体" w:hAnsi="宋体" w:eastAsia="宋体" w:cs="宋体"/>
          <w:sz w:val="24"/>
          <w:szCs w:val="24"/>
        </w:rPr>
      </w:pPr>
    </w:p>
    <w:p w14:paraId="54887CF9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取得下层物料后，还需考虑本层装配过程自身造成的次品。题目给定的半成品及成品次品率，是在直接投入物全部合格的条件下发生装配失败的概率，并非无条件的产品次品率。记该条件次品率为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43" o:spt="75" type="#_x0000_t75" style="height:19pt;width:13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3" DrawAspect="Content" ObjectID="_1468075742" r:id="rId3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，则节点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44" o:spt="75" type="#_x0000_t75" style="height:15pt;width:10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4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的投入成本及单次装配合格概率为</w:t>
      </w:r>
    </w:p>
    <w:p w14:paraId="07A593CA">
      <w:pPr>
        <w:bidi w:val="0"/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eastAsia="zh-CN"/>
        </w:rPr>
        <w:object>
          <v:shape id="_x0000_i1045" o:spt="75" type="#_x0000_t75" style="height:28pt;width:168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5" DrawAspect="Content" ObjectID="_1468075744" r:id="rId42">
            <o:LockedField>false</o:LockedField>
          </o:OLEObject>
        </w:object>
      </w:r>
    </w:p>
    <w:p w14:paraId="218D2807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46" o:spt="75" type="#_x0000_t75" style="height:19pt;width:15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6" DrawAspect="Content" ObjectID="_1468075745" r:id="rId4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为重新取得全部直接投入物的期望成本，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47" o:spt="75" type="#_x0000_t75" style="height:19pt;width:13.95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7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为取得这些物料后进行一次装配的合格概率。乘积项表示直接投入物全部合格的概率，再乘以本层装配成功概率，得到该节点的单次合格概率。</w:t>
      </w:r>
    </w:p>
    <w:p w14:paraId="606662D8">
      <w:pPr>
        <w:bidi w:val="0"/>
        <w:rPr>
          <w:rFonts w:ascii="宋体" w:hAnsi="宋体" w:eastAsia="宋体" w:cs="宋体"/>
          <w:sz w:val="24"/>
          <w:szCs w:val="24"/>
        </w:rPr>
      </w:pPr>
    </w:p>
    <w:p w14:paraId="598B08D7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上述乘积关系用于从各子树重新取得投入物的情形。对于拆解回收的原物料，其质量不会重新随机生成，后续费用需要按照实际回用方式另行计算。</w:t>
      </w:r>
    </w:p>
    <w:p w14:paraId="4A801952">
      <w:pPr>
        <w:bidi w:val="0"/>
        <w:rPr>
          <w:rFonts w:ascii="宋体" w:hAnsi="宋体" w:eastAsia="宋体" w:cs="宋体"/>
          <w:sz w:val="24"/>
          <w:szCs w:val="24"/>
        </w:rPr>
      </w:pPr>
    </w:p>
    <w:p w14:paraId="5F5F2AF4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5.3.2 报废与拆解条件下的重复生产费用</w:t>
      </w:r>
    </w:p>
    <w:p w14:paraId="5E6789AB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下层物料的取得成本确定后，接下来需要判断：本层装配失败时，哪些费用需要再次发生。这正是报废与拆解两种处理方式的主要区别。</w:t>
      </w:r>
    </w:p>
    <w:p w14:paraId="17970058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对于未检测的半成品，企业无法在本层识别其是否不合格，因此装配一次后直接向上层提供。在当前模型中，不根据上层失败追加半成品检测，也不临时改变下层拆解方式，所以该半成品的本层拆解决策不会触发。其取得成本只包含投入物成本和一次装配费，输出质量则保留本次装配的合格概率。</w:t>
      </w:r>
    </w:p>
    <w:p w14:paraId="29BF228D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对于检测后直接报废的半成品，每次失败都需要重新取得全部投入物。重新生产与初始生产具有相同的状态，因此总成本由本轮费用与失败后的期望剩余费用共同组成。</w:t>
      </w:r>
    </w:p>
    <w:p w14:paraId="5FB24216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若检测后选择拆解，则不能再按“重新取得全部投入物”计算。对于已经确认合格的直接投入物，拆解后可继续使用，不再发生其采购和重复检测费用；后续只需承担本层装配、检测以及再次失败时的拆解费用。这里假设拆解不损伤投入物，且在投入物全部合格的条件下，各次装配失败相互独立，条件次品率保持不变。</w:t>
      </w:r>
    </w:p>
    <w:p w14:paraId="233443C5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但是，若某种直接投入物仍有不合格可能，拆解并不会使其恢复合格。在不追加检测、持续复用原物料的固定规则下，该不合格投入物可能被永久保留，造成无法结束的装配循环。由于每次装配均发生正费用，此时不能以有限期望成本取得合格输出。</w:t>
      </w:r>
    </w:p>
    <w:p w14:paraId="634ED01B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据此，对所有下层节点均可取得的半成品节点，有</w:t>
      </w:r>
    </w:p>
    <w:p w14:paraId="55BD432F">
      <w:pPr>
        <w:bidi w:val="0"/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10"/>
          <w:sz w:val="24"/>
          <w:szCs w:val="24"/>
          <w:lang w:eastAsia="zh-CN"/>
        </w:rPr>
        <w:object>
          <v:shape id="_x0000_i1048" o:spt="75" type="#_x0000_t75" style="height:116pt;width:280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8" DrawAspect="Content" ObjectID="_1468075747" r:id="rId48">
            <o:LockedField>false</o:LockedField>
          </o:OLEObject>
        </w:object>
      </w:r>
    </w:p>
    <w:p w14:paraId="3241249B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49" o:spt="75" type="#_x0000_t75" style="height:19pt;width:57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9" DrawAspect="Content" ObjectID="_1468075748" r:id="rId5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分别表示节点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50" o:spt="75" type="#_x0000_t75" style="height:15pt;width:10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49" r:id="rId5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的单次装配、检测和拆解费用。第二种情形将每轮全部支出除以成功概率，反映报废后的重复生产；第三种情形将投入物成本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51" o:spt="75" type="#_x0000_t75" style="height:19pt;width:15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0" r:id="rId5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单独保留，表示合格投入物只需取得一次。最后一种情形以无穷成本标记存在永久循环风险的策略。</w:t>
      </w:r>
    </w:p>
    <w:p w14:paraId="65C46FE0">
      <w:pPr>
        <w:bidi w:val="0"/>
        <w:rPr>
          <w:rFonts w:ascii="宋体" w:hAnsi="宋体" w:eastAsia="宋体" w:cs="宋体"/>
          <w:sz w:val="24"/>
          <w:szCs w:val="24"/>
        </w:rPr>
      </w:pPr>
    </w:p>
    <w:p w14:paraId="37DFBBC3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对应地，未检测半成品的输出合格概率为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52" o:spt="75" type="#_x0000_t75" style="height:19pt;width:38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1" r:id="rId5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；经过检测且取得成本有限的半成品，其输出合格概率为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53" o:spt="75" type="#_x0000_t75" style="height:19pt;width:31.95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2" r:id="rId5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。若某个下层节点已经不能正常取得，则其上层节点也无法完成供给，相应策略直接判为不可行。</w:t>
      </w:r>
    </w:p>
    <w:p w14:paraId="3656F753">
      <w:pPr>
        <w:bidi w:val="0"/>
        <w:rPr>
          <w:rFonts w:ascii="宋体" w:hAnsi="宋体" w:eastAsia="宋体" w:cs="宋体"/>
          <w:sz w:val="24"/>
          <w:szCs w:val="24"/>
        </w:rPr>
      </w:pPr>
    </w:p>
    <w:p w14:paraId="20B86E74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终成品的处理还需要加入用户调换环节。对于未检测成品，第一次装配结束并不意味着订单结束：不合格成品进入市场后会被退回，企业需要继续提供替换品。因此，成品层必须同时计入重复生产费用与额外调换损失。</w:t>
      </w:r>
    </w:p>
    <w:p w14:paraId="1D8B3324">
      <w:pPr>
        <w:bidi w:val="0"/>
        <w:rPr>
          <w:rFonts w:ascii="宋体" w:hAnsi="宋体" w:eastAsia="宋体" w:cs="宋体"/>
          <w:sz w:val="24"/>
          <w:szCs w:val="24"/>
        </w:rPr>
      </w:pPr>
    </w:p>
    <w:p w14:paraId="62105EF0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记单次额外调换损失为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54" o:spt="75" type="#_x0000_t75" style="height:13pt;width:11pt;" o:ole="t" filled="f" o:preferrelative="t" stroked="f" coordsize="21600,21600"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4" DrawAspect="Content" ObjectID="_1468075753" r:id="rId6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，根节点的期望交付成本为</w:t>
      </w:r>
    </w:p>
    <w:p w14:paraId="6C677985">
      <w:pPr>
        <w:bidi w:val="0"/>
        <w:rPr>
          <w:rFonts w:ascii="宋体" w:hAnsi="宋体" w:eastAsia="宋体" w:cs="宋体"/>
          <w:sz w:val="24"/>
          <w:szCs w:val="24"/>
        </w:rPr>
      </w:pPr>
    </w:p>
    <w:p w14:paraId="15DCAC95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98"/>
          <w:sz w:val="24"/>
          <w:szCs w:val="24"/>
          <w:lang w:val="en-US" w:eastAsia="zh-CN"/>
        </w:rPr>
        <w:object>
          <v:shape id="_x0000_i1055" o:spt="75" type="#_x0000_t75" style="height:103.95pt;width:323pt;" o:ole="t" filled="f" o:preferrelative="t" stroked="f" coordsize="21600,21600"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5" DrawAspect="Content" ObjectID="_1468075754" r:id="rId62">
            <o:LockedField>false</o:LockedField>
          </o:OLEObject>
        </w:object>
      </w:r>
    </w:p>
    <w:p w14:paraId="0D59270F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6" o:spt="75" type="#_x0000_t75" style="height:17pt;width:13.95pt;" o:ole="t" filled="f" o:preferrelative="t" stroked="f" coordsize="21600,21600"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6" DrawAspect="Content" ObjectID="_1468075755" r:id="rId6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57" o:spt="75" type="#_x0000_t75" style="height:17pt;width:13pt;" o:ole="t" filled="f" o:preferrelative="t" stroked="f" coordsize="21600,21600"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7" DrawAspect="Content" ObjectID="_1468075756" r:id="rId6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分别为成品检测与拆解决策。不拆解时，每次失败均重新取得全部半成品；拆解且投入物保证合格时，则保留原半成品，仅重复成品层的操作。因未检测而发生的调换损失分别由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8" o:spt="75" type="#_x0000_t75" style="height:17pt;width:78pt;" o:ole="t" filled="f" o:preferrelative="t" stroked="f" coordsize="21600,21600"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8" DrawAspect="Content" ObjectID="_1468075757" r:id="rId6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59" o:spt="75" type="#_x0000_t75" style="height:17pt;width:56pt;" o:ole="t" filled="f" o:preferrelative="t" stroked="f" coordsize="21600,21600"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9" DrawAspect="Content" ObjectID="_1468075758" r:id="rId7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表示。</w:t>
      </w:r>
    </w:p>
    <w:p w14:paraId="5EC049B6">
      <w:pPr>
        <w:bidi w:val="0"/>
        <w:rPr>
          <w:rFonts w:ascii="宋体" w:hAnsi="宋体" w:eastAsia="宋体" w:cs="宋体"/>
          <w:sz w:val="24"/>
          <w:szCs w:val="24"/>
        </w:rPr>
      </w:pPr>
    </w:p>
    <w:p w14:paraId="310C17D5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其中，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60" o:spt="75" type="#_x0000_t75" style="height:13pt;width:11pt;" o:ole="t" filled="f" o:preferrelative="t" stroked="f" coordsize="21600,21600"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60" DrawAspect="Content" ObjectID="_1468075759" r:id="rId7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仅表示题目给定的额外调换损失，替换品生产费用已在递推中计入，不再重复计算。对于可行策略，订单最终完成合格交付，但首次装配仍可能失败，二者不能混为同一个合格概率。</w:t>
      </w:r>
    </w:p>
    <w:p w14:paraId="1AE3D3A1">
      <w:pPr>
        <w:bidi w:val="0"/>
        <w:rPr>
          <w:rFonts w:ascii="宋体" w:hAnsi="宋体" w:eastAsia="宋体" w:cs="宋体"/>
          <w:sz w:val="24"/>
          <w:szCs w:val="24"/>
        </w:rPr>
      </w:pPr>
    </w:p>
    <w:p w14:paraId="67F136BB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5.3.3 单位合格交付订单的期望利润模型</w:t>
      </w:r>
    </w:p>
    <w:p w14:paraId="21F57D4B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通过上述递推，可以得到固定策略下完成一个合格交付订单的全部期望成本。为了进一步解释检测与拆解究竟改变了哪些支出，将总成本按照采购、检测、装配、拆解和调换等操作进行分解。</w:t>
      </w:r>
    </w:p>
    <w:p w14:paraId="4771854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设各项操作次数均按整个订单累计，则有</w:t>
      </w:r>
    </w:p>
    <w:p w14:paraId="7EC01293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kern w:val="2"/>
          <w:position w:val="-30"/>
          <w:sz w:val="24"/>
          <w:szCs w:val="24"/>
          <w:lang w:val="en-US" w:eastAsia="zh-CN" w:bidi="ar-SA"/>
        </w:rPr>
        <w:object>
          <v:shape id="_x0000_i1061" o:spt="75" type="#_x0000_t75" style="height:28pt;width:420pt;" o:ole="t" filled="f" o:preferrelative="t" stroked="f" coordsize="21600,21600"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61" DrawAspect="Content" ObjectID="_1468075760" r:id="rId7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62" o:spt="75" type="#_x0000_t75" style="height:19pt;width:24.95pt;" o:ole="t" filled="f" o:preferrelative="t" stroked="f" coordsize="21600,21600"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2" DrawAspect="Content" ObjectID="_1468075761" r:id="rId7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为零配件采购次数，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63" o:spt="75" type="#_x0000_t75" style="height:16pt;width:116pt;" o:ole="t" filled="f" o:preferrelative="t" stroked="f" coordsize="21600,21600"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3" DrawAspect="Content" ObjectID="_1468075762" r:id="rId7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分别表示检测、装配、拆解与调换次数。各项期望次数与对应单次费用相乘后求和，即为订单总期望成本。该式既用于成本构成分析，也用于核验根节点递推结果。</w:t>
      </w:r>
    </w:p>
    <w:p w14:paraId="64263AF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这里不能直接将装配树中所有节点的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64" o:spt="75" type="#_x0000_t75" style="height:18pt;width:15pt;" o:ole="t" filled="f" o:preferrelative="t" stroked="f" coordsize="21600,21600"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4" DrawAspect="Content" ObjectID="_1468075763" r:id="rId8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相加。原因在于，上层节点成本已经包含下层物料的取得费用，若再次累加下层节点成本，会造成重复计费。</w:t>
      </w:r>
    </w:p>
    <w:p w14:paraId="432DA7AF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本文以最终交付一件合格成品为订单结束条件，销售收入只计一次；对于题目未给出的库存占用、残值及折现等费用不作额外引入。记一次订单收入为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65" o:spt="75" type="#_x0000_t75" style="height:13.95pt;width:11pt;" o:ole="t" filled="f" o:preferrelative="t" stroked="f" coordsize="21600,21600"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5" DrawAspect="Content" ObjectID="_1468075764" r:id="rId8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，有限期望成本的固定策略集合为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66" o:spt="75" type="#_x0000_t75" style="height:19pt;width:18pt;" o:ole="t" filled="f" o:preferrelative="t" stroked="f" coordsize="21600,21600"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6" DrawAspect="Content" ObjectID="_1468075765" r:id="rId8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，则</w:t>
      </w:r>
    </w:p>
    <w:p w14:paraId="242780F2">
      <w:pPr>
        <w:bidi w:val="0"/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67" o:spt="75" type="#_x0000_t75" style="height:28pt;width:186pt;" o:ole="t" filled="f" o:preferrelative="t" stroked="f" coordsize="21600,21600"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7" DrawAspect="Content" ObjectID="_1468075766" r:id="rId86">
            <o:LockedField>false</o:LockedField>
          </o:OLEObject>
        </w:object>
      </w:r>
    </w:p>
    <w:p w14:paraId="6469184A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68" o:spt="75" type="#_x0000_t75" style="height:13.95pt;width:11pt;" o:ole="t" filled="f" o:preferrelative="t" stroked="f" coordsize="21600,21600"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8" DrawAspect="Content" ObjectID="_1468075767" r:id="rId8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由全部零配件检测位、装配品检测位和拆解位组成，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69" o:spt="75" type="#_x0000_t75" style="height:16pt;width:29pt;" o:ole="t" filled="f" o:preferrelative="t" stroked="f" coordsize="21600,21600"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9" DrawAspect="Content" ObjectID="_1468075768" r:id="rId9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为相应策略的单位合格交付订单期望利润。由于订单收入不随策略改变，寻找最大期望利润方案等价于寻找最低期望交付成本方案。</w:t>
      </w:r>
    </w:p>
    <w:p w14:paraId="6992D7E6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至此，零配件层给出初始质量与成本，半成品层处理局部报废和回用，成品层补充市场调换费用，各层关系共同构成固定策略的利润评价模型。</w:t>
      </w:r>
    </w:p>
    <w:p w14:paraId="7396BFBB">
      <w:pPr>
        <w:bidi w:val="0"/>
        <w:rPr>
          <w:rFonts w:ascii="宋体" w:hAnsi="宋体" w:eastAsia="宋体" w:cs="宋体"/>
          <w:sz w:val="24"/>
          <w:szCs w:val="24"/>
        </w:rPr>
      </w:pPr>
    </w:p>
    <w:p w14:paraId="2F5FDC8E">
      <w:pPr>
        <w:bidi w:val="0"/>
        <w:rPr>
          <w:rFonts w:ascii="宋体" w:hAnsi="宋体" w:eastAsia="宋体" w:cs="宋体"/>
          <w:sz w:val="24"/>
          <w:szCs w:val="24"/>
        </w:rPr>
      </w:pPr>
    </w:p>
    <w:p w14:paraId="5723E34A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5.3.4 基于装配树分层递推的全策略枚举算法求解</w:t>
      </w:r>
    </w:p>
    <w:p w14:paraId="59523344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本算例设置8个零配件检测位、4个装配品检测位和4个拆解位，共16个二元决策位，原始编码数为65536。</w:t>
      </w:r>
    </w:p>
    <w:p w14:paraId="362C908E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其中，未检测半成品的本层拆解位不影响实际执行过程，可以将其统一置为0。因此，每个半成品只需保留“不检测”“检测后报废”“检测后拆解”三种组合。最终成品即使不检测，仍可能因用户退回而触发拆解，故其四种组合均需保留。合并上述等价编码后，候选策略数为</w:t>
      </w:r>
    </w:p>
    <w:p w14:paraId="44412F77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object>
          <v:shape id="_x0000_i1070" o:spt="75" type="#_x0000_t75" style="height:19pt;width:128pt;" o:ole="t" filled="f" o:preferrelative="t" stroked="f" coordsize="21600,21600"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0" DrawAspect="Content" ObjectID="_1468075769" r:id="rId92">
            <o:LockedField>false</o:LockedField>
          </o:OLEObject>
        </w:object>
      </w:r>
    </w:p>
    <w:p w14:paraId="0FE05F91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式中，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object>
          <v:shape id="_x0000_i1071" o:spt="75" type="#_x0000_t75" style="height:15pt;width:13pt;" o:ole="t" filled="f" o:preferrelative="t" stroked="f" coordsize="21600,21600"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71" DrawAspect="Content" ObjectID="_1468075770" r:id="rId94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对应零配件检测组合，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object>
          <v:shape id="_x0000_i1072" o:spt="75" type="#_x0000_t75" style="height:16pt;width:13pt;" o:ole="t" filled="f" o:preferrelative="t" stroked="f" coordsize="21600,21600"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2" DrawAspect="Content" ObjectID="_1468075771" r:id="rId96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对应三个半成品的有效决策组合，最后的4对应成品检测与拆解组合。该式计算的是去重候选数量，尚未排除不能完成交付的策略。</w:t>
      </w:r>
    </w:p>
    <w:p w14:paraId="4C81CFBF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1BB6BFF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具体算法如下。</w:t>
      </w:r>
      <w:bookmarkStart w:id="0" w:name="_GoBack"/>
      <w:bookmarkEnd w:id="0"/>
    </w:p>
    <w:p w14:paraId="434A1D24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Step 1：建立装配关系。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读取题目参数，记录各装配节点的直接子节点，并按零配件、半成品、最终成品的顺序排列计算节点。</w:t>
      </w:r>
    </w:p>
    <w:p w14:paraId="7DD77528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Step 2：生成候选策略。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枚举16位二进制编码，对未检测半成品的拆解位进行规范化，合并等价编码，并保留其原始策略编号。</w:t>
      </w:r>
    </w:p>
    <w:p w14:paraId="18490C9F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Step 3：进行分层递推。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依次利用式</w:t>
      </w:r>
      <w:r>
        <w:rPr>
          <w:rFonts w:hint="default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073" o:spt="75" type="#_x0000_t75" style="height:18pt;width:13pt;" o:ole="t" filled="f" o:preferrelative="t" stroked="f" coordsize="21600,21600"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3" DrawAspect="Content" ObjectID="_1468075772" r:id="rId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074" o:spt="75" type="#_x0000_t75" style="height:18pt;width:13.95pt;" o:ole="t" filled="f" o:preferrelative="t" stroked="f" coordsize="21600,21600"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4" DrawAspect="Content" ObjectID="_1468075773" r:id="rId100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至式</w:t>
      </w:r>
      <w:r>
        <w:rPr>
          <w:rFonts w:hint="default" w:ascii="宋体" w:hAnsi="宋体" w:eastAsia="宋体" w:cs="宋体"/>
          <w:b w:val="0"/>
          <w:bCs w:val="0"/>
          <w:kern w:val="2"/>
          <w:position w:val="-10"/>
          <w:sz w:val="24"/>
          <w:szCs w:val="24"/>
          <w:lang w:val="en-US" w:eastAsia="zh-CN" w:bidi="ar-SA"/>
        </w:rPr>
        <w:object>
          <v:shape id="_x0000_i1075" o:spt="75" type="#_x0000_t75" style="height:17pt;width:15pt;" o:ole="t" filled="f" o:preferrelative="t" stroked="f" coordsize="21600,21600"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5" DrawAspect="Content" ObjectID="_1468075774" r:id="rId102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计算节点质量与成本。若下层物料无法取得，或拆解后存在永久回用不合格投入物的可能，则将该策略标记为不可行。</w:t>
      </w:r>
    </w:p>
    <w:p w14:paraId="55537C2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Step 4：比较期望利润。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对所有可行策略计算订单利润，选取最大值，并以 </w:t>
      </w:r>
      <w:r>
        <w:rPr>
          <w:rFonts w:hint="default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076" o:spt="75" type="#_x0000_t75" style="height:16pt;width:22pt;" o:ole="t" filled="f" o:preferrelative="t" stroked="f" coordsize="21600,21600"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76" DrawAspect="Content" ObjectID="_1468075775" r:id="rId104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元为数值并列判定容差，保留全部并列最优方案。</w:t>
      </w:r>
    </w:p>
    <w:p w14:paraId="38ED2722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Step 5：核验并输出结果。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利用期望操作次数核对成本分解，并对代表策略开展事件仿真，输出最优决策、成本构成、策略排名及仿真核验结果。</w:t>
      </w:r>
    </w:p>
    <w:p w14:paraId="1E0F227F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该算法逐一评价全部去重候选，因此求得的是当前固定策略集合内的最优方案。事件仿真用于核验递推计算，不用于替代枚举搜索。</w:t>
      </w:r>
    </w:p>
    <w:p w14:paraId="7F24A4B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C96D4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8371F"/>
    <w:rsid w:val="4BF8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6" Type="http://schemas.openxmlformats.org/officeDocument/2006/relationships/fontTable" Target="fontTable.xml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2026-09-07T08:53:00Z</dcterms:created>
  <dc:creator>。。。。</dc:creator>
  <cp:lastModifiedBy>。。。。</cp:lastModifiedBy>
  <dcterms:modified xsi:type="dcterms:W3CDTF">2026-09-07T12:04:19Z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143EF6B1183D46ACBF1A9F1305427B06_11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