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85927">
      <w:pPr>
        <w:pStyle w:val="2"/>
        <w:keepNext/>
        <w:spacing w:before="0" w:after="240"/>
        <w:jc w:val="center"/>
      </w:pPr>
      <w:bookmarkStart w:id="0" w:name="问题四新项目任务定价方案及实施效果评价"/>
      <w:r>
        <w:rPr>
          <w:rFonts w:ascii="Times New Roman" w:hAnsi="Times New Roman" w:eastAsia="黑体"/>
          <w:b/>
          <w:color w:val="000000"/>
          <w:sz w:val="32"/>
        </w:rPr>
        <w:t>问题四：新项目任务定价方案及实施效果评价</w:t>
      </w:r>
    </w:p>
    <w:p w14:paraId="5DCC5774">
      <w:pPr>
        <w:pStyle w:val="4"/>
        <w:keepNext/>
        <w:spacing w:before="200" w:after="80"/>
        <w:jc w:val="left"/>
      </w:pPr>
      <w:bookmarkStart w:id="1" w:name="问题分析"/>
      <w:r>
        <w:rPr>
          <w:rFonts w:ascii="Times New Roman" w:hAnsi="Times New Roman" w:eastAsia="黑体"/>
          <w:b/>
          <w:color w:val="000000"/>
          <w:sz w:val="24"/>
        </w:rPr>
        <w:t>1 问题分析</w:t>
      </w:r>
    </w:p>
    <w:p w14:paraId="6F69AC6E">
      <w:pPr>
        <w:pStyle w:val="23"/>
        <w:spacing w:after="0" w:line="360" w:lineRule="auto"/>
        <w:ind w:firstLine="420"/>
        <w:jc w:val="both"/>
      </w:pPr>
      <w:r>
        <w:rPr>
          <w:rFonts w:ascii="Times New Roman" w:hAnsi="Times New Roman" w:eastAsia="宋体"/>
          <w:color w:val="000000"/>
          <w:sz w:val="21"/>
        </w:rPr>
        <w:t>附件三仅给出了 2066 个新任务的经纬度，缺少任务标价与执行结果，因此本问本质上属于历史信息迁移条件下的定价优化与效果预测问题。前三问已经表明，任务价格、周边会员资源、任务密度及竞争强度会共同影响任务完成情况。若直接将附件三代入前述回归模型，由于新项目的任务密度明显高于历史项目，容易产生超出历史样本范围的外推误差。为此，本文先利用空间加权 K 近邻模型从附件一迁移得到新任务的基准价格，再沿用前三问建立的 Logistic 完成概率模型预测不同价格下的任务完成概率，并通过训练域边界投影控制外推风险。最后，以提高期望完成任务数和控制平台总成本为双重目标，建立离散多目标优化模型，得到附件三的最终定价方案，并从期望完成率、目标概率达标率和成本增长率三个方面评价方案效果。</w:t>
      </w:r>
    </w:p>
    <w:bookmarkEnd w:id="1"/>
    <w:p w14:paraId="3CDF073E">
      <w:pPr>
        <w:pStyle w:val="4"/>
        <w:keepNext/>
        <w:spacing w:before="200" w:after="80"/>
        <w:jc w:val="left"/>
      </w:pPr>
      <w:bookmarkStart w:id="2" w:name="数据预处理与特征构造"/>
      <w:r>
        <w:rPr>
          <w:rFonts w:ascii="Times New Roman" w:hAnsi="Times New Roman" w:eastAsia="黑体"/>
          <w:b/>
          <w:color w:val="000000"/>
          <w:sz w:val="24"/>
        </w:rPr>
        <w:t>2 数据预处理与特征构造</w:t>
      </w:r>
    </w:p>
    <w:p w14:paraId="52F9E141">
      <w:pPr>
        <w:pStyle w:val="23"/>
        <w:spacing w:after="0" w:line="360" w:lineRule="auto"/>
        <w:ind w:firstLine="420"/>
        <w:jc w:val="both"/>
      </w:pPr>
      <w:r>
        <w:rPr>
          <w:rFonts w:ascii="Times New Roman" w:hAnsi="Times New Roman" w:eastAsia="宋体"/>
          <w:color w:val="000000"/>
          <w:sz w:val="21"/>
        </w:rPr>
        <w:t>附件一共有 835 个有效历史任务，其中完成任务 522 个、未完成任务 313 个，实际完成率为 62.51%；附件三共有 2066 个有效新任务。附件二原有 1877 条会员记录。按照前三问的 GPS 清洗规则，以历史任务区域中心为参照逐条判断经纬度顺序，修正 1 条经纬度颠倒记录，并剔除 2 条远离任务区域的异常记录，最终保留 1875 名有效会员。</w:t>
      </w:r>
    </w:p>
    <w:p w14:paraId="4F9C4A5C">
      <w:pPr>
        <w:pStyle w:val="3"/>
        <w:spacing w:after="0" w:line="360" w:lineRule="auto"/>
        <w:ind w:firstLine="420"/>
        <w:jc w:val="both"/>
      </w:pPr>
      <w:r>
        <w:rPr>
          <w:rFonts w:ascii="Times New Roman" w:hAnsi="Times New Roman" w:eastAsia="宋体"/>
          <w:color w:val="000000"/>
          <w:sz w:val="21"/>
        </w:rPr>
        <w:t>沿用前三问设定，以 3 km 为统计半径，对历史任务和新任务分别计算最近会员距离、周边会员数量、周边会员平均信誉值、平均预订限额、任务密度及竞争强度。其中，竞争强度定义为 3 km 内其他任务数与周边会员数之比。计算结果表明，历史任务周边平均会员数为 13.43，新任务为 24.59；历史任务平均任务密度为 6.41，而新任务达到 140.45。可见两个项目的任务密度存在明显分布偏移，因此后续预测需要限制在历史模型的有效取值范围内。</w:t>
      </w:r>
    </w:p>
    <w:bookmarkEnd w:id="2"/>
    <w:p w14:paraId="22624653">
      <w:pPr>
        <w:pStyle w:val="4"/>
        <w:keepNext/>
        <w:spacing w:before="200" w:after="80"/>
        <w:jc w:val="left"/>
      </w:pPr>
      <w:bookmarkStart w:id="3" w:name="基于空间加权-k-近邻的基准价格迁移模型"/>
      <w:r>
        <w:rPr>
          <w:rFonts w:ascii="Times New Roman" w:hAnsi="Times New Roman" w:eastAsia="黑体"/>
          <w:b/>
          <w:color w:val="000000"/>
          <w:sz w:val="24"/>
        </w:rPr>
        <w:t>3 基于空间加权 K 近邻的基准价格迁移模型</w:t>
      </w:r>
    </w:p>
    <w:p w14:paraId="41B722CA">
      <w:pPr>
        <w:pStyle w:val="23"/>
        <w:keepLines/>
        <w:spacing w:before="100" w:after="100"/>
        <w:jc w:val="center"/>
      </w:pPr>
      <w:r>
        <w:t xml:space="preserve">考虑到地理位置相近的任务通常具有相似的交通可达性、会员供给水平和平台定价环境，本文使用空间加权 K 近邻模型估计新任务的基准价格。设附件三中第 </w:t>
      </w:r>
      <m:oMath>
        <m:r>
          <m:rPr/>
          <m:t>j</m:t>
        </m:r>
      </m:oMath>
      <w:r>
        <w:t xml:space="preserve"> 个新任务与附件一中第 </w:t>
      </w:r>
      <m:oMath>
        <m:r>
          <m:rPr/>
          <m:t>i</m:t>
        </m:r>
      </m:oMath>
      <w:r>
        <w:t xml:space="preserve"> 个历史任务的地理距离为 </w:t>
      </w:r>
      <m:oMath>
        <m:sSub>
          <m:sSubPr/>
          <m:e>
            <m:r>
              <m:rPr/>
              <m:t>d</m:t>
            </m:r>
          </m:e>
          <m:sub>
            <m:r>
              <m:rPr/>
              <m:t>ij</m:t>
            </m:r>
          </m:sub>
        </m:sSub>
      </m:oMath>
      <w:r>
        <w:t>，根据经纬度近似距离公式计算：</w:t>
      </w:r>
    </w:p>
    <w:p w14:paraId="08C3D679">
      <w:pPr>
        <w:pStyle w:val="3"/>
        <w:keepLines/>
        <w:spacing w:before="100" w:after="100"/>
        <w:jc w:val="center"/>
      </w:pPr>
      <m:oMathPara>
        <m:oMathParaPr>
          <m:jc m:val="center"/>
        </m:oMathParaPr>
        <m:oMath>
          <m:sSub>
            <m:sSubPr/>
            <m:e>
              <m:r>
                <m:rPr/>
                <m:t>d</m:t>
              </m:r>
            </m:e>
            <m:sub>
              <m:r>
                <m:rPr/>
                <m:t>ij</m:t>
              </m:r>
            </m:sub>
          </m:sSub>
          <m:r>
            <m:rPr>
              <m:sty m:val="p"/>
            </m:rPr>
            <m:t>=</m:t>
          </m:r>
          <m:r>
            <m:rPr/>
            <m:t>111</m:t>
          </m:r>
          <m:rad>
            <m:radPr>
              <m:degHide m:val="1"/>
            </m:radPr>
            <m:deg/>
            <m:e>
              <m:sSup>
                <m:sSupPr/>
                <m:e>
                  <m:d>
                    <m:dPr>
                      <m:sepChr m:val=""/>
                    </m:dPr>
                    <m:e>
                      <m:sSub>
                        <m:sSubPr/>
                        <m:e>
                          <m:r>
                            <m:rPr/>
                            <m:t>φ</m:t>
                          </m:r>
                        </m:e>
                        <m:sub>
                          <m:r>
                            <m:rPr/>
                            <m:t>j</m:t>
                          </m:r>
                        </m:sub>
                      </m:sSub>
                      <m:r>
                        <m:rPr>
                          <m:sty m:val="p"/>
                        </m:rPr>
                        <m:t>−</m:t>
                      </m:r>
                      <m:sSub>
                        <m:sSubPr/>
                        <m:e>
                          <m:r>
                            <m:rPr/>
                            <m:t>φ</m:t>
                          </m:r>
                        </m:e>
                        <m:sub>
                          <m:r>
                            <m:rPr/>
                            <m:t>i</m:t>
                          </m:r>
                        </m:sub>
                      </m:sSub>
                    </m:e>
                  </m:d>
                </m:e>
                <m:sup>
                  <m:r>
                    <m:rPr/>
                    <m:t>2</m:t>
                  </m:r>
                </m:sup>
              </m:sSup>
              <m:r>
                <m:rPr>
                  <m:sty m:val="p"/>
                </m:rPr>
                <m:t>+</m:t>
              </m:r>
              <m:sSup>
                <m:sSupPr/>
                <m:e>
                  <m:d>
                    <m:dPr>
                      <m:begChr m:val="["/>
                      <m:sepChr m:val=""/>
                      <m:endChr m:val="]"/>
                    </m:dPr>
                    <m:e>
                      <m:d>
                        <m:dPr>
                          <m:sepChr m:val=""/>
                        </m:dPr>
                        <m:e>
                          <m:sSub>
                            <m:sSubPr/>
                            <m:e>
                              <m:r>
                                <m:rPr/>
                                <m:t>λ</m:t>
                              </m:r>
                            </m:e>
                            <m:sub>
                              <m:r>
                                <m:rPr/>
                                <m:t>j</m:t>
                              </m:r>
                            </m:sub>
                          </m:sSub>
                          <m:r>
                            <m:rPr>
                              <m:sty m:val="p"/>
                            </m:rPr>
                            <m:t>−</m:t>
                          </m:r>
                          <m:sSub>
                            <m:sSubPr/>
                            <m:e>
                              <m:r>
                                <m:rPr/>
                                <m:t>λ</m:t>
                              </m:r>
                            </m:e>
                            <m:sub>
                              <m:r>
                                <m:rPr/>
                                <m:t>i</m:t>
                              </m:r>
                            </m:sub>
                          </m:sSub>
                        </m:e>
                      </m:d>
                      <m:r>
                        <m:rPr>
                          <m:sty m:val="p"/>
                        </m:rPr>
                        <m:t>cos</m:t>
                      </m:r>
                      <m:sSub>
                        <m:sSubPr/>
                        <m:e>
                          <m:r>
                            <m:rPr/>
                            <m:t>φ</m:t>
                          </m:r>
                        </m:e>
                        <m:sub>
                          <m:r>
                            <m:rPr/>
                            <m:t>j</m:t>
                          </m:r>
                        </m:sub>
                      </m:sSub>
                    </m:e>
                  </m:d>
                </m:e>
                <m:sup>
                  <m:r>
                    <m:rPr/>
                    <m:t>2</m:t>
                  </m:r>
                </m:sup>
              </m:sSup>
            </m:e>
          </m:rad>
          <m:r>
            <m:rPr>
              <m:sty m:val="p"/>
            </m:rPr>
            <m:t>.</m:t>
          </m:r>
        </m:oMath>
      </m:oMathPara>
    </w:p>
    <w:p w14:paraId="14686C79">
      <w:pPr>
        <w:pStyle w:val="23"/>
        <w:keepLines/>
        <w:spacing w:before="100" w:after="100"/>
        <w:jc w:val="center"/>
      </w:pPr>
      <w:r>
        <w:t xml:space="preserve">从历史任务中选取距离任务 </w:t>
      </w:r>
      <m:oMath>
        <m:r>
          <m:rPr/>
          <m:t>j</m:t>
        </m:r>
      </m:oMath>
      <w:r>
        <w:t xml:space="preserve"> 最近的 </w:t>
      </w:r>
      <m:oMath>
        <m:r>
          <m:rPr/>
          <m:t>K</m:t>
        </m:r>
      </m:oMath>
      <w:r>
        <w:t xml:space="preserve"> 个任务组成邻域 </w:t>
      </w:r>
      <m:oMath>
        <m:sSub>
          <m:sSubPr/>
          <m:e>
            <m:r>
              <m:rPr/>
              <m:t>N</m:t>
            </m:r>
          </m:e>
          <m:sub>
            <m:r>
              <m:rPr/>
              <m:t>K</m:t>
            </m:r>
          </m:sub>
        </m:sSub>
        <m:d>
          <m:dPr>
            <m:sepChr m:val=""/>
          </m:dPr>
          <m:e>
            <m:r>
              <m:rPr/>
              <m:t>j</m:t>
            </m:r>
          </m:e>
        </m:d>
      </m:oMath>
      <w:r>
        <w:t>，并设置距离权重</w:t>
      </w:r>
    </w:p>
    <w:p w14:paraId="5E6158A8">
      <w:pPr>
        <w:pStyle w:val="3"/>
        <w:keepLines/>
        <w:spacing w:before="100" w:after="100"/>
        <w:jc w:val="center"/>
      </w:pPr>
      <m:oMathPara>
        <m:oMathParaPr>
          <m:jc m:val="center"/>
        </m:oMathParaPr>
        <m:oMath>
          <m:sSub>
            <m:sSubPr/>
            <m:e>
              <m:r>
                <m:rPr/>
                <m:t>w</m:t>
              </m:r>
            </m:e>
            <m:sub>
              <m:r>
                <m:rPr/>
                <m:t>ij</m:t>
              </m:r>
            </m:sub>
          </m:sSub>
          <m:r>
            <m:rPr>
              <m:sty m:val="p"/>
            </m:rPr>
            <m:t>=</m:t>
          </m:r>
          <m:f>
            <m:fPr/>
            <m:num>
              <m:r>
                <m:rPr/>
                <m:t>1</m:t>
              </m:r>
            </m:num>
            <m:den>
              <m:sSub>
                <m:sSubPr/>
                <m:e>
                  <m:r>
                    <m:rPr/>
                    <m:t>d</m:t>
                  </m:r>
                </m:e>
                <m:sub>
                  <m:r>
                    <m:rPr/>
                    <m:t>ij</m:t>
                  </m:r>
                </m:sub>
              </m:sSub>
              <m:r>
                <m:rPr>
                  <m:sty m:val="p"/>
                </m:rPr>
                <m:t>+</m:t>
              </m:r>
              <m:r>
                <m:rPr/>
                <m:t>ε</m:t>
              </m:r>
            </m:den>
          </m:f>
          <m:r>
            <m:rPr>
              <m:sty m:val="p"/>
            </m:rPr>
            <m:t>,</m:t>
          </m:r>
          <m:r>
            <m:rPr/>
            <m:t>  ε</m:t>
          </m:r>
          <m:r>
            <m:rPr>
              <m:sty m:val="p"/>
            </m:rPr>
            <m:t>=</m:t>
          </m:r>
          <m:r>
            <m:rPr/>
            <m:t>0.1</m:t>
          </m:r>
          <m:r>
            <m:rPr>
              <m:sty m:val="p"/>
            </m:rPr>
            <m:t>.</m:t>
          </m:r>
        </m:oMath>
      </m:oMathPara>
    </w:p>
    <w:p w14:paraId="586C425D">
      <w:pPr>
        <w:pStyle w:val="23"/>
        <w:spacing w:after="0" w:line="360" w:lineRule="auto"/>
        <w:ind w:firstLine="420"/>
        <w:jc w:val="both"/>
      </w:pPr>
      <w:r>
        <w:rPr>
          <w:rFonts w:ascii="Times New Roman" w:hAnsi="Times New Roman" w:eastAsia="宋体"/>
          <w:color w:val="000000"/>
          <w:sz w:val="21"/>
        </w:rPr>
        <w:t>则新任务的连续基准价格估计为</w:t>
      </w:r>
    </w:p>
    <w:p w14:paraId="072218A4">
      <w:pPr>
        <w:pStyle w:val="3"/>
        <w:keepLines/>
        <w:spacing w:before="100" w:after="100"/>
        <w:jc w:val="center"/>
      </w:pPr>
      <m:oMathPara>
        <m:oMathParaPr>
          <m:jc m:val="center"/>
        </m:oMathParaPr>
        <m:oMath>
          <m:sSubSup>
            <m:sSubSupPr/>
            <m:e>
              <m:acc>
                <m:accPr>
                  <m:chr m:val="̃"/>
                </m:accPr>
                <m:e>
                  <m:r>
                    <m:rPr/>
                    <m:t>P</m:t>
                  </m:r>
                </m:e>
              </m:acc>
            </m:e>
            <m:sub>
              <m:r>
                <m:rPr/>
                <m:t>j</m:t>
              </m:r>
            </m:sub>
            <m:sup>
              <m:d>
                <m:dPr>
                  <m:sepChr m:val=""/>
                </m:dPr>
                <m:e>
                  <m:r>
                    <m:rPr/>
                    <m:t>0</m:t>
                  </m:r>
                </m:e>
              </m:d>
            </m:sup>
          </m:sSubSup>
          <m:r>
            <m:rPr>
              <m:sty m:val="p"/>
            </m:rPr>
            <m:t>=</m:t>
          </m:r>
          <m:f>
            <m:fPr/>
            <m:num>
              <m:nary>
                <m:naryPr>
                  <m:chr m:val="∑"/>
                  <m:limLoc m:val="undOvr"/>
                  <m:supHide m:val="1"/>
                </m:naryPr>
                <m:sub>
                  <m:r>
                    <m:rPr/>
                    <m:t>i</m:t>
                  </m:r>
                  <m:r>
                    <m:rPr>
                      <m:sty m:val="p"/>
                    </m:rPr>
                    <m:t>∈</m:t>
                  </m:r>
                  <m:sSub>
                    <m:sSubPr/>
                    <m:e>
                      <m:r>
                        <m:rPr/>
                        <m:t>N</m:t>
                      </m:r>
                    </m:e>
                    <m:sub>
                      <m:r>
                        <m:rPr/>
                        <m:t>K</m:t>
                      </m:r>
                    </m:sub>
                  </m:sSub>
                  <m:d>
                    <m:dPr>
                      <m:sepChr m:val=""/>
                    </m:dPr>
                    <m:e>
                      <m:r>
                        <m:rPr/>
                        <m:t>j</m:t>
                      </m:r>
                    </m:e>
                  </m:d>
                </m:sub>
                <m:sup>
                  <m:r>
                    <m:rPr/>
                    <m:t>​</m:t>
                  </m:r>
                </m:sup>
                <m:e>
                  <m:sSub>
                    <m:sSubPr/>
                    <m:e>
                      <m:r>
                        <m:rPr/>
                        <m:t>w</m:t>
                      </m:r>
                    </m:e>
                    <m:sub>
                      <m:r>
                        <m:rPr/>
                        <m:t>ij</m:t>
                      </m:r>
                    </m:sub>
                  </m:sSub>
                </m:e>
              </m:nary>
              <m:sSub>
                <m:sSubPr/>
                <m:e>
                  <m:r>
                    <m:rPr/>
                    <m:t>P</m:t>
                  </m:r>
                </m:e>
                <m:sub>
                  <m:r>
                    <m:rPr/>
                    <m:t>i</m:t>
                  </m:r>
                </m:sub>
              </m:sSub>
            </m:num>
            <m:den>
              <m:nary>
                <m:naryPr>
                  <m:chr m:val="∑"/>
                  <m:limLoc m:val="undOvr"/>
                  <m:supHide m:val="1"/>
                </m:naryPr>
                <m:sub>
                  <m:r>
                    <m:rPr/>
                    <m:t>i</m:t>
                  </m:r>
                  <m:r>
                    <m:rPr>
                      <m:sty m:val="p"/>
                    </m:rPr>
                    <m:t>∈</m:t>
                  </m:r>
                  <m:sSub>
                    <m:sSubPr/>
                    <m:e>
                      <m:r>
                        <m:rPr/>
                        <m:t>N</m:t>
                      </m:r>
                    </m:e>
                    <m:sub>
                      <m:r>
                        <m:rPr/>
                        <m:t>K</m:t>
                      </m:r>
                    </m:sub>
                  </m:sSub>
                  <m:d>
                    <m:dPr>
                      <m:sepChr m:val=""/>
                    </m:dPr>
                    <m:e>
                      <m:r>
                        <m:rPr/>
                        <m:t>j</m:t>
                      </m:r>
                    </m:e>
                  </m:d>
                </m:sub>
                <m:sup>
                  <m:r>
                    <m:rPr/>
                    <m:t>​</m:t>
                  </m:r>
                </m:sup>
                <m:e>
                  <m:sSub>
                    <m:sSubPr/>
                    <m:e>
                      <m:r>
                        <m:rPr/>
                        <m:t>w</m:t>
                      </m:r>
                    </m:e>
                    <m:sub>
                      <m:r>
                        <m:rPr/>
                        <m:t>ij</m:t>
                      </m:r>
                    </m:sub>
                  </m:sSub>
                </m:e>
              </m:nary>
            </m:den>
          </m:f>
          <m:r>
            <m:rPr>
              <m:sty m:val="p"/>
            </m:rPr>
            <m:t>.</m:t>
          </m:r>
        </m:oMath>
      </m:oMathPara>
    </w:p>
    <w:p w14:paraId="17D7EB23">
      <w:pPr>
        <w:pStyle w:val="23"/>
        <w:spacing w:after="0" w:line="360" w:lineRule="auto"/>
        <w:ind w:firstLine="420"/>
        <w:jc w:val="both"/>
      </w:pPr>
      <w:r>
        <w:rPr>
          <w:rFonts w:ascii="Times New Roman" w:hAnsi="Times New Roman" w:eastAsia="宋体"/>
          <w:color w:val="000000"/>
          <w:sz w:val="21"/>
        </w:rPr>
        <w:t>为保证定价符合平台发布习惯，将价格限制在历史价格区间内，并按 0.5 元离散化：</w:t>
      </w:r>
    </w:p>
    <w:p w14:paraId="7F0007FA">
      <w:pPr>
        <w:pStyle w:val="3"/>
        <w:keepLines/>
        <w:spacing w:before="100" w:after="100"/>
        <w:jc w:val="center"/>
      </w:pPr>
      <m:oMathPara>
        <m:oMathParaPr>
          <m:jc m:val="center"/>
        </m:oMathParaPr>
        <m:oMath>
          <m:sSubSup>
            <m:sSubSupPr/>
            <m:e>
              <m:r>
                <m:rPr/>
                <m:t>P</m:t>
              </m:r>
            </m:e>
            <m:sub>
              <m:r>
                <m:rPr/>
                <m:t>j</m:t>
              </m:r>
            </m:sub>
            <m:sup>
              <m:d>
                <m:dPr>
                  <m:sepChr m:val=""/>
                </m:dPr>
                <m:e>
                  <m:r>
                    <m:rPr/>
                    <m:t>0</m:t>
                  </m:r>
                </m:e>
              </m:d>
            </m:sup>
          </m:sSubSup>
          <m:r>
            <m:rPr>
              <m:sty m:val="p"/>
            </m:rPr>
            <m:t>=</m:t>
          </m:r>
          <m:r>
            <m:rPr/>
            <m:t>0.5</m:t>
          </m:r>
          <m:r>
            <m:rPr>
              <m:sty m:val="p"/>
            </m:rPr>
            <m:t>×round</m:t>
          </m:r>
          <m:d>
            <m:dPr>
              <m:sepChr m:val=""/>
            </m:dPr>
            <m:e>
              <m:f>
                <m:fPr/>
                <m:num>
                  <m:r>
                    <m:rPr>
                      <m:sty m:val="p"/>
                    </m:rPr>
                    <m:t>min{</m:t>
                  </m:r>
                  <m:sSub>
                    <m:sSubPr/>
                    <m:e>
                      <m:r>
                        <m:rPr/>
                        <m:t>P</m:t>
                      </m:r>
                    </m:e>
                    <m:sub>
                      <m:r>
                        <m:rPr>
                          <m:sty m:val="p"/>
                        </m:rPr>
                        <m:t>max</m:t>
                      </m:r>
                    </m:sub>
                  </m:sSub>
                  <m:r>
                    <m:rPr>
                      <m:sty m:val="p"/>
                    </m:rPr>
                    <m:t>,max</m:t>
                  </m:r>
                  <m:d>
                    <m:dPr>
                      <m:begChr m:val="["/>
                      <m:sepChr m:val=""/>
                      <m:endChr m:val="]"/>
                    </m:dPr>
                    <m:e>
                      <m:sSub>
                        <m:sSubPr/>
                        <m:e>
                          <m:r>
                            <m:rPr/>
                            <m:t>P</m:t>
                          </m:r>
                        </m:e>
                        <m:sub>
                          <m:r>
                            <m:rPr>
                              <m:sty m:val="p"/>
                            </m:rPr>
                            <m:t>min</m:t>
                          </m:r>
                        </m:sub>
                      </m:sSub>
                      <m:r>
                        <m:rPr>
                          <m:sty m:val="p"/>
                        </m:rPr>
                        <m:t>,</m:t>
                      </m:r>
                      <m:sSubSup>
                        <m:sSubSupPr/>
                        <m:e>
                          <m:acc>
                            <m:accPr>
                              <m:chr m:val="̃"/>
                            </m:accPr>
                            <m:e>
                              <m:r>
                                <m:rPr/>
                                <m:t>P</m:t>
                              </m:r>
                            </m:e>
                          </m:acc>
                        </m:e>
                        <m:sub>
                          <m:r>
                            <m:rPr/>
                            <m:t>j</m:t>
                          </m:r>
                        </m:sub>
                        <m:sup>
                          <m:d>
                            <m:dPr>
                              <m:sepChr m:val=""/>
                            </m:dPr>
                            <m:e>
                              <m:r>
                                <m:rPr/>
                                <m:t>0</m:t>
                              </m:r>
                            </m:e>
                          </m:d>
                        </m:sup>
                      </m:sSubSup>
                    </m:e>
                  </m:d>
                  <m:r>
                    <m:rPr>
                      <m:sty m:val="p"/>
                    </m:rPr>
                    <m:t>}</m:t>
                  </m:r>
                </m:num>
                <m:den>
                  <m:r>
                    <m:rPr/>
                    <m:t>0.5</m:t>
                  </m:r>
                </m:den>
              </m:f>
            </m:e>
          </m:d>
          <m:r>
            <m:rPr>
              <m:sty m:val="p"/>
            </m:rPr>
            <m:t>.</m:t>
          </m:r>
        </m:oMath>
      </m:oMathPara>
    </w:p>
    <w:p w14:paraId="17D8FB98">
      <w:pPr>
        <w:pStyle w:val="23"/>
        <w:keepLines/>
        <w:spacing w:before="100" w:after="100"/>
        <w:jc w:val="center"/>
      </w:pPr>
      <w:r>
        <w:t xml:space="preserve">本文采用留一交叉验证确定近邻数。在 </w:t>
      </w:r>
      <m:oMath>
        <m:r>
          <m:rPr/>
          <m:t>K</m:t>
        </m:r>
        <m:r>
          <m:rPr>
            <m:sty m:val="p"/>
          </m:rPr>
          <m:t>=</m:t>
        </m:r>
        <m:r>
          <m:rPr/>
          <m:t>3</m:t>
        </m:r>
        <m:r>
          <m:rPr>
            <m:sty m:val="p"/>
          </m:rPr>
          <m:t>,</m:t>
        </m:r>
        <m:r>
          <m:rPr/>
          <m:t>5</m:t>
        </m:r>
        <m:r>
          <m:rPr>
            <m:sty m:val="p"/>
          </m:rPr>
          <m:t>,</m:t>
        </m:r>
        <m:r>
          <m:rPr/>
          <m:t>10</m:t>
        </m:r>
        <m:r>
          <m:rPr>
            <m:sty m:val="p"/>
          </m:rPr>
          <m:t>,</m:t>
        </m:r>
        <m:r>
          <m:rPr/>
          <m:t>15</m:t>
        </m:r>
        <m:r>
          <m:rPr>
            <m:sty m:val="p"/>
          </m:rPr>
          <m:t>,</m:t>
        </m:r>
        <m:r>
          <m:rPr/>
          <m:t>20</m:t>
        </m:r>
        <m:r>
          <m:rPr>
            <m:sty m:val="p"/>
          </m:rPr>
          <m:t>,</m:t>
        </m:r>
        <m:r>
          <m:rPr/>
          <m:t>30</m:t>
        </m:r>
      </m:oMath>
      <w:r>
        <w:t xml:space="preserve"> 的候选范围内，</w:t>
      </w:r>
      <m:oMath>
        <m:r>
          <m:rPr/>
          <m:t>K</m:t>
        </m:r>
        <m:r>
          <m:rPr>
            <m:sty m:val="p"/>
          </m:rPr>
          <m:t>=</m:t>
        </m:r>
        <m:r>
          <m:rPr/>
          <m:t>10</m:t>
        </m:r>
      </m:oMath>
      <w:r>
        <w:t xml:space="preserve"> 时均方根误差最小，为 3.1644 元，决定系数为 0.5077，因此取 </w:t>
      </w:r>
      <m:oMath>
        <m:r>
          <m:rPr/>
          <m:t>K</m:t>
        </m:r>
        <m:r>
          <m:rPr>
            <m:sty m:val="p"/>
          </m:rPr>
          <m:t>=</m:t>
        </m:r>
        <m:r>
          <m:rPr/>
          <m:t>10</m:t>
        </m:r>
      </m:oMath>
      <w:r>
        <w:t>。附件三新任务到最近历史任务的中位距离为 0.5817 km，95% 的新任务与最近历史任务的距离不超过 1.7640 km，说明历史价格具有较好的空间迁移基础。由此得到基准方案总成本为 137283.5 元，平均价格为 66.4489 元。</w:t>
      </w:r>
    </w:p>
    <w:bookmarkEnd w:id="3"/>
    <w:p w14:paraId="111E6E69">
      <w:pPr>
        <w:pStyle w:val="4"/>
        <w:keepNext/>
        <w:spacing w:before="200" w:after="80"/>
        <w:jc w:val="left"/>
      </w:pPr>
      <w:bookmarkStart w:id="4" w:name="基于-logistic-回归的完成概率预测"/>
      <w:r>
        <w:rPr>
          <w:rFonts w:ascii="Times New Roman" w:hAnsi="Times New Roman" w:eastAsia="黑体"/>
          <w:b/>
          <w:color w:val="000000"/>
          <w:sz w:val="24"/>
        </w:rPr>
        <w:t>4 基于 Logistic 回归的完成概率预测</w:t>
      </w:r>
    </w:p>
    <w:p w14:paraId="272DA481">
      <w:pPr>
        <w:pStyle w:val="23"/>
        <w:keepLines/>
        <w:spacing w:before="100" w:after="100"/>
        <w:jc w:val="center"/>
      </w:pPr>
      <w:r>
        <w:t xml:space="preserve">沿用第一、二问的完成概率模型。对任一任务，在价格为 </w:t>
      </w:r>
      <m:oMath>
        <m:sSub>
          <m:sSubPr/>
          <m:e>
            <m:r>
              <m:rPr/>
              <m:t>P</m:t>
            </m:r>
          </m:e>
          <m:sub>
            <m:r>
              <m:rPr/>
              <m:t>j</m:t>
            </m:r>
          </m:sub>
        </m:sSub>
      </m:oMath>
      <w:r>
        <w:t xml:space="preserve"> 时构造特征向量</w:t>
      </w:r>
    </w:p>
    <w:p w14:paraId="6F8C6FC5">
      <w:pPr>
        <w:pStyle w:val="3"/>
        <w:keepLines/>
        <w:spacing w:before="100" w:after="100"/>
        <w:jc w:val="center"/>
      </w:pPr>
      <m:oMathPara>
        <m:oMathParaPr>
          <m:jc m:val="center"/>
        </m:oMathParaPr>
        <m:oMath>
          <m:sSub>
            <m:sSubPr/>
            <m:e>
              <m:r>
                <m:rPr>
                  <m:sty m:val="b"/>
                </m:rPr>
                <m:t>x</m:t>
              </m:r>
            </m:e>
            <m:sub>
              <m:r>
                <m:rPr/>
                <m:t>j</m:t>
              </m:r>
            </m:sub>
          </m:sSub>
          <m:d>
            <m:dPr>
              <m:sepChr m:val=""/>
            </m:dPr>
            <m:e>
              <m:sSub>
                <m:sSubPr/>
                <m:e>
                  <m:r>
                    <m:rPr/>
                    <m:t>P</m:t>
                  </m:r>
                </m:e>
                <m:sub>
                  <m:r>
                    <m:rPr/>
                    <m:t>j</m:t>
                  </m:r>
                </m:sub>
              </m:sSub>
            </m:e>
          </m:d>
          <m:r>
            <m:rPr>
              <m:sty m:val="p"/>
            </m:rPr>
            <m:t>=</m:t>
          </m:r>
          <m:sSup>
            <m:sSupPr/>
            <m:e>
              <m:d>
                <m:dPr>
                  <m:sepChr m:val=""/>
                </m:dPr>
                <m:e>
                  <m:sSub>
                    <m:sSubPr/>
                    <m:e>
                      <m:r>
                        <m:rPr/>
                        <m:t>P</m:t>
                      </m:r>
                    </m:e>
                    <m:sub>
                      <m:r>
                        <m:rPr/>
                        <m:t>j</m:t>
                      </m:r>
                    </m:sub>
                  </m:sSub>
                  <m:r>
                    <m:rPr>
                      <m:sty m:val="p"/>
                    </m:rPr>
                    <m:t>,</m:t>
                  </m:r>
                  <m:sSubSup>
                    <m:sSubSupPr/>
                    <m:e>
                      <m:r>
                        <m:rPr/>
                        <m:t>d</m:t>
                      </m:r>
                    </m:e>
                    <m:sub>
                      <m:r>
                        <m:rPr/>
                        <m:t>j</m:t>
                      </m:r>
                    </m:sub>
                    <m:sup>
                      <m:r>
                        <m:rPr>
                          <m:sty m:val="p"/>
                        </m:rPr>
                        <m:t>min</m:t>
                      </m:r>
                    </m:sup>
                  </m:sSubSup>
                  <m:r>
                    <m:rPr>
                      <m:sty m:val="p"/>
                    </m:rPr>
                    <m:t>,</m:t>
                  </m:r>
                  <m:sSub>
                    <m:sSubPr/>
                    <m:e>
                      <m:r>
                        <m:rPr/>
                        <m:t>N</m:t>
                      </m:r>
                    </m:e>
                    <m:sub>
                      <m:r>
                        <m:rPr/>
                        <m:t>j</m:t>
                      </m:r>
                    </m:sub>
                  </m:sSub>
                  <m:r>
                    <m:rPr>
                      <m:sty m:val="p"/>
                    </m:rPr>
                    <m:t>,</m:t>
                  </m:r>
                  <m:sSub>
                    <m:sSubPr/>
                    <m:e>
                      <m:bar>
                        <m:barPr>
                          <m:pos m:val="top"/>
                        </m:barPr>
                        <m:e>
                          <m:r>
                            <m:rPr/>
                            <m:t>C</m:t>
                          </m:r>
                        </m:e>
                      </m:bar>
                    </m:e>
                    <m:sub>
                      <m:r>
                        <m:rPr/>
                        <m:t>j</m:t>
                      </m:r>
                    </m:sub>
                  </m:sSub>
                  <m:r>
                    <m:rPr>
                      <m:sty m:val="p"/>
                    </m:rPr>
                    <m:t>,</m:t>
                  </m:r>
                  <m:sSub>
                    <m:sSubPr/>
                    <m:e>
                      <m:bar>
                        <m:barPr>
                          <m:pos m:val="top"/>
                        </m:barPr>
                        <m:e>
                          <m:r>
                            <m:rPr/>
                            <m:t>Q</m:t>
                          </m:r>
                        </m:e>
                      </m:bar>
                    </m:e>
                    <m:sub>
                      <m:r>
                        <m:rPr/>
                        <m:t>j</m:t>
                      </m:r>
                    </m:sub>
                  </m:sSub>
                  <m:r>
                    <m:rPr>
                      <m:sty m:val="p"/>
                    </m:rPr>
                    <m:t>,</m:t>
                  </m:r>
                  <m:sSub>
                    <m:sSubPr/>
                    <m:e>
                      <m:r>
                        <m:rPr/>
                        <m:t>D</m:t>
                      </m:r>
                    </m:e>
                    <m:sub>
                      <m:r>
                        <m:rPr/>
                        <m:t>j</m:t>
                      </m:r>
                    </m:sub>
                  </m:sSub>
                  <m:r>
                    <m:rPr>
                      <m:sty m:val="p"/>
                    </m:rPr>
                    <m:t>,</m:t>
                  </m:r>
                  <m:sSub>
                    <m:sSubPr/>
                    <m:e>
                      <m:r>
                        <m:rPr/>
                        <m:t>ρ</m:t>
                      </m:r>
                    </m:e>
                    <m:sub>
                      <m:r>
                        <m:rPr/>
                        <m:t>j</m:t>
                      </m:r>
                    </m:sub>
                  </m:sSub>
                  <m:r>
                    <m:rPr>
                      <m:sty m:val="p"/>
                    </m:rPr>
                    <m:t>,</m:t>
                  </m:r>
                  <m:f>
                    <m:fPr/>
                    <m:num>
                      <m:sSub>
                        <m:sSubPr/>
                        <m:e>
                          <m:r>
                            <m:rPr/>
                            <m:t>P</m:t>
                          </m:r>
                        </m:e>
                        <m:sub>
                          <m:r>
                            <m:rPr/>
                            <m:t>j</m:t>
                          </m:r>
                        </m:sub>
                      </m:sSub>
                    </m:num>
                    <m:den>
                      <m:sSubSup>
                        <m:sSubSupPr/>
                        <m:e>
                          <m:r>
                            <m:rPr/>
                            <m:t>d</m:t>
                          </m:r>
                        </m:e>
                        <m:sub>
                          <m:r>
                            <m:rPr/>
                            <m:t>j</m:t>
                          </m:r>
                        </m:sub>
                        <m:sup>
                          <m:r>
                            <m:rPr>
                              <m:sty m:val="p"/>
                            </m:rPr>
                            <m:t>min</m:t>
                          </m:r>
                        </m:sup>
                      </m:sSubSup>
                      <m:r>
                        <m:rPr>
                          <m:sty m:val="p"/>
                        </m:rPr>
                        <m:t>+</m:t>
                      </m:r>
                      <m:r>
                        <m:rPr/>
                        <m:t>0.1</m:t>
                      </m:r>
                    </m:den>
                  </m:f>
                  <m:r>
                    <m:rPr>
                      <m:sty m:val="p"/>
                    </m:rPr>
                    <m:t>,</m:t>
                  </m:r>
                  <m:f>
                    <m:fPr/>
                    <m:num>
                      <m:sSub>
                        <m:sSubPr/>
                        <m:e>
                          <m:r>
                            <m:rPr/>
                            <m:t>P</m:t>
                          </m:r>
                        </m:e>
                        <m:sub>
                          <m:r>
                            <m:rPr/>
                            <m:t>j</m:t>
                          </m:r>
                        </m:sub>
                      </m:sSub>
                    </m:num>
                    <m:den>
                      <m:sSub>
                        <m:sSubPr/>
                        <m:e>
                          <m:r>
                            <m:rPr/>
                            <m:t>D</m:t>
                          </m:r>
                        </m:e>
                        <m:sub>
                          <m:r>
                            <m:rPr/>
                            <m:t>j</m:t>
                          </m:r>
                        </m:sub>
                      </m:sSub>
                      <m:r>
                        <m:rPr>
                          <m:sty m:val="p"/>
                        </m:rPr>
                        <m:t>+</m:t>
                      </m:r>
                      <m:r>
                        <m:rPr/>
                        <m:t>1</m:t>
                      </m:r>
                    </m:den>
                  </m:f>
                </m:e>
              </m:d>
            </m:e>
            <m:sup>
              <m:r>
                <m:rPr>
                  <m:sty m:val="p"/>
                </m:rPr>
                <m:t>T</m:t>
              </m:r>
            </m:sup>
          </m:sSup>
          <m:r>
            <m:rPr>
              <m:sty m:val="p"/>
            </m:rPr>
            <m:t>,</m:t>
          </m:r>
        </m:oMath>
      </m:oMathPara>
    </w:p>
    <w:p w14:paraId="51D4ABA1">
      <w:pPr>
        <w:pStyle w:val="23"/>
        <w:keepLines/>
        <w:spacing w:before="100" w:after="100"/>
        <w:jc w:val="center"/>
      </w:pPr>
      <w:r>
        <w:t>其中，</w:t>
      </w:r>
      <m:oMath>
        <m:sSubSup>
          <m:sSubSupPr/>
          <m:e>
            <m:r>
              <m:rPr/>
              <m:t>d</m:t>
            </m:r>
          </m:e>
          <m:sub>
            <m:r>
              <m:rPr/>
              <m:t>j</m:t>
            </m:r>
          </m:sub>
          <m:sup>
            <m:r>
              <m:rPr>
                <m:sty m:val="p"/>
              </m:rPr>
              <m:t>min</m:t>
            </m:r>
          </m:sup>
        </m:sSubSup>
      </m:oMath>
      <w:r>
        <w:t xml:space="preserve"> 为最近会员距离，</w:t>
      </w:r>
      <m:oMath>
        <m:sSub>
          <m:sSubPr/>
          <m:e>
            <m:r>
              <m:rPr/>
              <m:t>N</m:t>
            </m:r>
          </m:e>
          <m:sub>
            <m:r>
              <m:rPr/>
              <m:t>j</m:t>
            </m:r>
          </m:sub>
        </m:sSub>
      </m:oMath>
      <w:r>
        <w:t xml:space="preserve"> 为 3 km 内会员数，</w:t>
      </w:r>
      <m:oMath>
        <m:sSub>
          <m:sSubPr/>
          <m:e>
            <m:bar>
              <m:barPr>
                <m:pos m:val="top"/>
              </m:barPr>
              <m:e>
                <m:r>
                  <m:rPr/>
                  <m:t>C</m:t>
                </m:r>
              </m:e>
            </m:bar>
          </m:e>
          <m:sub>
            <m:r>
              <m:rPr/>
              <m:t>j</m:t>
            </m:r>
          </m:sub>
        </m:sSub>
      </m:oMath>
      <w:r>
        <w:t xml:space="preserve"> 和 </w:t>
      </w:r>
      <m:oMath>
        <m:sSub>
          <m:sSubPr/>
          <m:e>
            <m:bar>
              <m:barPr>
                <m:pos m:val="top"/>
              </m:barPr>
              <m:e>
                <m:r>
                  <m:rPr/>
                  <m:t>Q</m:t>
                </m:r>
              </m:e>
            </m:bar>
          </m:e>
          <m:sub>
            <m:r>
              <m:rPr/>
              <m:t>j</m:t>
            </m:r>
          </m:sub>
        </m:sSub>
      </m:oMath>
      <w:r>
        <w:t xml:space="preserve"> 分别为周边会员平均信誉值与平均预订限额，</w:t>
      </w:r>
      <m:oMath>
        <m:sSub>
          <m:sSubPr/>
          <m:e>
            <m:r>
              <m:rPr/>
              <m:t>D</m:t>
            </m:r>
          </m:e>
          <m:sub>
            <m:r>
              <m:rPr/>
              <m:t>j</m:t>
            </m:r>
          </m:sub>
        </m:sSub>
      </m:oMath>
      <w:r>
        <w:t xml:space="preserve"> 为 3 km 内其他任务数，</w:t>
      </w:r>
      <m:oMath>
        <m:sSub>
          <m:sSubPr/>
          <m:e>
            <m:r>
              <m:rPr/>
              <m:t>ρ</m:t>
            </m:r>
          </m:e>
          <m:sub>
            <m:r>
              <m:rPr/>
              <m:t>j</m:t>
            </m:r>
          </m:sub>
        </m:sSub>
        <m:r>
          <m:rPr>
            <m:sty m:val="p"/>
          </m:rPr>
          <m:t>=</m:t>
        </m:r>
        <m:sSub>
          <m:sSubPr/>
          <m:e>
            <m:r>
              <m:rPr/>
              <m:t>D</m:t>
            </m:r>
          </m:e>
          <m:sub>
            <m:r>
              <m:rPr/>
              <m:t>j</m:t>
            </m:r>
          </m:sub>
        </m:sSub>
        <m:r>
          <m:rPr>
            <m:sty m:val="p"/>
          </m:rPr>
          <m:t>/max</m:t>
        </m:r>
        <m:d>
          <m:dPr>
            <m:sepChr m:val=""/>
          </m:dPr>
          <m:e>
            <m:sSub>
              <m:sSubPr/>
              <m:e>
                <m:r>
                  <m:rPr/>
                  <m:t>N</m:t>
                </m:r>
              </m:e>
              <m:sub>
                <m:r>
                  <m:rPr/>
                  <m:t>j</m:t>
                </m:r>
              </m:sub>
            </m:sSub>
            <m:r>
              <m:rPr>
                <m:sty m:val="p"/>
              </m:rPr>
              <m:t>,</m:t>
            </m:r>
            <m:r>
              <m:rPr/>
              <m:t>1</m:t>
            </m:r>
          </m:e>
        </m:d>
      </m:oMath>
      <w:r>
        <w:t xml:space="preserve"> 为竞争强度。</w:t>
      </w:r>
    </w:p>
    <w:p w14:paraId="3EF7CF5A">
      <w:pPr>
        <w:pStyle w:val="3"/>
        <w:spacing w:after="0" w:line="360" w:lineRule="auto"/>
        <w:ind w:firstLine="420"/>
        <w:jc w:val="both"/>
      </w:pPr>
      <w:r>
        <w:rPr>
          <w:rFonts w:ascii="Times New Roman" w:hAnsi="Times New Roman" w:eastAsia="宋体"/>
          <w:color w:val="000000"/>
          <w:sz w:val="21"/>
        </w:rPr>
        <w:t>由于附件三的任务密度明显超出历史样本范围，对每一维特征实施训练域边界投影：</w:t>
      </w:r>
    </w:p>
    <w:p w14:paraId="1C5EE985">
      <w:pPr>
        <w:pStyle w:val="3"/>
        <w:keepLines/>
        <w:spacing w:before="100" w:after="100"/>
        <w:jc w:val="center"/>
      </w:pPr>
      <m:oMathPara>
        <m:oMathParaPr>
          <m:jc m:val="center"/>
        </m:oMathParaPr>
        <m:oMath>
          <m:sSubSup>
            <m:sSubSupPr/>
            <m:e>
              <m:r>
                <m:rPr/>
                <m:t>x</m:t>
              </m:r>
            </m:e>
            <m:sub>
              <m:r>
                <m:rPr/>
                <m:t>jr</m:t>
              </m:r>
            </m:sub>
            <m:sup>
              <m:r>
                <m:rPr>
                  <m:sty m:val="p"/>
                </m:rPr>
                <m:t>∗</m:t>
              </m:r>
            </m:sup>
          </m:sSubSup>
          <m:r>
            <m:rPr>
              <m:sty m:val="p"/>
            </m:rPr>
            <m:t>=min</m:t>
          </m:r>
          <m:d>
            <m:dPr>
              <m:begChr m:val="{"/>
              <m:sepChr m:val=""/>
              <m:endChr m:val="}"/>
            </m:dPr>
            <m:e>
              <m:sSubSup>
                <m:sSubSupPr/>
                <m:e>
                  <m:r>
                    <m:rPr/>
                    <m:t>x</m:t>
                  </m:r>
                </m:e>
                <m:sub>
                  <m:r>
                    <m:rPr/>
                    <m:t>r</m:t>
                  </m:r>
                </m:sub>
                <m:sup>
                  <m:r>
                    <m:rPr>
                      <m:sty m:val="p"/>
                    </m:rPr>
                    <m:t>max</m:t>
                  </m:r>
                </m:sup>
              </m:sSubSup>
              <m:r>
                <m:rPr>
                  <m:sty m:val="p"/>
                </m:rPr>
                <m:t>,max</m:t>
              </m:r>
              <m:d>
                <m:dPr>
                  <m:sepChr m:val=""/>
                </m:dPr>
                <m:e>
                  <m:sSubSup>
                    <m:sSubSupPr/>
                    <m:e>
                      <m:r>
                        <m:rPr/>
                        <m:t>x</m:t>
                      </m:r>
                    </m:e>
                    <m:sub>
                      <m:r>
                        <m:rPr/>
                        <m:t>r</m:t>
                      </m:r>
                    </m:sub>
                    <m:sup>
                      <w:bookmarkStart w:id="9" w:name="_GoBack"/>
                      <w:bookmarkEnd w:id="9"/>
                      <m:r>
                        <m:rPr>
                          <m:sty m:val="p"/>
                        </m:rPr>
                        <m:t>min</m:t>
                      </m:r>
                    </m:sup>
                  </m:sSubSup>
                  <m:r>
                    <m:rPr>
                      <m:sty m:val="p"/>
                    </m:rPr>
                    <m:t>,</m:t>
                  </m:r>
                  <m:sSub>
                    <m:sSubPr/>
                    <m:e>
                      <m:r>
                        <m:rPr/>
                        <m:t>x</m:t>
                      </m:r>
                    </m:e>
                    <m:sub>
                      <m:r>
                        <m:rPr/>
                        <m:t>jr</m:t>
                      </m:r>
                    </m:sub>
                  </m:sSub>
                </m:e>
              </m:d>
            </m:e>
          </m:d>
          <m:r>
            <m:rPr>
              <m:sty m:val="p"/>
            </m:rPr>
            <m:t>,</m:t>
          </m:r>
        </m:oMath>
      </m:oMathPara>
    </w:p>
    <w:p w14:paraId="704BE56C">
      <w:pPr>
        <w:pStyle w:val="23"/>
        <w:keepLines/>
        <w:spacing w:before="100" w:after="100"/>
        <w:jc w:val="center"/>
      </w:pPr>
      <w:r>
        <w:t>其中，</w:t>
      </w:r>
      <m:oMath>
        <m:sSubSup>
          <m:sSubSupPr/>
          <m:e>
            <m:r>
              <m:rPr/>
              <m:t>x</m:t>
            </m:r>
          </m:e>
          <m:sub>
            <m:r>
              <m:rPr/>
              <m:t>r</m:t>
            </m:r>
          </m:sub>
          <m:sup>
            <m:r>
              <m:rPr>
                <m:sty m:val="p"/>
              </m:rPr>
              <m:t>min</m:t>
            </m:r>
          </m:sup>
        </m:sSubSup>
      </m:oMath>
      <w:r>
        <w:t xml:space="preserve"> 和 </w:t>
      </w:r>
      <m:oMath>
        <m:sSubSup>
          <m:sSubSupPr/>
          <m:e>
            <m:r>
              <m:rPr/>
              <m:t>x</m:t>
            </m:r>
          </m:e>
          <m:sub>
            <m:r>
              <m:rPr/>
              <m:t>r</m:t>
            </m:r>
          </m:sub>
          <m:sup>
            <m:r>
              <m:rPr>
                <m:sty m:val="p"/>
              </m:rPr>
              <m:t>max</m:t>
            </m:r>
          </m:sup>
        </m:sSubSup>
      </m:oMath>
      <w:r>
        <w:t xml:space="preserve"> 分别为附件一第 </w:t>
      </w:r>
      <m:oMath>
        <m:r>
          <m:rPr/>
          <m:t>r</m:t>
        </m:r>
      </m:oMath>
      <w:r>
        <w:t xml:space="preserve"> 个特征的最小值和最大值。经标准化后，任务完成概率表示为</w:t>
      </w:r>
    </w:p>
    <w:p w14:paraId="0935FBC9">
      <w:pPr>
        <w:pStyle w:val="3"/>
        <w:keepLines/>
        <w:spacing w:before="100" w:after="100"/>
        <w:jc w:val="center"/>
      </w:pPr>
      <m:oMathPara>
        <m:oMathParaPr>
          <m:jc m:val="center"/>
        </m:oMathParaPr>
        <m:oMath>
          <m:sSub>
            <m:sSubPr/>
            <m:e>
              <m:r>
                <m:rPr/>
                <m:t>p</m:t>
              </m:r>
            </m:e>
            <m:sub>
              <m:r>
                <m:rPr/>
                <m:t>j</m:t>
              </m:r>
            </m:sub>
          </m:sSub>
          <m:d>
            <m:dPr>
              <m:sepChr m:val=""/>
            </m:dPr>
            <m:e>
              <m:sSub>
                <m:sSubPr/>
                <m:e>
                  <m:r>
                    <m:rPr/>
                    <m:t>P</m:t>
                  </m:r>
                </m:e>
                <m:sub>
                  <m:r>
                    <m:rPr/>
                    <m:t>j</m:t>
                  </m:r>
                </m:sub>
              </m:sSub>
            </m:e>
          </m:d>
          <m:r>
            <m:rPr>
              <m:sty m:val="p"/>
            </m:rPr>
            <m:t>=</m:t>
          </m:r>
          <m:f>
            <m:fPr/>
            <m:num>
              <m:r>
                <m:rPr/>
                <m:t>1</m:t>
              </m:r>
            </m:num>
            <m:den>
              <m:r>
                <m:rPr/>
                <m:t>1</m:t>
              </m:r>
              <m:r>
                <m:rPr>
                  <m:sty m:val="p"/>
                </m:rPr>
                <m:t>+exp</m:t>
              </m:r>
              <m:d>
                <m:dPr>
                  <m:begChr m:val="["/>
                  <m:sepChr m:val=""/>
                  <m:endChr m:val="]"/>
                </m:dPr>
                <m:e>
                  <m:r>
                    <m:rPr>
                      <m:sty m:val="p"/>
                    </m:rPr>
                    <m:t>−</m:t>
                  </m:r>
                  <m:d>
                    <m:dPr>
                      <m:sepChr m:val=""/>
                    </m:dPr>
                    <m:e>
                      <m:sSub>
                        <m:sSubPr/>
                        <m:e>
                          <m:r>
                            <m:rPr/>
                            <m:t>α</m:t>
                          </m:r>
                        </m:e>
                        <m:sub>
                          <m:r>
                            <m:rPr/>
                            <m:t>0</m:t>
                          </m:r>
                        </m:sub>
                      </m:sSub>
                      <m:r>
                        <m:rPr>
                          <m:sty m:val="p"/>
                        </m:rPr>
                        <m:t>+</m:t>
                      </m:r>
                      <m:nary>
                        <m:naryPr>
                          <m:chr m:val="∑"/>
                          <m:limLoc m:val="undOvr"/>
                        </m:naryPr>
                        <m:sub>
                          <m:r>
                            <m:rPr/>
                            <m:t>r</m:t>
                          </m:r>
                          <m:r>
                            <m:rPr>
                              <m:sty m:val="p"/>
                            </m:rPr>
                            <m:t>=</m:t>
                          </m:r>
                          <m:r>
                            <m:rPr/>
                            <m:t>1</m:t>
                          </m:r>
                        </m:sub>
                        <m:sup>
                          <m:r>
                            <m:rPr/>
                            <m:t>9</m:t>
                          </m:r>
                        </m:sup>
                        <m:e>
                          <m:sSub>
                            <m:sSubPr/>
                            <m:e>
                              <m:r>
                                <m:rPr/>
                                <m:t>α</m:t>
                              </m:r>
                            </m:e>
                            <m:sub>
                              <m:r>
                                <m:rPr/>
                                <m:t>r</m:t>
                              </m:r>
                            </m:sub>
                          </m:sSub>
                        </m:e>
                      </m:nary>
                      <m:sSubSup>
                        <m:sSubSupPr/>
                        <m:e>
                          <m:r>
                            <m:rPr/>
                            <m:t>z</m:t>
                          </m:r>
                        </m:e>
                        <m:sub>
                          <m:r>
                            <m:rPr/>
                            <m:t>jr</m:t>
                          </m:r>
                        </m:sub>
                        <m:sup>
                          <m:r>
                            <m:rPr>
                              <m:sty m:val="p"/>
                            </m:rPr>
                            <m:t>∗</m:t>
                          </m:r>
                        </m:sup>
                      </m:sSubSup>
                    </m:e>
                  </m:d>
                </m:e>
              </m:d>
            </m:den>
          </m:f>
          <m:r>
            <m:rPr>
              <m:sty m:val="p"/>
            </m:rPr>
            <m:t>.</m:t>
          </m:r>
        </m:oMath>
      </m:oMathPara>
    </w:p>
    <w:p w14:paraId="63B23E89">
      <w:pPr>
        <w:pStyle w:val="23"/>
        <w:keepLines/>
        <w:spacing w:before="100" w:after="100"/>
        <w:jc w:val="center"/>
      </w:pPr>
      <w:r>
        <w:t xml:space="preserve">利用附件一的实际完成情况估计模型参数，重新搜索得到平衡准确率最优阈值为 0.62，与第一问保持一致；该阈值下模型平衡准确率为 67.10%。因此，本文将 </w:t>
      </w:r>
      <m:oMath>
        <m:sSub>
          <m:sSubPr/>
          <m:e>
            <m:r>
              <m:rPr/>
              <m:t>p</m:t>
            </m:r>
          </m:e>
          <m:sub>
            <m:r>
              <m:rPr/>
              <m:t>j</m:t>
            </m:r>
          </m:sub>
        </m:sSub>
        <m:r>
          <m:rPr>
            <m:sty m:val="p"/>
          </m:rPr>
          <m:t>≥</m:t>
        </m:r>
        <m:r>
          <m:rPr/>
          <m:t>0.62</m:t>
        </m:r>
      </m:oMath>
      <w:r>
        <w:t xml:space="preserve"> 作为任务达到目标完成概率的判定标准。</w:t>
      </w:r>
    </w:p>
    <w:bookmarkEnd w:id="4"/>
    <w:p w14:paraId="0F86929A">
      <w:pPr>
        <w:pStyle w:val="4"/>
        <w:keepNext/>
        <w:spacing w:before="200" w:after="80"/>
        <w:jc w:val="left"/>
      </w:pPr>
      <w:bookmarkStart w:id="5" w:name="多目标定价优化模型"/>
      <w:r>
        <w:rPr>
          <w:rFonts w:ascii="Times New Roman" w:hAnsi="Times New Roman" w:eastAsia="黑体"/>
          <w:b/>
          <w:color w:val="000000"/>
          <w:sz w:val="24"/>
        </w:rPr>
        <w:t>5 多目标定价优化模型</w:t>
      </w:r>
    </w:p>
    <w:p w14:paraId="574C537B">
      <w:pPr>
        <w:pStyle w:val="23"/>
        <w:keepLines/>
        <w:spacing w:before="100" w:after="100"/>
        <w:jc w:val="center"/>
      </w:pPr>
      <w:r>
        <w:t xml:space="preserve">基准价格能够反映历史空间定价水平，但未必能使低完成概率任务达到合理水平。设附件三最终价格为 </w:t>
      </w:r>
      <m:oMath>
        <m:sSub>
          <m:sSubPr/>
          <m:e>
            <m:r>
              <m:rPr/>
              <m:t>P</m:t>
            </m:r>
          </m:e>
          <m:sub>
            <m:r>
              <m:rPr/>
              <m:t>j</m:t>
            </m:r>
          </m:sub>
        </m:sSub>
      </m:oMath>
      <w:r>
        <w:t xml:space="preserve">，基准价格为 </w:t>
      </w:r>
      <m:oMath>
        <m:sSubSup>
          <m:sSubSupPr/>
          <m:e>
            <m:r>
              <m:rPr/>
              <m:t>P</m:t>
            </m:r>
          </m:e>
          <m:sub>
            <m:r>
              <m:rPr/>
              <m:t>j</m:t>
            </m:r>
          </m:sub>
          <m:sup>
            <m:d>
              <m:dPr>
                <m:sepChr m:val=""/>
              </m:dPr>
              <m:e>
                <m:r>
                  <m:rPr/>
                  <m:t>0</m:t>
                </m:r>
              </m:e>
            </m:d>
          </m:sup>
        </m:sSubSup>
      </m:oMath>
      <w:r>
        <w:t xml:space="preserve">，对应的基准完成概率为 </w:t>
      </w:r>
      <m:oMath>
        <m:sSubSup>
          <m:sSubSupPr/>
          <m:e>
            <m:r>
              <m:rPr/>
              <m:t>p</m:t>
            </m:r>
          </m:e>
          <m:sub>
            <m:r>
              <m:rPr/>
              <m:t>j</m:t>
            </m:r>
          </m:sub>
          <m:sup>
            <m:d>
              <m:dPr>
                <m:sepChr m:val=""/>
              </m:dPr>
              <m:e>
                <m:r>
                  <m:rPr/>
                  <m:t>0</m:t>
                </m:r>
              </m:e>
            </m:d>
          </m:sup>
        </m:sSubSup>
      </m:oMath>
      <w:r>
        <w:t>。在控制平台成本的前提下，本文同时考虑期望完成任务数的提升与总成本增量，建立归一化综合目标函数：</w:t>
      </w:r>
    </w:p>
    <w:p w14:paraId="5AEB3F7B">
      <w:pPr>
        <w:pStyle w:val="3"/>
        <w:keepLines/>
        <w:spacing w:before="100" w:after="100"/>
        <w:jc w:val="center"/>
      </w:pPr>
      <m:oMathPara>
        <m:oMathParaPr>
          <m:jc m:val="center"/>
        </m:oMathParaPr>
        <m:oMath>
          <m:r>
            <m:rPr>
              <m:sty m:val="p"/>
            </m:rPr>
            <m:t>max</m:t>
          </m:r>
          <m:r>
            <m:rPr/>
            <m:t>J</m:t>
          </m:r>
          <m:r>
            <m:rPr>
              <m:sty m:val="p"/>
            </m:rPr>
            <m:t>=</m:t>
          </m:r>
          <m:r>
            <m:rPr/>
            <m:t>ω</m:t>
          </m:r>
          <m:f>
            <m:fPr/>
            <m:num>
              <m:nary>
                <m:naryPr>
                  <m:chr m:val="∑"/>
                  <m:limLoc m:val="undOvr"/>
                </m:naryPr>
                <m:sub>
                  <m:r>
                    <m:rPr/>
                    <m:t>j</m:t>
                  </m:r>
                  <m:r>
                    <m:rPr>
                      <m:sty m:val="p"/>
                    </m:rPr>
                    <m:t>=</m:t>
                  </m:r>
                  <m:r>
                    <m:rPr/>
                    <m:t>1</m:t>
                  </m:r>
                </m:sub>
                <m:sup>
                  <m:r>
                    <m:rPr/>
                    <m:t>n</m:t>
                  </m:r>
                </m:sup>
                <m:e>
                  <m:sSub>
                    <m:sSubPr/>
                    <m:e>
                      <m:r>
                        <m:rPr/>
                        <m:t>p</m:t>
                      </m:r>
                    </m:e>
                    <m:sub>
                      <m:r>
                        <m:rPr/>
                        <m:t>j</m:t>
                      </m:r>
                    </m:sub>
                  </m:sSub>
                </m:e>
              </m:nary>
              <m:d>
                <m:dPr>
                  <m:sepChr m:val=""/>
                </m:dPr>
                <m:e>
                  <m:sSub>
                    <m:sSubPr/>
                    <m:e>
                      <m:r>
                        <m:rPr/>
                        <m:t>P</m:t>
                      </m:r>
                    </m:e>
                    <m:sub>
                      <m:r>
                        <m:rPr/>
                        <m:t>j</m:t>
                      </m:r>
                    </m:sub>
                  </m:sSub>
                </m:e>
              </m:d>
              <m:r>
                <m:rPr>
                  <m:sty m:val="p"/>
                </m:rPr>
                <m:t>−</m:t>
              </m:r>
              <m:nary>
                <m:naryPr>
                  <m:chr m:val="∑"/>
                  <m:limLoc m:val="undOvr"/>
                </m:naryPr>
                <m:sub>
                  <m:r>
                    <m:rPr/>
                    <m:t>j</m:t>
                  </m:r>
                  <m:r>
                    <m:rPr>
                      <m:sty m:val="p"/>
                    </m:rPr>
                    <m:t>=</m:t>
                  </m:r>
                  <m:r>
                    <m:rPr/>
                    <m:t>1</m:t>
                  </m:r>
                </m:sub>
                <m:sup>
                  <m:r>
                    <m:rPr/>
                    <m:t>n</m:t>
                  </m:r>
                </m:sup>
                <m:e>
                  <m:sSubSup>
                    <m:sSubSupPr/>
                    <m:e>
                      <m:r>
                        <m:rPr/>
                        <m:t>p</m:t>
                      </m:r>
                    </m:e>
                    <m:sub>
                      <m:r>
                        <m:rPr/>
                        <m:t>j</m:t>
                      </m:r>
                    </m:sub>
                    <m:sup>
                      <m:d>
                        <m:dPr>
                          <m:sepChr m:val=""/>
                        </m:dPr>
                        <m:e>
                          <m:r>
                            <m:rPr/>
                            <m:t>0</m:t>
                          </m:r>
                        </m:e>
                      </m:d>
                    </m:sup>
                  </m:sSubSup>
                </m:e>
              </m:nary>
            </m:num>
            <m:den>
              <m:r>
                <m:rPr/>
                <m:t>n</m:t>
              </m:r>
              <m:r>
                <m:rPr>
                  <m:sty m:val="p"/>
                </m:rPr>
                <m:t>−</m:t>
              </m:r>
              <m:nary>
                <m:naryPr>
                  <m:chr m:val="∑"/>
                  <m:limLoc m:val="undOvr"/>
                </m:naryPr>
                <m:sub>
                  <m:r>
                    <m:rPr/>
                    <m:t>j</m:t>
                  </m:r>
                  <m:r>
                    <m:rPr>
                      <m:sty m:val="p"/>
                    </m:rPr>
                    <m:t>=</m:t>
                  </m:r>
                  <m:r>
                    <m:rPr/>
                    <m:t>1</m:t>
                  </m:r>
                </m:sub>
                <m:sup>
                  <m:r>
                    <m:rPr/>
                    <m:t>n</m:t>
                  </m:r>
                </m:sup>
                <m:e>
                  <m:sSubSup>
                    <m:sSubSupPr/>
                    <m:e>
                      <m:r>
                        <m:rPr/>
                        <m:t>p</m:t>
                      </m:r>
                    </m:e>
                    <m:sub>
                      <m:r>
                        <m:rPr/>
                        <m:t>j</m:t>
                      </m:r>
                    </m:sub>
                    <m:sup>
                      <m:d>
                        <m:dPr>
                          <m:sepChr m:val=""/>
                        </m:dPr>
                        <m:e>
                          <m:r>
                            <m:rPr/>
                            <m:t>0</m:t>
                          </m:r>
                        </m:e>
                      </m:d>
                    </m:sup>
                  </m:sSubSup>
                </m:e>
              </m:nary>
            </m:den>
          </m:f>
          <m:r>
            <m:rPr>
              <m:sty m:val="p"/>
            </m:rPr>
            <m:t>−</m:t>
          </m:r>
          <m:d>
            <m:dPr>
              <m:sepChr m:val=""/>
            </m:dPr>
            <m:e>
              <m:r>
                <m:rPr/>
                <m:t>1</m:t>
              </m:r>
              <m:r>
                <m:rPr>
                  <m:sty m:val="p"/>
                </m:rPr>
                <m:t>−</m:t>
              </m:r>
              <m:r>
                <m:rPr/>
                <m:t>ω</m:t>
              </m:r>
            </m:e>
          </m:d>
          <m:f>
            <m:fPr/>
            <m:num>
              <m:nary>
                <m:naryPr>
                  <m:chr m:val="∑"/>
                  <m:limLoc m:val="undOvr"/>
                </m:naryPr>
                <m:sub>
                  <m:r>
                    <m:rPr/>
                    <m:t>j</m:t>
                  </m:r>
                  <m:r>
                    <m:rPr>
                      <m:sty m:val="p"/>
                    </m:rPr>
                    <m:t>=</m:t>
                  </m:r>
                  <m:r>
                    <m:rPr/>
                    <m:t>1</m:t>
                  </m:r>
                </m:sub>
                <m:sup>
                  <m:r>
                    <m:rPr/>
                    <m:t>n</m:t>
                  </m:r>
                </m:sup>
                <m:e>
                  <m:d>
                    <m:dPr>
                      <m:sepChr m:val=""/>
                    </m:dPr>
                    <m:e>
                      <m:sSub>
                        <m:sSubPr/>
                        <m:e>
                          <m:r>
                            <m:rPr/>
                            <m:t>P</m:t>
                          </m:r>
                        </m:e>
                        <m:sub>
                          <m:r>
                            <m:rPr/>
                            <m:t>j</m:t>
                          </m:r>
                        </m:sub>
                      </m:sSub>
                      <m:r>
                        <m:rPr>
                          <m:sty m:val="p"/>
                        </m:rPr>
                        <m:t>−</m:t>
                      </m:r>
                      <m:sSubSup>
                        <m:sSubSupPr/>
                        <m:e>
                          <m:r>
                            <m:rPr/>
                            <m:t>P</m:t>
                          </m:r>
                        </m:e>
                        <m:sub>
                          <m:r>
                            <m:rPr/>
                            <m:t>j</m:t>
                          </m:r>
                        </m:sub>
                        <m:sup>
                          <m:d>
                            <m:dPr>
                              <m:sepChr m:val=""/>
                            </m:dPr>
                            <m:e>
                              <m:r>
                                <m:rPr/>
                                <m:t>0</m:t>
                              </m:r>
                            </m:e>
                          </m:d>
                        </m:sup>
                      </m:sSubSup>
                    </m:e>
                  </m:d>
                </m:e>
              </m:nary>
            </m:num>
            <m:den>
              <m:nary>
                <m:naryPr>
                  <m:chr m:val="∑"/>
                  <m:limLoc m:val="undOvr"/>
                </m:naryPr>
                <m:sub>
                  <m:r>
                    <m:rPr/>
                    <m:t>j</m:t>
                  </m:r>
                  <m:r>
                    <m:rPr>
                      <m:sty m:val="p"/>
                    </m:rPr>
                    <m:t>=</m:t>
                  </m:r>
                  <m:r>
                    <m:rPr/>
                    <m:t>1</m:t>
                  </m:r>
                </m:sub>
                <m:sup>
                  <m:r>
                    <m:rPr/>
                    <m:t>n</m:t>
                  </m:r>
                </m:sup>
                <m:e>
                  <m:sSubSup>
                    <m:sSubSupPr/>
                    <m:e>
                      <m:r>
                        <m:rPr/>
                        <m:t>P</m:t>
                      </m:r>
                    </m:e>
                    <m:sub>
                      <m:r>
                        <m:rPr/>
                        <m:t>j</m:t>
                      </m:r>
                    </m:sub>
                    <m:sup>
                      <m:d>
                        <m:dPr>
                          <m:sepChr m:val=""/>
                        </m:dPr>
                        <m:e>
                          <m:r>
                            <m:rPr/>
                            <m:t>0</m:t>
                          </m:r>
                        </m:e>
                      </m:d>
                    </m:sup>
                  </m:sSubSup>
                </m:e>
              </m:nary>
            </m:den>
          </m:f>
          <m:r>
            <m:rPr>
              <m:sty m:val="p"/>
            </m:rPr>
            <m:t>.</m:t>
          </m:r>
        </m:oMath>
      </m:oMathPara>
    </w:p>
    <w:p w14:paraId="47DC37B0">
      <w:pPr>
        <w:pStyle w:val="23"/>
        <w:spacing w:after="0" w:line="360" w:lineRule="auto"/>
        <w:ind w:firstLine="420"/>
        <w:jc w:val="both"/>
      </w:pPr>
      <w:r>
        <w:rPr>
          <w:rFonts w:ascii="Times New Roman" w:hAnsi="Times New Roman" w:eastAsia="宋体"/>
          <w:color w:val="000000"/>
          <w:sz w:val="21"/>
        </w:rPr>
        <w:t>约束条件为</w:t>
      </w:r>
    </w:p>
    <w:p w14:paraId="00397077">
      <w:pPr>
        <w:pStyle w:val="3"/>
        <w:keepLines/>
        <w:spacing w:before="100" w:after="100"/>
        <w:jc w:val="center"/>
      </w:pPr>
      <m:oMathPara>
        <m:oMathParaPr>
          <m:jc m:val="center"/>
        </m:oMathParaPr>
        <m:oMath>
          <m:d>
            <m:dPr>
              <m:begChr m:val="{"/>
              <m:sepChr m:val=""/>
              <m:endChr m:val=""/>
            </m:dPr>
            <m:e>
              <m:m>
                <m:mPr>
                  <m:mcs>
                    <m:mc>
                      <m:mcPr>
                        <m:count m:val="1"/>
                        <m:mcJc m:val="left"/>
                      </m:mcPr>
                    </m:mc>
                  </m:mcs>
                  <m:plcHide m:val="1"/>
                </m:mPr>
                <m:mr>
                  <m:e>
                    <m:sSubSup>
                      <m:sSubSupPr/>
                      <m:e>
                        <m:r>
                          <m:rPr/>
                          <m:t>P</m:t>
                        </m:r>
                      </m:e>
                      <m:sub>
                        <m:r>
                          <m:rPr/>
                          <m:t>j</m:t>
                        </m:r>
                      </m:sub>
                      <m:sup>
                        <m:d>
                          <m:dPr>
                            <m:sepChr m:val=""/>
                          </m:dPr>
                          <m:e>
                            <m:r>
                              <m:rPr/>
                              <m:t>0</m:t>
                            </m:r>
                          </m:e>
                        </m:d>
                      </m:sup>
                    </m:sSubSup>
                    <m:r>
                      <m:rPr>
                        <m:sty m:val="p"/>
                      </m:rPr>
                      <m:t>≤</m:t>
                    </m:r>
                    <m:sSub>
                      <m:sSubPr/>
                      <m:e>
                        <m:r>
                          <m:rPr/>
                          <m:t>P</m:t>
                        </m:r>
                      </m:e>
                      <m:sub>
                        <m:r>
                          <m:rPr/>
                          <m:t>j</m:t>
                        </m:r>
                      </m:sub>
                    </m:sSub>
                    <m:r>
                      <m:rPr>
                        <m:sty m:val="p"/>
                      </m:rPr>
                      <m:t>≤</m:t>
                    </m:r>
                    <m:sSubSup>
                      <m:sSubSupPr/>
                      <m:e>
                        <m:r>
                          <m:rPr/>
                          <m:t>P</m:t>
                        </m:r>
                      </m:e>
                      <m:sub>
                        <m:r>
                          <m:rPr/>
                          <m:t>j</m:t>
                        </m:r>
                      </m:sub>
                      <m:sup>
                        <m:d>
                          <m:dPr>
                            <m:sepChr m:val=""/>
                          </m:dPr>
                          <m:e>
                            <m:r>
                              <m:rPr/>
                              <m:t>0</m:t>
                            </m:r>
                          </m:e>
                        </m:d>
                      </m:sup>
                    </m:sSubSup>
                    <m:r>
                      <m:rPr>
                        <m:sty m:val="p"/>
                      </m:rPr>
                      <m:t>+</m:t>
                    </m:r>
                    <m:r>
                      <m:rPr/>
                      <m:t>10</m:t>
                    </m:r>
                    <m:r>
                      <m:rPr>
                        <m:sty m:val="p"/>
                      </m:rPr>
                      <m:t>,</m:t>
                    </m:r>
                  </m:e>
                </m:mr>
                <m:mr>
                  <m:e>
                    <m:nary>
                      <m:naryPr>
                        <m:chr m:val="∑"/>
                        <m:limLoc m:val="undOvr"/>
                      </m:naryPr>
                      <m:sub>
                        <m:r>
                          <m:rPr/>
                          <m:t>j</m:t>
                        </m:r>
                        <m:r>
                          <m:rPr>
                            <m:sty m:val="p"/>
                          </m:rPr>
                          <m:t>=</m:t>
                        </m:r>
                        <m:r>
                          <m:rPr/>
                          <m:t>1</m:t>
                        </m:r>
                      </m:sub>
                      <m:sup>
                        <m:r>
                          <m:rPr/>
                          <m:t>n</m:t>
                        </m:r>
                      </m:sup>
                      <m:e>
                        <m:sSub>
                          <m:sSubPr/>
                          <m:e>
                            <m:r>
                              <m:rPr/>
                              <m:t>P</m:t>
                            </m:r>
                          </m:e>
                          <m:sub>
                            <m:r>
                              <m:rPr/>
                              <m:t>j</m:t>
                            </m:r>
                          </m:sub>
                        </m:sSub>
                      </m:e>
                    </m:nary>
                    <m:r>
                      <m:rPr>
                        <m:sty m:val="p"/>
                      </m:rPr>
                      <m:t>≤</m:t>
                    </m:r>
                    <m:r>
                      <m:rPr/>
                      <m:t>1.05</m:t>
                    </m:r>
                    <m:nary>
                      <m:naryPr>
                        <m:chr m:val="∑"/>
                        <m:limLoc m:val="undOvr"/>
                      </m:naryPr>
                      <m:sub>
                        <m:r>
                          <m:rPr/>
                          <m:t>j</m:t>
                        </m:r>
                        <m:r>
                          <m:rPr>
                            <m:sty m:val="p"/>
                          </m:rPr>
                          <m:t>=</m:t>
                        </m:r>
                        <m:r>
                          <m:rPr/>
                          <m:t>1</m:t>
                        </m:r>
                      </m:sub>
                      <m:sup>
                        <m:r>
                          <m:rPr/>
                          <m:t>n</m:t>
                        </m:r>
                      </m:sup>
                      <m:e>
                        <m:sSubSup>
                          <m:sSubSupPr/>
                          <m:e>
                            <m:r>
                              <m:rPr/>
                              <m:t>P</m:t>
                            </m:r>
                          </m:e>
                          <m:sub>
                            <m:r>
                              <m:rPr/>
                              <m:t>j</m:t>
                            </m:r>
                          </m:sub>
                          <m:sup>
                            <m:d>
                              <m:dPr>
                                <m:sepChr m:val=""/>
                              </m:dPr>
                              <m:e>
                                <m:r>
                                  <m:rPr/>
                                  <m:t>0</m:t>
                                </m:r>
                              </m:e>
                            </m:d>
                          </m:sup>
                        </m:sSubSup>
                      </m:e>
                    </m:nary>
                    <m:r>
                      <m:rPr>
                        <m:sty m:val="p"/>
                      </m:rPr>
                      <m:t>,</m:t>
                    </m:r>
                  </m:e>
                </m:mr>
                <m:mr>
                  <m:e>
                    <m:sSub>
                      <m:sSubPr/>
                      <m:e>
                        <m:r>
                          <m:rPr/>
                          <m:t>P</m:t>
                        </m:r>
                      </m:e>
                      <m:sub>
                        <m:r>
                          <m:rPr/>
                          <m:t>j</m:t>
                        </m:r>
                      </m:sub>
                    </m:sSub>
                    <m:r>
                      <m:rPr>
                        <m:sty m:val="p"/>
                      </m:rPr>
                      <m:t>−</m:t>
                    </m:r>
                    <m:sSubSup>
                      <m:sSubSupPr/>
                      <m:e>
                        <m:r>
                          <m:rPr/>
                          <m:t>P</m:t>
                        </m:r>
                      </m:e>
                      <m:sub>
                        <m:r>
                          <m:rPr/>
                          <m:t>j</m:t>
                        </m:r>
                      </m:sub>
                      <m:sup>
                        <m:d>
                          <m:dPr>
                            <m:sepChr m:val=""/>
                          </m:dPr>
                          <m:e>
                            <m:r>
                              <m:rPr/>
                              <m:t>0</m:t>
                            </m:r>
                          </m:e>
                        </m:d>
                      </m:sup>
                    </m:sSubSup>
                    <m:r>
                      <m:rPr>
                        <m:sty m:val="p"/>
                      </m:rPr>
                      <m:t>=</m:t>
                    </m:r>
                    <m:r>
                      <m:rPr/>
                      <m:t>0.5</m:t>
                    </m:r>
                    <m:sSub>
                      <m:sSubPr/>
                      <m:e>
                        <m:r>
                          <m:rPr/>
                          <m:t>m</m:t>
                        </m:r>
                      </m:e>
                      <m:sub>
                        <m:r>
                          <m:rPr/>
                          <m:t>j</m:t>
                        </m:r>
                      </m:sub>
                    </m:sSub>
                    <m:r>
                      <m:rPr>
                        <m:sty m:val="p"/>
                      </m:rPr>
                      <m:t>,</m:t>
                    </m:r>
                    <m:r>
                      <m:rPr/>
                      <m:t> </m:t>
                    </m:r>
                    <m:sSub>
                      <m:sSubPr/>
                      <m:e>
                        <m:r>
                          <m:rPr/>
                          <m:t>m</m:t>
                        </m:r>
                      </m:e>
                      <m:sub>
                        <m:r>
                          <m:rPr/>
                          <m:t>j</m:t>
                        </m:r>
                      </m:sub>
                    </m:sSub>
                    <m:r>
                      <m:rPr>
                        <m:sty m:val="p"/>
                      </m:rPr>
                      <m:t>∈{</m:t>
                    </m:r>
                    <m:r>
                      <m:rPr/>
                      <m:t>0</m:t>
                    </m:r>
                    <m:r>
                      <m:rPr>
                        <m:sty m:val="p"/>
                      </m:rPr>
                      <m:t>,</m:t>
                    </m:r>
                    <m:r>
                      <m:rPr/>
                      <m:t>1</m:t>
                    </m:r>
                    <m:r>
                      <m:rPr>
                        <m:sty m:val="p"/>
                      </m:rPr>
                      <m:t>,…,</m:t>
                    </m:r>
                    <m:r>
                      <m:rPr/>
                      <m:t>20</m:t>
                    </m:r>
                    <m:r>
                      <m:rPr>
                        <m:sty m:val="p"/>
                      </m:rPr>
                      <m:t>},</m:t>
                    </m:r>
                  </m:e>
                </m:mr>
                <m:mr>
                  <m:e>
                    <m:sSubSup>
                      <m:sSubSupPr/>
                      <m:e>
                        <m:r>
                          <m:rPr/>
                          <m:t>p</m:t>
                        </m:r>
                      </m:e>
                      <m:sub>
                        <m:r>
                          <m:rPr/>
                          <m:t>j</m:t>
                        </m:r>
                      </m:sub>
                      <m:sup>
                        <m:d>
                          <m:dPr>
                            <m:sepChr m:val=""/>
                          </m:dPr>
                          <m:e>
                            <m:r>
                              <m:rPr/>
                              <m:t>0</m:t>
                            </m:r>
                          </m:e>
                        </m:d>
                      </m:sup>
                    </m:sSubSup>
                    <m:r>
                      <m:rPr>
                        <m:sty m:val="p"/>
                      </m:rPr>
                      <m:t>&lt;</m:t>
                    </m:r>
                    <m:r>
                      <m:rPr/>
                      <m:t>0.62</m:t>
                    </m:r>
                    <m:r>
                      <m:rPr>
                        <m:nor/>
                        <m:sty m:val="p"/>
                      </m:rPr>
                      <w:rPr>
                        <w:b w:val="0"/>
                        <w:i w:val="0"/>
                      </w:rPr>
                      <m:t>的任务进入优先调价集合</m:t>
                    </m:r>
                    <m:r>
                      <m:rPr>
                        <m:sty m:val="p"/>
                      </m:rPr>
                      <m:t>.</m:t>
                    </m:r>
                  </m:e>
                </m:mr>
              </m:m>
            </m:e>
          </m:d>
        </m:oMath>
      </m:oMathPara>
    </w:p>
    <w:p w14:paraId="0FDBE5C8">
      <w:pPr>
        <w:pStyle w:val="23"/>
        <w:keepLines/>
        <w:spacing w:before="100" w:after="100"/>
        <w:jc w:val="center"/>
      </w:pPr>
      <w:r>
        <w:t xml:space="preserve">其中，完成效果权重取 </w:t>
      </w:r>
      <m:oMath>
        <m:r>
          <m:rPr/>
          <m:t>ω</m:t>
        </m:r>
        <m:r>
          <m:rPr>
            <m:sty m:val="p"/>
          </m:rPr>
          <m:t>=</m:t>
        </m:r>
        <m:r>
          <m:rPr/>
          <m:t>0.65</m:t>
        </m:r>
      </m:oMath>
      <w:r>
        <w:t>，总成本增长上限取 5%，单任务最大涨价为 10 元，价格调整步长为 0.5 元。该模型为带预算约束的离散资源分配问题。求解时，从基准方案出发，每次计算所有可调任务上涨 0.5 元所产生的边际完成概率增量和边际综合收益，选择综合目标增量最大的任务调价；当预算耗尽、任务达到涨价上限或不存在正的目标增量时停止迭代。</w:t>
      </w:r>
    </w:p>
    <w:bookmarkEnd w:id="5"/>
    <w:p w14:paraId="06F1BDD7">
      <w:pPr>
        <w:pStyle w:val="4"/>
        <w:keepNext/>
        <w:spacing w:before="200" w:after="80"/>
        <w:jc w:val="left"/>
      </w:pPr>
      <w:bookmarkStart w:id="6" w:name="模型求解结果"/>
      <w:r>
        <w:rPr>
          <w:rFonts w:ascii="Times New Roman" w:hAnsi="Times New Roman" w:eastAsia="黑体"/>
          <w:b/>
          <w:color w:val="000000"/>
          <w:sz w:val="24"/>
        </w:rPr>
        <w:t>6 模型求解结果</w:t>
      </w:r>
    </w:p>
    <w:p w14:paraId="3BCEF98B">
      <w:pPr>
        <w:pStyle w:val="23"/>
        <w:spacing w:after="0" w:line="360" w:lineRule="auto"/>
        <w:ind w:firstLine="420"/>
        <w:jc w:val="both"/>
      </w:pPr>
      <w:r>
        <w:rPr>
          <w:rFonts w:ascii="Times New Roman" w:hAnsi="Times New Roman" w:eastAsia="宋体"/>
          <w:color w:val="000000"/>
          <w:sz w:val="21"/>
        </w:rPr>
        <w:t>使用 MATLAB 对 2066 个新任务进行求解，得到最终定价方案。共有 895 个任务发生调价，最终价格范围为 65.0～79.5 元，平均价格由 66.4489 元提高到 69.7713 元。总成本由 137283.5 元增加到 144147.5 元，增加 6864.0 元，成本增长率为 4.9999%，满足 5% 的成本约束。</w:t>
      </w:r>
    </w:p>
    <w:tbl>
      <w:tblPr>
        <w:tblStyle w:val="18"/>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0" w:type="dxa"/>
          <w:left w:w="10" w:type="dxa"/>
          <w:bottom w:w="0" w:type="dxa"/>
          <w:right w:w="10" w:type="dxa"/>
        </w:tblCellMar>
      </w:tblPr>
      <w:tblGrid>
        <w:gridCol w:w="1460"/>
        <w:gridCol w:w="965"/>
        <w:gridCol w:w="965"/>
        <w:gridCol w:w="1292"/>
      </w:tblGrid>
      <w:tr w14:paraId="0B8C023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 w:type="dxa"/>
            <w:bottom w:w="0" w:type="dxa"/>
            <w:right w:w="10" w:type="dxa"/>
          </w:tblCellMar>
        </w:tblPrEx>
        <w:trPr>
          <w:tblHeader/>
          <w:jc w:val="center"/>
        </w:trPr>
        <w:tc>
          <w:tcPr>
            <w:shd w:val="clear" w:color="auto" w:fill="D9E6F2"/>
            <w:vAlign w:val="center"/>
          </w:tcPr>
          <w:p w14:paraId="4AD24076">
            <w:pPr>
              <w:pStyle w:val="24"/>
              <w:spacing w:before="40" w:after="40"/>
              <w:ind w:firstLine="0"/>
              <w:jc w:val="center"/>
            </w:pPr>
            <w:r>
              <w:rPr>
                <w:rFonts w:ascii="Times New Roman" w:hAnsi="Times New Roman" w:eastAsia="宋体"/>
                <w:b/>
                <w:color w:val="000000"/>
                <w:sz w:val="18"/>
              </w:rPr>
              <w:t>评价指标</w:t>
            </w:r>
          </w:p>
        </w:tc>
        <w:tc>
          <w:tcPr>
            <w:shd w:val="clear" w:color="auto" w:fill="D9E6F2"/>
            <w:vAlign w:val="center"/>
          </w:tcPr>
          <w:p w14:paraId="7051EC48">
            <w:pPr>
              <w:pStyle w:val="24"/>
              <w:spacing w:before="40" w:after="40"/>
              <w:ind w:firstLine="0"/>
              <w:jc w:val="center"/>
            </w:pPr>
            <w:r>
              <w:rPr>
                <w:rFonts w:ascii="Times New Roman" w:hAnsi="Times New Roman" w:eastAsia="宋体"/>
                <w:b/>
                <w:color w:val="000000"/>
                <w:sz w:val="18"/>
              </w:rPr>
              <w:t>基准方案</w:t>
            </w:r>
          </w:p>
        </w:tc>
        <w:tc>
          <w:tcPr>
            <w:shd w:val="clear" w:color="auto" w:fill="D9E6F2"/>
            <w:vAlign w:val="center"/>
          </w:tcPr>
          <w:p w14:paraId="5730475C">
            <w:pPr>
              <w:pStyle w:val="24"/>
              <w:spacing w:before="40" w:after="40"/>
              <w:ind w:firstLine="0"/>
              <w:jc w:val="center"/>
            </w:pPr>
            <w:r>
              <w:rPr>
                <w:rFonts w:ascii="Times New Roman" w:hAnsi="Times New Roman" w:eastAsia="宋体"/>
                <w:b/>
                <w:color w:val="000000"/>
                <w:sz w:val="18"/>
              </w:rPr>
              <w:t>最终方案</w:t>
            </w:r>
          </w:p>
        </w:tc>
        <w:tc>
          <w:tcPr>
            <w:shd w:val="clear" w:color="auto" w:fill="D9E6F2"/>
            <w:vAlign w:val="center"/>
          </w:tcPr>
          <w:p w14:paraId="4C28765C">
            <w:pPr>
              <w:pStyle w:val="24"/>
              <w:spacing w:before="40" w:after="40"/>
              <w:ind w:firstLine="0"/>
              <w:jc w:val="center"/>
            </w:pPr>
            <w:r>
              <w:rPr>
                <w:rFonts w:ascii="Times New Roman" w:hAnsi="Times New Roman" w:eastAsia="宋体"/>
                <w:b/>
                <w:color w:val="000000"/>
                <w:sz w:val="18"/>
              </w:rPr>
              <w:t>变化量</w:t>
            </w:r>
          </w:p>
        </w:tc>
      </w:tr>
      <w:tr w14:paraId="7A4F9BC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 w:type="dxa"/>
            <w:bottom w:w="0" w:type="dxa"/>
            <w:right w:w="10" w:type="dxa"/>
          </w:tblCellMar>
        </w:tblPrEx>
        <w:trPr>
          <w:jc w:val="center"/>
        </w:trPr>
        <w:tc>
          <w:tcPr>
            <w:vAlign w:val="center"/>
          </w:tcPr>
          <w:p w14:paraId="0DFD0A2D">
            <w:pPr>
              <w:pStyle w:val="24"/>
              <w:spacing w:before="40" w:after="40"/>
              <w:ind w:firstLine="0"/>
              <w:jc w:val="center"/>
            </w:pPr>
            <w:r>
              <w:rPr>
                <w:rFonts w:ascii="Times New Roman" w:hAnsi="Times New Roman" w:eastAsia="宋体"/>
                <w:b w:val="0"/>
                <w:color w:val="000000"/>
                <w:sz w:val="18"/>
              </w:rPr>
              <w:t>总成本/元</w:t>
            </w:r>
          </w:p>
        </w:tc>
        <w:tc>
          <w:tcPr>
            <w:vAlign w:val="center"/>
          </w:tcPr>
          <w:p w14:paraId="3B669A86">
            <w:pPr>
              <w:pStyle w:val="24"/>
              <w:spacing w:before="40" w:after="40"/>
              <w:ind w:firstLine="0"/>
              <w:jc w:val="center"/>
            </w:pPr>
            <w:r>
              <w:rPr>
                <w:rFonts w:ascii="Times New Roman" w:hAnsi="Times New Roman" w:eastAsia="宋体"/>
                <w:b w:val="0"/>
                <w:color w:val="000000"/>
                <w:sz w:val="18"/>
              </w:rPr>
              <w:t>137283.5000</w:t>
            </w:r>
          </w:p>
        </w:tc>
        <w:tc>
          <w:tcPr>
            <w:vAlign w:val="center"/>
          </w:tcPr>
          <w:p w14:paraId="7ACF48E7">
            <w:pPr>
              <w:pStyle w:val="24"/>
              <w:spacing w:before="40" w:after="40"/>
              <w:ind w:firstLine="0"/>
              <w:jc w:val="center"/>
            </w:pPr>
            <w:r>
              <w:rPr>
                <w:rFonts w:ascii="Times New Roman" w:hAnsi="Times New Roman" w:eastAsia="宋体"/>
                <w:b w:val="0"/>
                <w:color w:val="000000"/>
                <w:sz w:val="18"/>
              </w:rPr>
              <w:t>144147.5000</w:t>
            </w:r>
          </w:p>
        </w:tc>
        <w:tc>
          <w:tcPr>
            <w:vAlign w:val="center"/>
          </w:tcPr>
          <w:p w14:paraId="1EFD02A9">
            <w:pPr>
              <w:pStyle w:val="24"/>
              <w:spacing w:before="40" w:after="40"/>
              <w:ind w:firstLine="0"/>
              <w:jc w:val="center"/>
            </w:pPr>
            <w:r>
              <w:rPr>
                <w:rFonts w:ascii="Times New Roman" w:hAnsi="Times New Roman" w:eastAsia="宋体"/>
                <w:b w:val="0"/>
                <w:color w:val="000000"/>
                <w:sz w:val="18"/>
              </w:rPr>
              <w:t>+6864.0000</w:t>
            </w:r>
          </w:p>
        </w:tc>
      </w:tr>
      <w:tr w14:paraId="382199F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 w:type="dxa"/>
            <w:bottom w:w="0" w:type="dxa"/>
            <w:right w:w="10" w:type="dxa"/>
          </w:tblCellMar>
        </w:tblPrEx>
        <w:trPr>
          <w:jc w:val="center"/>
        </w:trPr>
        <w:tc>
          <w:tcPr>
            <w:vAlign w:val="center"/>
          </w:tcPr>
          <w:p w14:paraId="3668B8EB">
            <w:pPr>
              <w:pStyle w:val="24"/>
              <w:spacing w:before="40" w:after="40"/>
              <w:ind w:firstLine="0"/>
              <w:jc w:val="center"/>
            </w:pPr>
            <w:r>
              <w:rPr>
                <w:rFonts w:ascii="Times New Roman" w:hAnsi="Times New Roman" w:eastAsia="宋体"/>
                <w:b w:val="0"/>
                <w:color w:val="000000"/>
                <w:sz w:val="18"/>
              </w:rPr>
              <w:t>平均任务价格/元</w:t>
            </w:r>
          </w:p>
        </w:tc>
        <w:tc>
          <w:tcPr>
            <w:vAlign w:val="center"/>
          </w:tcPr>
          <w:p w14:paraId="3F3995FC">
            <w:pPr>
              <w:pStyle w:val="24"/>
              <w:spacing w:before="40" w:after="40"/>
              <w:ind w:firstLine="0"/>
              <w:jc w:val="center"/>
            </w:pPr>
            <w:r>
              <w:rPr>
                <w:rFonts w:ascii="Times New Roman" w:hAnsi="Times New Roman" w:eastAsia="宋体"/>
                <w:b w:val="0"/>
                <w:color w:val="000000"/>
                <w:sz w:val="18"/>
              </w:rPr>
              <w:t>66.4489</w:t>
            </w:r>
          </w:p>
        </w:tc>
        <w:tc>
          <w:tcPr>
            <w:vAlign w:val="center"/>
          </w:tcPr>
          <w:p w14:paraId="4D18BC34">
            <w:pPr>
              <w:pStyle w:val="24"/>
              <w:spacing w:before="40" w:after="40"/>
              <w:ind w:firstLine="0"/>
              <w:jc w:val="center"/>
            </w:pPr>
            <w:r>
              <w:rPr>
                <w:rFonts w:ascii="Times New Roman" w:hAnsi="Times New Roman" w:eastAsia="宋体"/>
                <w:b w:val="0"/>
                <w:color w:val="000000"/>
                <w:sz w:val="18"/>
              </w:rPr>
              <w:t>69.7713</w:t>
            </w:r>
          </w:p>
        </w:tc>
        <w:tc>
          <w:tcPr>
            <w:vAlign w:val="center"/>
          </w:tcPr>
          <w:p w14:paraId="052CE9E2">
            <w:pPr>
              <w:pStyle w:val="24"/>
              <w:spacing w:before="40" w:after="40"/>
              <w:ind w:firstLine="0"/>
              <w:jc w:val="center"/>
            </w:pPr>
            <w:r>
              <w:rPr>
                <w:rFonts w:ascii="Times New Roman" w:hAnsi="Times New Roman" w:eastAsia="宋体"/>
                <w:b w:val="0"/>
                <w:color w:val="000000"/>
                <w:sz w:val="18"/>
              </w:rPr>
              <w:t>+3.3224</w:t>
            </w:r>
          </w:p>
        </w:tc>
      </w:tr>
      <w:tr w14:paraId="63E0F1A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 w:type="dxa"/>
            <w:bottom w:w="0" w:type="dxa"/>
            <w:right w:w="10" w:type="dxa"/>
          </w:tblCellMar>
        </w:tblPrEx>
        <w:trPr>
          <w:jc w:val="center"/>
        </w:trPr>
        <w:tc>
          <w:tcPr>
            <w:vAlign w:val="center"/>
          </w:tcPr>
          <w:p w14:paraId="30A94B62">
            <w:pPr>
              <w:pStyle w:val="24"/>
              <w:spacing w:before="40" w:after="40"/>
              <w:ind w:firstLine="0"/>
              <w:jc w:val="center"/>
            </w:pPr>
            <w:r>
              <w:rPr>
                <w:rFonts w:ascii="Times New Roman" w:hAnsi="Times New Roman" w:eastAsia="宋体"/>
                <w:b w:val="0"/>
                <w:color w:val="000000"/>
                <w:sz w:val="18"/>
              </w:rPr>
              <w:t>期望完成任务数</w:t>
            </w:r>
          </w:p>
        </w:tc>
        <w:tc>
          <w:tcPr>
            <w:vAlign w:val="center"/>
          </w:tcPr>
          <w:p w14:paraId="0D9C5521">
            <w:pPr>
              <w:pStyle w:val="24"/>
              <w:spacing w:before="40" w:after="40"/>
              <w:ind w:firstLine="0"/>
              <w:jc w:val="center"/>
            </w:pPr>
            <w:r>
              <w:rPr>
                <w:rFonts w:ascii="Times New Roman" w:hAnsi="Times New Roman" w:eastAsia="宋体"/>
                <w:b w:val="0"/>
                <w:color w:val="000000"/>
                <w:sz w:val="18"/>
              </w:rPr>
              <w:t>1226.4479</w:t>
            </w:r>
          </w:p>
        </w:tc>
        <w:tc>
          <w:tcPr>
            <w:vAlign w:val="center"/>
          </w:tcPr>
          <w:p w14:paraId="324C1FE6">
            <w:pPr>
              <w:pStyle w:val="24"/>
              <w:spacing w:before="40" w:after="40"/>
              <w:ind w:firstLine="0"/>
              <w:jc w:val="center"/>
            </w:pPr>
            <w:r>
              <w:rPr>
                <w:rFonts w:ascii="Times New Roman" w:hAnsi="Times New Roman" w:eastAsia="宋体"/>
                <w:b w:val="0"/>
                <w:color w:val="000000"/>
                <w:sz w:val="18"/>
              </w:rPr>
              <w:t>1317.5413</w:t>
            </w:r>
          </w:p>
        </w:tc>
        <w:tc>
          <w:tcPr>
            <w:vAlign w:val="center"/>
          </w:tcPr>
          <w:p w14:paraId="6EF794D9">
            <w:pPr>
              <w:pStyle w:val="24"/>
              <w:spacing w:before="40" w:after="40"/>
              <w:ind w:firstLine="0"/>
              <w:jc w:val="center"/>
            </w:pPr>
            <w:r>
              <w:rPr>
                <w:rFonts w:ascii="Times New Roman" w:hAnsi="Times New Roman" w:eastAsia="宋体"/>
                <w:b w:val="0"/>
                <w:color w:val="000000"/>
                <w:sz w:val="18"/>
              </w:rPr>
              <w:t>+91.0934</w:t>
            </w:r>
          </w:p>
        </w:tc>
      </w:tr>
      <w:tr w14:paraId="4F16874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 w:type="dxa"/>
            <w:bottom w:w="0" w:type="dxa"/>
            <w:right w:w="10" w:type="dxa"/>
          </w:tblCellMar>
        </w:tblPrEx>
        <w:trPr>
          <w:jc w:val="center"/>
        </w:trPr>
        <w:tc>
          <w:tcPr>
            <w:vAlign w:val="center"/>
          </w:tcPr>
          <w:p w14:paraId="5E34E8BC">
            <w:pPr>
              <w:pStyle w:val="24"/>
              <w:spacing w:before="40" w:after="40"/>
              <w:ind w:firstLine="0"/>
              <w:jc w:val="center"/>
            </w:pPr>
            <w:r>
              <w:rPr>
                <w:rFonts w:ascii="Times New Roman" w:hAnsi="Times New Roman" w:eastAsia="宋体"/>
                <w:b w:val="0"/>
                <w:color w:val="000000"/>
                <w:sz w:val="18"/>
              </w:rPr>
              <w:t>期望完成率</w:t>
            </w:r>
          </w:p>
        </w:tc>
        <w:tc>
          <w:tcPr>
            <w:vAlign w:val="center"/>
          </w:tcPr>
          <w:p w14:paraId="0169C5FD">
            <w:pPr>
              <w:pStyle w:val="24"/>
              <w:spacing w:before="40" w:after="40"/>
              <w:ind w:firstLine="0"/>
              <w:jc w:val="center"/>
            </w:pPr>
            <w:r>
              <w:rPr>
                <w:rFonts w:ascii="Times New Roman" w:hAnsi="Times New Roman" w:eastAsia="宋体"/>
                <w:b w:val="0"/>
                <w:color w:val="000000"/>
                <w:sz w:val="18"/>
              </w:rPr>
              <w:t>59.36%</w:t>
            </w:r>
          </w:p>
        </w:tc>
        <w:tc>
          <w:tcPr>
            <w:vAlign w:val="center"/>
          </w:tcPr>
          <w:p w14:paraId="64FFF62B">
            <w:pPr>
              <w:pStyle w:val="24"/>
              <w:spacing w:before="40" w:after="40"/>
              <w:ind w:firstLine="0"/>
              <w:jc w:val="center"/>
            </w:pPr>
            <w:r>
              <w:rPr>
                <w:rFonts w:ascii="Times New Roman" w:hAnsi="Times New Roman" w:eastAsia="宋体"/>
                <w:b w:val="0"/>
                <w:color w:val="000000"/>
                <w:sz w:val="18"/>
              </w:rPr>
              <w:t>63.77%</w:t>
            </w:r>
          </w:p>
        </w:tc>
        <w:tc>
          <w:tcPr>
            <w:vAlign w:val="center"/>
          </w:tcPr>
          <w:p w14:paraId="681BCB4C">
            <w:pPr>
              <w:pStyle w:val="24"/>
              <w:spacing w:before="40" w:after="40"/>
              <w:ind w:firstLine="0"/>
              <w:jc w:val="center"/>
            </w:pPr>
            <w:r>
              <w:rPr>
                <w:rFonts w:ascii="Times New Roman" w:hAnsi="Times New Roman" w:eastAsia="宋体"/>
                <w:b w:val="0"/>
                <w:color w:val="000000"/>
                <w:sz w:val="18"/>
              </w:rPr>
              <w:t>+4.41 个百分点</w:t>
            </w:r>
          </w:p>
        </w:tc>
      </w:tr>
      <w:tr w14:paraId="303E1E1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 w:type="dxa"/>
            <w:bottom w:w="0" w:type="dxa"/>
            <w:right w:w="10" w:type="dxa"/>
          </w:tblCellMar>
        </w:tblPrEx>
        <w:trPr>
          <w:jc w:val="center"/>
        </w:trPr>
        <w:tc>
          <w:tcPr>
            <w:vAlign w:val="center"/>
          </w:tcPr>
          <w:p w14:paraId="0B0F3210">
            <w:pPr>
              <w:pStyle w:val="24"/>
              <w:spacing w:before="40" w:after="40"/>
              <w:ind w:firstLine="0"/>
              <w:jc w:val="center"/>
            </w:pPr>
            <w:r>
              <w:rPr>
                <w:rFonts w:ascii="Times New Roman" w:hAnsi="Times New Roman" w:eastAsia="宋体"/>
                <w:b w:val="0"/>
                <w:color w:val="000000"/>
                <w:sz w:val="18"/>
              </w:rPr>
              <w:t>目标概率达标率</w:t>
            </w:r>
          </w:p>
        </w:tc>
        <w:tc>
          <w:tcPr>
            <w:vAlign w:val="center"/>
          </w:tcPr>
          <w:p w14:paraId="28EC20EC">
            <w:pPr>
              <w:pStyle w:val="24"/>
              <w:spacing w:before="40" w:after="40"/>
              <w:ind w:firstLine="0"/>
              <w:jc w:val="center"/>
            </w:pPr>
            <w:r>
              <w:rPr>
                <w:rFonts w:ascii="Times New Roman" w:hAnsi="Times New Roman" w:eastAsia="宋体"/>
                <w:b w:val="0"/>
                <w:color w:val="000000"/>
                <w:sz w:val="18"/>
              </w:rPr>
              <w:t>48.55%</w:t>
            </w:r>
          </w:p>
        </w:tc>
        <w:tc>
          <w:tcPr>
            <w:vAlign w:val="center"/>
          </w:tcPr>
          <w:p w14:paraId="4C7857FC">
            <w:pPr>
              <w:pStyle w:val="24"/>
              <w:spacing w:before="40" w:after="40"/>
              <w:ind w:firstLine="0"/>
              <w:jc w:val="center"/>
            </w:pPr>
            <w:r>
              <w:rPr>
                <w:rFonts w:ascii="Times New Roman" w:hAnsi="Times New Roman" w:eastAsia="宋体"/>
                <w:b w:val="0"/>
                <w:color w:val="000000"/>
                <w:sz w:val="18"/>
              </w:rPr>
              <w:t>74.73%</w:t>
            </w:r>
          </w:p>
        </w:tc>
        <w:tc>
          <w:tcPr>
            <w:vAlign w:val="center"/>
          </w:tcPr>
          <w:p w14:paraId="7387AF52">
            <w:pPr>
              <w:pStyle w:val="24"/>
              <w:spacing w:before="40" w:after="40"/>
              <w:ind w:firstLine="0"/>
              <w:jc w:val="center"/>
            </w:pPr>
            <w:r>
              <w:rPr>
                <w:rFonts w:ascii="Times New Roman" w:hAnsi="Times New Roman" w:eastAsia="宋体"/>
                <w:b w:val="0"/>
                <w:color w:val="000000"/>
                <w:sz w:val="18"/>
              </w:rPr>
              <w:t>+26.19 个百分点</w:t>
            </w:r>
          </w:p>
        </w:tc>
      </w:tr>
      <w:tr w14:paraId="5713635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 w:type="dxa"/>
            <w:bottom w:w="0" w:type="dxa"/>
            <w:right w:w="10" w:type="dxa"/>
          </w:tblCellMar>
        </w:tblPrEx>
        <w:trPr>
          <w:jc w:val="center"/>
        </w:trPr>
        <w:tc>
          <w:tcPr>
            <w:vAlign w:val="center"/>
          </w:tcPr>
          <w:p w14:paraId="6744A74F">
            <w:pPr>
              <w:pStyle w:val="24"/>
              <w:spacing w:before="40" w:after="40"/>
              <w:ind w:firstLine="0"/>
              <w:jc w:val="center"/>
            </w:pPr>
            <w:r>
              <w:rPr>
                <w:rFonts w:ascii="Times New Roman" w:hAnsi="Times New Roman" w:eastAsia="宋体"/>
                <w:b w:val="0"/>
                <w:color w:val="000000"/>
                <w:sz w:val="18"/>
              </w:rPr>
              <w:t>低完成概率任务数</w:t>
            </w:r>
          </w:p>
        </w:tc>
        <w:tc>
          <w:tcPr>
            <w:vAlign w:val="center"/>
          </w:tcPr>
          <w:p w14:paraId="0BA3D422">
            <w:pPr>
              <w:pStyle w:val="24"/>
              <w:spacing w:before="40" w:after="40"/>
              <w:ind w:firstLine="0"/>
              <w:jc w:val="center"/>
            </w:pPr>
            <w:r>
              <w:rPr>
                <w:rFonts w:ascii="Times New Roman" w:hAnsi="Times New Roman" w:eastAsia="宋体"/>
                <w:b w:val="0"/>
                <w:color w:val="000000"/>
                <w:sz w:val="18"/>
              </w:rPr>
              <w:t>1063</w:t>
            </w:r>
          </w:p>
        </w:tc>
        <w:tc>
          <w:tcPr>
            <w:vAlign w:val="center"/>
          </w:tcPr>
          <w:p w14:paraId="5CEB10ED">
            <w:pPr>
              <w:pStyle w:val="24"/>
              <w:spacing w:before="40" w:after="40"/>
              <w:ind w:firstLine="0"/>
              <w:jc w:val="center"/>
            </w:pPr>
            <w:r>
              <w:rPr>
                <w:rFonts w:ascii="Times New Roman" w:hAnsi="Times New Roman" w:eastAsia="宋体"/>
                <w:b w:val="0"/>
                <w:color w:val="000000"/>
                <w:sz w:val="18"/>
              </w:rPr>
              <w:t>522</w:t>
            </w:r>
          </w:p>
        </w:tc>
        <w:tc>
          <w:tcPr>
            <w:vAlign w:val="center"/>
          </w:tcPr>
          <w:p w14:paraId="6EC362AA">
            <w:pPr>
              <w:pStyle w:val="24"/>
              <w:spacing w:before="40" w:after="40"/>
              <w:ind w:firstLine="0"/>
              <w:jc w:val="center"/>
            </w:pPr>
            <w:r>
              <w:rPr>
                <w:rFonts w:ascii="Times New Roman" w:hAnsi="Times New Roman" w:eastAsia="宋体"/>
                <w:b w:val="0"/>
                <w:color w:val="000000"/>
                <w:sz w:val="18"/>
              </w:rPr>
              <w:t>−541</w:t>
            </w:r>
          </w:p>
        </w:tc>
      </w:tr>
    </w:tbl>
    <w:p w14:paraId="247E4D5C">
      <w:pPr>
        <w:pStyle w:val="3"/>
        <w:spacing w:after="0" w:line="360" w:lineRule="auto"/>
        <w:ind w:firstLine="420"/>
        <w:jc w:val="both"/>
      </w:pPr>
      <w:r>
        <w:rPr>
          <w:rFonts w:ascii="Times New Roman" w:hAnsi="Times New Roman" w:eastAsia="宋体"/>
          <w:color w:val="000000"/>
          <w:sz w:val="21"/>
        </w:rPr>
        <w:t>结果表明，在平台总成本仅增加约 5% 的条件下，模型使期望完成任务数增加约 91.09 个，期望完成率由 59.36% 提高到 63.77%；完成概率达到 0.62 的任务比例由 48.55% 提高到 74.73%，低完成概率任务减少 541 个。说明模型没有对全部任务统一涨价，而是将有限预算优先分配给完成概率对价格更敏感、且原完成概率偏低的任务，从而提高了调价资金的使用效率。</w:t>
      </w:r>
    </w:p>
    <w:p w14:paraId="38BF5212">
      <w:pPr>
        <w:pStyle w:val="35"/>
        <w:keepNext/>
        <w:keepLines/>
        <w:spacing w:before="120" w:after="0"/>
        <w:jc w:val="center"/>
      </w:pPr>
      <w:r>
        <w:drawing>
          <wp:inline distT="0" distB="0" distL="114300" distR="114300">
            <wp:extent cx="4160520" cy="3197860"/>
            <wp:effectExtent l="0" t="0" r="0" b="0"/>
            <wp:docPr id="26" name="Picture" descr="图1 附件三新项目任务优化定价空间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图1 附件三新项目任务优化定价空间分布"/>
                    <pic:cNvPicPr>
                      <a:picLocks noChangeAspect="1" noChangeArrowheads="1"/>
                    </pic:cNvPicPr>
                  </pic:nvPicPr>
                  <pic:blipFill>
                    <a:blip r:embed="rId7"/>
                    <a:stretch>
                      <a:fillRect/>
                    </a:stretch>
                  </pic:blipFill>
                  <pic:spPr>
                    <a:xfrm>
                      <a:off x="0" y="0"/>
                      <a:ext cx="4160520" cy="3198269"/>
                    </a:xfrm>
                    <a:prstGeom prst="rect">
                      <a:avLst/>
                    </a:prstGeom>
                    <a:noFill/>
                    <a:ln w="9525">
                      <a:noFill/>
                    </a:ln>
                  </pic:spPr>
                </pic:pic>
              </a:graphicData>
            </a:graphic>
          </wp:inline>
        </w:drawing>
      </w:r>
    </w:p>
    <w:p w14:paraId="0EBF8785">
      <w:pPr>
        <w:pStyle w:val="33"/>
        <w:keepNext w:val="0"/>
        <w:spacing w:before="40" w:after="140"/>
        <w:jc w:val="center"/>
      </w:pPr>
      <w:r>
        <w:rPr>
          <w:rFonts w:ascii="Times New Roman" w:hAnsi="Times New Roman" w:eastAsia="宋体"/>
          <w:color w:val="000000"/>
          <w:sz w:val="18"/>
        </w:rPr>
        <w:t>图1 附件三新项目任务优化定价空间分布</w:t>
      </w:r>
    </w:p>
    <w:p w14:paraId="50C48E23">
      <w:pPr>
        <w:pStyle w:val="35"/>
        <w:keepNext/>
        <w:keepLines/>
        <w:spacing w:before="120" w:after="0"/>
        <w:jc w:val="center"/>
      </w:pPr>
      <w:r>
        <w:drawing>
          <wp:inline distT="0" distB="0" distL="114300" distR="114300">
            <wp:extent cx="4587240" cy="2798445"/>
            <wp:effectExtent l="0" t="0" r="0" b="0"/>
            <wp:docPr id="29" name="Picture" descr="图2 优化前后任务完成概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图2 优化前后任务完成概率对比"/>
                    <pic:cNvPicPr>
                      <a:picLocks noChangeAspect="1" noChangeArrowheads="1"/>
                    </pic:cNvPicPr>
                  </pic:nvPicPr>
                  <pic:blipFill>
                    <a:blip r:embed="rId8"/>
                    <a:stretch>
                      <a:fillRect/>
                    </a:stretch>
                  </pic:blipFill>
                  <pic:spPr>
                    <a:xfrm>
                      <a:off x="0" y="0"/>
                      <a:ext cx="4587240" cy="2798648"/>
                    </a:xfrm>
                    <a:prstGeom prst="rect">
                      <a:avLst/>
                    </a:prstGeom>
                    <a:noFill/>
                    <a:ln w="9525">
                      <a:noFill/>
                    </a:ln>
                  </pic:spPr>
                </pic:pic>
              </a:graphicData>
            </a:graphic>
          </wp:inline>
        </w:drawing>
      </w:r>
    </w:p>
    <w:p w14:paraId="732C3CAC">
      <w:pPr>
        <w:pStyle w:val="33"/>
        <w:keepNext w:val="0"/>
        <w:spacing w:before="40" w:after="140"/>
        <w:jc w:val="center"/>
      </w:pPr>
      <w:r>
        <w:rPr>
          <w:rFonts w:ascii="Times New Roman" w:hAnsi="Times New Roman" w:eastAsia="宋体"/>
          <w:color w:val="000000"/>
          <w:sz w:val="18"/>
        </w:rPr>
        <w:t>图2 优化前后任务完成概率对比</w:t>
      </w:r>
    </w:p>
    <w:p w14:paraId="7DEB3181">
      <w:pPr>
        <w:pStyle w:val="35"/>
        <w:keepNext/>
        <w:keepLines/>
        <w:spacing w:before="120" w:after="0"/>
        <w:jc w:val="center"/>
      </w:pPr>
      <w:r>
        <w:drawing>
          <wp:inline distT="0" distB="0" distL="114300" distR="114300">
            <wp:extent cx="4160520" cy="2662555"/>
            <wp:effectExtent l="0" t="0" r="0" b="0"/>
            <wp:docPr id="32" name="Picture" descr="图3 新项目定价方案实施效果评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图3 新项目定价方案实施效果评价"/>
                    <pic:cNvPicPr>
                      <a:picLocks noChangeAspect="1" noChangeArrowheads="1"/>
                    </pic:cNvPicPr>
                  </pic:nvPicPr>
                  <pic:blipFill>
                    <a:blip r:embed="rId9"/>
                    <a:stretch>
                      <a:fillRect/>
                    </a:stretch>
                  </pic:blipFill>
                  <pic:spPr>
                    <a:xfrm>
                      <a:off x="0" y="0"/>
                      <a:ext cx="4160520" cy="2662732"/>
                    </a:xfrm>
                    <a:prstGeom prst="rect">
                      <a:avLst/>
                    </a:prstGeom>
                    <a:noFill/>
                    <a:ln w="9525">
                      <a:noFill/>
                    </a:ln>
                  </pic:spPr>
                </pic:pic>
              </a:graphicData>
            </a:graphic>
          </wp:inline>
        </w:drawing>
      </w:r>
    </w:p>
    <w:p w14:paraId="5A2F5F0C">
      <w:pPr>
        <w:pStyle w:val="33"/>
        <w:keepNext w:val="0"/>
        <w:spacing w:before="40" w:after="140"/>
        <w:jc w:val="center"/>
      </w:pPr>
      <w:r>
        <w:rPr>
          <w:rFonts w:ascii="Times New Roman" w:hAnsi="Times New Roman" w:eastAsia="宋体"/>
          <w:color w:val="000000"/>
          <w:sz w:val="18"/>
        </w:rPr>
        <w:t>图3 新项目定价方案实施效果评价</w:t>
      </w:r>
    </w:p>
    <w:bookmarkEnd w:id="6"/>
    <w:p w14:paraId="14E2A1B3">
      <w:pPr>
        <w:pStyle w:val="4"/>
        <w:keepNext/>
        <w:spacing w:before="200" w:after="80"/>
        <w:jc w:val="left"/>
      </w:pPr>
      <w:bookmarkStart w:id="7" w:name="敏感性分析与方案评价"/>
      <w:r>
        <w:rPr>
          <w:rFonts w:ascii="Times New Roman" w:hAnsi="Times New Roman" w:eastAsia="黑体"/>
          <w:b/>
          <w:color w:val="000000"/>
          <w:sz w:val="24"/>
        </w:rPr>
        <w:t>7 敏感性分析与方案评价</w:t>
      </w:r>
    </w:p>
    <w:p w14:paraId="1C14242B">
      <w:pPr>
        <w:pStyle w:val="23"/>
        <w:spacing w:after="0" w:line="360" w:lineRule="auto"/>
        <w:ind w:firstLine="420"/>
        <w:jc w:val="both"/>
      </w:pPr>
      <w:r>
        <w:rPr>
          <w:rFonts w:ascii="Times New Roman" w:hAnsi="Times New Roman" w:eastAsia="宋体"/>
          <w:color w:val="000000"/>
          <w:sz w:val="21"/>
        </w:rPr>
        <w:t>为检验方案对成本约束的敏感程度，保持其他参数不变，将总成本增长上限依次设为 1%、3%、5%、7% 和 8%，得到下表。</w:t>
      </w:r>
    </w:p>
    <w:tbl>
      <w:tblPr>
        <w:tblStyle w:val="18"/>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0" w:type="dxa"/>
          <w:left w:w="10" w:type="dxa"/>
          <w:bottom w:w="0" w:type="dxa"/>
          <w:right w:w="10" w:type="dxa"/>
        </w:tblCellMar>
      </w:tblPr>
      <w:tblGrid>
        <w:gridCol w:w="1105"/>
        <w:gridCol w:w="924"/>
        <w:gridCol w:w="1285"/>
        <w:gridCol w:w="1466"/>
      </w:tblGrid>
      <w:tr w14:paraId="4966747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 w:type="dxa"/>
            <w:bottom w:w="0" w:type="dxa"/>
            <w:right w:w="10" w:type="dxa"/>
          </w:tblCellMar>
        </w:tblPrEx>
        <w:trPr>
          <w:tblHeader/>
          <w:jc w:val="center"/>
        </w:trPr>
        <w:tc>
          <w:tcPr>
            <w:shd w:val="clear" w:color="auto" w:fill="D9E6F2"/>
            <w:vAlign w:val="center"/>
          </w:tcPr>
          <w:p w14:paraId="48BB6A80">
            <w:pPr>
              <w:pStyle w:val="24"/>
              <w:spacing w:before="40" w:after="40"/>
              <w:ind w:firstLine="0"/>
              <w:jc w:val="center"/>
            </w:pPr>
            <w:r>
              <w:rPr>
                <w:rFonts w:ascii="Times New Roman" w:hAnsi="Times New Roman" w:eastAsia="宋体"/>
                <w:b/>
                <w:color w:val="000000"/>
                <w:sz w:val="18"/>
              </w:rPr>
              <w:t>成本增长上限</w:t>
            </w:r>
          </w:p>
        </w:tc>
        <w:tc>
          <w:tcPr>
            <w:shd w:val="clear" w:color="auto" w:fill="D9E6F2"/>
            <w:vAlign w:val="center"/>
          </w:tcPr>
          <w:p w14:paraId="5CF9EF8E">
            <w:pPr>
              <w:pStyle w:val="24"/>
              <w:spacing w:before="40" w:after="40"/>
              <w:ind w:firstLine="0"/>
              <w:jc w:val="center"/>
            </w:pPr>
            <w:r>
              <w:rPr>
                <w:rFonts w:ascii="Times New Roman" w:hAnsi="Times New Roman" w:eastAsia="宋体"/>
                <w:b/>
                <w:color w:val="000000"/>
                <w:sz w:val="18"/>
              </w:rPr>
              <w:t>期望完成率</w:t>
            </w:r>
          </w:p>
        </w:tc>
        <w:tc>
          <w:tcPr>
            <w:shd w:val="clear" w:color="auto" w:fill="D9E6F2"/>
            <w:vAlign w:val="center"/>
          </w:tcPr>
          <w:p w14:paraId="504B7F21">
            <w:pPr>
              <w:pStyle w:val="24"/>
              <w:spacing w:before="40" w:after="40"/>
              <w:ind w:firstLine="0"/>
              <w:jc w:val="center"/>
            </w:pPr>
            <w:r>
              <w:rPr>
                <w:rFonts w:ascii="Times New Roman" w:hAnsi="Times New Roman" w:eastAsia="宋体"/>
                <w:b/>
                <w:color w:val="000000"/>
                <w:sz w:val="18"/>
              </w:rPr>
              <w:t>目标概率达标率</w:t>
            </w:r>
          </w:p>
        </w:tc>
        <w:tc>
          <w:tcPr>
            <w:shd w:val="clear" w:color="auto" w:fill="D9E6F2"/>
            <w:vAlign w:val="center"/>
          </w:tcPr>
          <w:p w14:paraId="5D8578FD">
            <w:pPr>
              <w:pStyle w:val="24"/>
              <w:spacing w:before="40" w:after="40"/>
              <w:ind w:firstLine="0"/>
              <w:jc w:val="center"/>
            </w:pPr>
            <w:r>
              <w:rPr>
                <w:rFonts w:ascii="Times New Roman" w:hAnsi="Times New Roman" w:eastAsia="宋体"/>
                <w:b/>
                <w:color w:val="000000"/>
                <w:sz w:val="18"/>
              </w:rPr>
              <w:t>低完成概率任务数</w:t>
            </w:r>
          </w:p>
        </w:tc>
      </w:tr>
      <w:tr w14:paraId="5AAC4E5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 w:type="dxa"/>
            <w:bottom w:w="0" w:type="dxa"/>
            <w:right w:w="10" w:type="dxa"/>
          </w:tblCellMar>
        </w:tblPrEx>
        <w:trPr>
          <w:jc w:val="center"/>
        </w:trPr>
        <w:tc>
          <w:tcPr>
            <w:vAlign w:val="center"/>
          </w:tcPr>
          <w:p w14:paraId="1EBD065F">
            <w:pPr>
              <w:pStyle w:val="24"/>
              <w:spacing w:before="40" w:after="40"/>
              <w:ind w:firstLine="0"/>
              <w:jc w:val="center"/>
            </w:pPr>
            <w:r>
              <w:rPr>
                <w:rFonts w:ascii="Times New Roman" w:hAnsi="Times New Roman" w:eastAsia="宋体"/>
                <w:b w:val="0"/>
                <w:color w:val="000000"/>
                <w:sz w:val="18"/>
              </w:rPr>
              <w:t>1%</w:t>
            </w:r>
          </w:p>
        </w:tc>
        <w:tc>
          <w:tcPr>
            <w:vAlign w:val="center"/>
          </w:tcPr>
          <w:p w14:paraId="521A659A">
            <w:pPr>
              <w:pStyle w:val="24"/>
              <w:spacing w:before="40" w:after="40"/>
              <w:ind w:firstLine="0"/>
              <w:jc w:val="center"/>
            </w:pPr>
            <w:r>
              <w:rPr>
                <w:rFonts w:ascii="Times New Roman" w:hAnsi="Times New Roman" w:eastAsia="宋体"/>
                <w:b w:val="0"/>
                <w:color w:val="000000"/>
                <w:sz w:val="18"/>
              </w:rPr>
              <w:t>60.27%</w:t>
            </w:r>
          </w:p>
        </w:tc>
        <w:tc>
          <w:tcPr>
            <w:vAlign w:val="center"/>
          </w:tcPr>
          <w:p w14:paraId="2857E99C">
            <w:pPr>
              <w:pStyle w:val="24"/>
              <w:spacing w:before="40" w:after="40"/>
              <w:ind w:firstLine="0"/>
              <w:jc w:val="center"/>
            </w:pPr>
            <w:r>
              <w:rPr>
                <w:rFonts w:ascii="Times New Roman" w:hAnsi="Times New Roman" w:eastAsia="宋体"/>
                <w:b w:val="0"/>
                <w:color w:val="000000"/>
                <w:sz w:val="18"/>
              </w:rPr>
              <w:t>48.55%</w:t>
            </w:r>
          </w:p>
        </w:tc>
        <w:tc>
          <w:tcPr>
            <w:vAlign w:val="center"/>
          </w:tcPr>
          <w:p w14:paraId="486F976F">
            <w:pPr>
              <w:pStyle w:val="24"/>
              <w:spacing w:before="40" w:after="40"/>
              <w:ind w:firstLine="0"/>
              <w:jc w:val="center"/>
            </w:pPr>
            <w:r>
              <w:rPr>
                <w:rFonts w:ascii="Times New Roman" w:hAnsi="Times New Roman" w:eastAsia="宋体"/>
                <w:b w:val="0"/>
                <w:color w:val="000000"/>
                <w:sz w:val="18"/>
              </w:rPr>
              <w:t>1063</w:t>
            </w:r>
          </w:p>
        </w:tc>
      </w:tr>
      <w:tr w14:paraId="54CDC85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 w:type="dxa"/>
            <w:bottom w:w="0" w:type="dxa"/>
            <w:right w:w="10" w:type="dxa"/>
          </w:tblCellMar>
        </w:tblPrEx>
        <w:trPr>
          <w:jc w:val="center"/>
        </w:trPr>
        <w:tc>
          <w:tcPr>
            <w:vAlign w:val="center"/>
          </w:tcPr>
          <w:p w14:paraId="02BE8754">
            <w:pPr>
              <w:pStyle w:val="24"/>
              <w:spacing w:before="40" w:after="40"/>
              <w:ind w:firstLine="0"/>
              <w:jc w:val="center"/>
            </w:pPr>
            <w:r>
              <w:rPr>
                <w:rFonts w:ascii="Times New Roman" w:hAnsi="Times New Roman" w:eastAsia="宋体"/>
                <w:b w:val="0"/>
                <w:color w:val="000000"/>
                <w:sz w:val="18"/>
              </w:rPr>
              <w:t>3%</w:t>
            </w:r>
          </w:p>
        </w:tc>
        <w:tc>
          <w:tcPr>
            <w:vAlign w:val="center"/>
          </w:tcPr>
          <w:p w14:paraId="12E2E849">
            <w:pPr>
              <w:pStyle w:val="24"/>
              <w:spacing w:before="40" w:after="40"/>
              <w:ind w:firstLine="0"/>
              <w:jc w:val="center"/>
            </w:pPr>
            <w:r>
              <w:rPr>
                <w:rFonts w:ascii="Times New Roman" w:hAnsi="Times New Roman" w:eastAsia="宋体"/>
                <w:b w:val="0"/>
                <w:color w:val="000000"/>
                <w:sz w:val="18"/>
              </w:rPr>
              <w:t>62.05%</w:t>
            </w:r>
          </w:p>
        </w:tc>
        <w:tc>
          <w:tcPr>
            <w:vAlign w:val="center"/>
          </w:tcPr>
          <w:p w14:paraId="47385E9E">
            <w:pPr>
              <w:pStyle w:val="24"/>
              <w:spacing w:before="40" w:after="40"/>
              <w:ind w:firstLine="0"/>
              <w:jc w:val="center"/>
            </w:pPr>
            <w:r>
              <w:rPr>
                <w:rFonts w:ascii="Times New Roman" w:hAnsi="Times New Roman" w:eastAsia="宋体"/>
                <w:b w:val="0"/>
                <w:color w:val="000000"/>
                <w:sz w:val="18"/>
              </w:rPr>
              <w:t>48.55%</w:t>
            </w:r>
          </w:p>
        </w:tc>
        <w:tc>
          <w:tcPr>
            <w:vAlign w:val="center"/>
          </w:tcPr>
          <w:p w14:paraId="38DE6082">
            <w:pPr>
              <w:pStyle w:val="24"/>
              <w:spacing w:before="40" w:after="40"/>
              <w:ind w:firstLine="0"/>
              <w:jc w:val="center"/>
            </w:pPr>
            <w:r>
              <w:rPr>
                <w:rFonts w:ascii="Times New Roman" w:hAnsi="Times New Roman" w:eastAsia="宋体"/>
                <w:b w:val="0"/>
                <w:color w:val="000000"/>
                <w:sz w:val="18"/>
              </w:rPr>
              <w:t>1063</w:t>
            </w:r>
          </w:p>
        </w:tc>
      </w:tr>
      <w:tr w14:paraId="3DE4A55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 w:type="dxa"/>
            <w:bottom w:w="0" w:type="dxa"/>
            <w:right w:w="10" w:type="dxa"/>
          </w:tblCellMar>
        </w:tblPrEx>
        <w:trPr>
          <w:jc w:val="center"/>
        </w:trPr>
        <w:tc>
          <w:tcPr>
            <w:vAlign w:val="center"/>
          </w:tcPr>
          <w:p w14:paraId="700DE173">
            <w:pPr>
              <w:pStyle w:val="24"/>
              <w:spacing w:before="40" w:after="40"/>
              <w:ind w:firstLine="0"/>
              <w:jc w:val="center"/>
            </w:pPr>
            <w:r>
              <w:rPr>
                <w:rFonts w:ascii="Times New Roman" w:hAnsi="Times New Roman" w:eastAsia="宋体"/>
                <w:b w:val="0"/>
                <w:color w:val="000000"/>
                <w:sz w:val="18"/>
              </w:rPr>
              <w:t>5%</w:t>
            </w:r>
          </w:p>
        </w:tc>
        <w:tc>
          <w:tcPr>
            <w:vAlign w:val="center"/>
          </w:tcPr>
          <w:p w14:paraId="7F17301B">
            <w:pPr>
              <w:pStyle w:val="24"/>
              <w:spacing w:before="40" w:after="40"/>
              <w:ind w:firstLine="0"/>
              <w:jc w:val="center"/>
            </w:pPr>
            <w:r>
              <w:rPr>
                <w:rFonts w:ascii="Times New Roman" w:hAnsi="Times New Roman" w:eastAsia="宋体"/>
                <w:b w:val="0"/>
                <w:color w:val="000000"/>
                <w:sz w:val="18"/>
              </w:rPr>
              <w:t>63.77%</w:t>
            </w:r>
          </w:p>
        </w:tc>
        <w:tc>
          <w:tcPr>
            <w:vAlign w:val="center"/>
          </w:tcPr>
          <w:p w14:paraId="06E4A5C5">
            <w:pPr>
              <w:pStyle w:val="24"/>
              <w:spacing w:before="40" w:after="40"/>
              <w:ind w:firstLine="0"/>
              <w:jc w:val="center"/>
            </w:pPr>
            <w:r>
              <w:rPr>
                <w:rFonts w:ascii="Times New Roman" w:hAnsi="Times New Roman" w:eastAsia="宋体"/>
                <w:b w:val="0"/>
                <w:color w:val="000000"/>
                <w:sz w:val="18"/>
              </w:rPr>
              <w:t>74.73%</w:t>
            </w:r>
          </w:p>
        </w:tc>
        <w:tc>
          <w:tcPr>
            <w:vAlign w:val="center"/>
          </w:tcPr>
          <w:p w14:paraId="6EF24B70">
            <w:pPr>
              <w:pStyle w:val="24"/>
              <w:spacing w:before="40" w:after="40"/>
              <w:ind w:firstLine="0"/>
              <w:jc w:val="center"/>
            </w:pPr>
            <w:r>
              <w:rPr>
                <w:rFonts w:ascii="Times New Roman" w:hAnsi="Times New Roman" w:eastAsia="宋体"/>
                <w:b w:val="0"/>
                <w:color w:val="000000"/>
                <w:sz w:val="18"/>
              </w:rPr>
              <w:t>522</w:t>
            </w:r>
          </w:p>
        </w:tc>
      </w:tr>
      <w:tr w14:paraId="7286B6C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 w:type="dxa"/>
            <w:bottom w:w="0" w:type="dxa"/>
            <w:right w:w="10" w:type="dxa"/>
          </w:tblCellMar>
        </w:tblPrEx>
        <w:trPr>
          <w:jc w:val="center"/>
        </w:trPr>
        <w:tc>
          <w:tcPr>
            <w:vAlign w:val="center"/>
          </w:tcPr>
          <w:p w14:paraId="1A33672D">
            <w:pPr>
              <w:pStyle w:val="24"/>
              <w:spacing w:before="40" w:after="40"/>
              <w:ind w:firstLine="0"/>
              <w:jc w:val="center"/>
            </w:pPr>
            <w:r>
              <w:rPr>
                <w:rFonts w:ascii="Times New Roman" w:hAnsi="Times New Roman" w:eastAsia="宋体"/>
                <w:b w:val="0"/>
                <w:color w:val="000000"/>
                <w:sz w:val="18"/>
              </w:rPr>
              <w:t>7%</w:t>
            </w:r>
          </w:p>
        </w:tc>
        <w:tc>
          <w:tcPr>
            <w:vAlign w:val="center"/>
          </w:tcPr>
          <w:p w14:paraId="0B264633">
            <w:pPr>
              <w:pStyle w:val="24"/>
              <w:spacing w:before="40" w:after="40"/>
              <w:ind w:firstLine="0"/>
              <w:jc w:val="center"/>
            </w:pPr>
            <w:r>
              <w:rPr>
                <w:rFonts w:ascii="Times New Roman" w:hAnsi="Times New Roman" w:eastAsia="宋体"/>
                <w:b w:val="0"/>
                <w:color w:val="000000"/>
                <w:sz w:val="18"/>
              </w:rPr>
              <w:t>65.42%</w:t>
            </w:r>
          </w:p>
        </w:tc>
        <w:tc>
          <w:tcPr>
            <w:vAlign w:val="center"/>
          </w:tcPr>
          <w:p w14:paraId="5F9F4DCD">
            <w:pPr>
              <w:pStyle w:val="24"/>
              <w:spacing w:before="40" w:after="40"/>
              <w:ind w:firstLine="0"/>
              <w:jc w:val="center"/>
            </w:pPr>
            <w:r>
              <w:rPr>
                <w:rFonts w:ascii="Times New Roman" w:hAnsi="Times New Roman" w:eastAsia="宋体"/>
                <w:b w:val="0"/>
                <w:color w:val="000000"/>
                <w:sz w:val="18"/>
              </w:rPr>
              <w:t>75.46%</w:t>
            </w:r>
          </w:p>
        </w:tc>
        <w:tc>
          <w:tcPr>
            <w:vAlign w:val="center"/>
          </w:tcPr>
          <w:p w14:paraId="2BE53BFA">
            <w:pPr>
              <w:pStyle w:val="24"/>
              <w:spacing w:before="40" w:after="40"/>
              <w:ind w:firstLine="0"/>
              <w:jc w:val="center"/>
            </w:pPr>
            <w:r>
              <w:rPr>
                <w:rFonts w:ascii="Times New Roman" w:hAnsi="Times New Roman" w:eastAsia="宋体"/>
                <w:b w:val="0"/>
                <w:color w:val="000000"/>
                <w:sz w:val="18"/>
              </w:rPr>
              <w:t>507</w:t>
            </w:r>
          </w:p>
        </w:tc>
      </w:tr>
      <w:tr w14:paraId="2CAFD69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 w:type="dxa"/>
            <w:bottom w:w="0" w:type="dxa"/>
            <w:right w:w="10" w:type="dxa"/>
          </w:tblCellMar>
        </w:tblPrEx>
        <w:trPr>
          <w:jc w:val="center"/>
        </w:trPr>
        <w:tc>
          <w:tcPr>
            <w:vAlign w:val="center"/>
          </w:tcPr>
          <w:p w14:paraId="2A6E172A">
            <w:pPr>
              <w:pStyle w:val="24"/>
              <w:spacing w:before="40" w:after="40"/>
              <w:ind w:firstLine="0"/>
              <w:jc w:val="center"/>
            </w:pPr>
            <w:r>
              <w:rPr>
                <w:rFonts w:ascii="Times New Roman" w:hAnsi="Times New Roman" w:eastAsia="宋体"/>
                <w:b w:val="0"/>
                <w:color w:val="000000"/>
                <w:sz w:val="18"/>
              </w:rPr>
              <w:t>8%</w:t>
            </w:r>
          </w:p>
        </w:tc>
        <w:tc>
          <w:tcPr>
            <w:vAlign w:val="center"/>
          </w:tcPr>
          <w:p w14:paraId="3136422D">
            <w:pPr>
              <w:pStyle w:val="24"/>
              <w:spacing w:before="40" w:after="40"/>
              <w:ind w:firstLine="0"/>
              <w:jc w:val="center"/>
            </w:pPr>
            <w:r>
              <w:rPr>
                <w:rFonts w:ascii="Times New Roman" w:hAnsi="Times New Roman" w:eastAsia="宋体"/>
                <w:b w:val="0"/>
                <w:color w:val="000000"/>
                <w:sz w:val="18"/>
              </w:rPr>
              <w:t>65.96%</w:t>
            </w:r>
          </w:p>
        </w:tc>
        <w:tc>
          <w:tcPr>
            <w:vAlign w:val="center"/>
          </w:tcPr>
          <w:p w14:paraId="65D7FAC7">
            <w:pPr>
              <w:pStyle w:val="24"/>
              <w:spacing w:before="40" w:after="40"/>
              <w:ind w:firstLine="0"/>
              <w:jc w:val="center"/>
            </w:pPr>
            <w:r>
              <w:rPr>
                <w:rFonts w:ascii="Times New Roman" w:hAnsi="Times New Roman" w:eastAsia="宋体"/>
                <w:b w:val="0"/>
                <w:color w:val="000000"/>
                <w:sz w:val="18"/>
              </w:rPr>
              <w:t>75.46%</w:t>
            </w:r>
          </w:p>
        </w:tc>
        <w:tc>
          <w:tcPr>
            <w:vAlign w:val="center"/>
          </w:tcPr>
          <w:p w14:paraId="3F9C6089">
            <w:pPr>
              <w:pStyle w:val="24"/>
              <w:spacing w:before="40" w:after="40"/>
              <w:ind w:firstLine="0"/>
              <w:jc w:val="center"/>
            </w:pPr>
            <w:r>
              <w:rPr>
                <w:rFonts w:ascii="Times New Roman" w:hAnsi="Times New Roman" w:eastAsia="宋体"/>
                <w:b w:val="0"/>
                <w:color w:val="000000"/>
                <w:sz w:val="18"/>
              </w:rPr>
              <w:t>507</w:t>
            </w:r>
          </w:p>
        </w:tc>
      </w:tr>
    </w:tbl>
    <w:p w14:paraId="300035A8">
      <w:pPr>
        <w:pStyle w:val="3"/>
        <w:spacing w:after="0" w:line="360" w:lineRule="auto"/>
        <w:ind w:firstLine="420"/>
        <w:jc w:val="both"/>
      </w:pPr>
      <w:r>
        <w:rPr>
          <w:rFonts w:ascii="Times New Roman" w:hAnsi="Times New Roman" w:eastAsia="宋体"/>
          <w:color w:val="000000"/>
          <w:sz w:val="21"/>
        </w:rPr>
        <w:t>随着成本上限提高，期望完成率总体上升，但当成本增长率超过 5% 后，目标概率达标率的增幅明显趋缓：成本上限从 5% 提高到 8%，目标概率达标率仅由 74.73% 增至 75.46%。因此，5% 左右是兼顾完成效果与平台成本的合理折中点，所选方案具有较好的经济性与稳健性。</w:t>
      </w:r>
    </w:p>
    <w:p w14:paraId="2CF42C34">
      <w:pPr>
        <w:pStyle w:val="3"/>
        <w:spacing w:after="0" w:line="360" w:lineRule="auto"/>
        <w:ind w:firstLine="420"/>
        <w:jc w:val="both"/>
      </w:pPr>
      <w:r>
        <w:rPr>
          <w:rFonts w:ascii="Times New Roman" w:hAnsi="Times New Roman" w:eastAsia="宋体"/>
          <w:color w:val="000000"/>
          <w:sz w:val="21"/>
        </w:rPr>
        <w:t>需要说明的是，附件三尚未实际实施，本文得到的完成任务数和完成率均为基于历史数据的情景预测结果，而不是实际观测值。平台实施后可将真实抢单与完成记录反馈至模型，重新估计 Logistic 参数并滚动更新价格，以进一步提高模型的适应性。</w:t>
      </w:r>
    </w:p>
    <w:bookmarkEnd w:id="7"/>
    <w:p w14:paraId="52D16AC1">
      <w:pPr>
        <w:pStyle w:val="4"/>
        <w:keepNext/>
        <w:spacing w:before="200" w:after="80"/>
        <w:jc w:val="left"/>
      </w:pPr>
      <w:bookmarkStart w:id="8" w:name="本问结论"/>
      <w:r>
        <w:rPr>
          <w:rFonts w:ascii="Times New Roman" w:hAnsi="Times New Roman" w:eastAsia="黑体"/>
          <w:b/>
          <w:color w:val="000000"/>
          <w:sz w:val="24"/>
        </w:rPr>
        <w:t>8 本问结论</w:t>
      </w:r>
    </w:p>
    <w:p w14:paraId="3AEDDB82">
      <w:pPr>
        <w:pStyle w:val="23"/>
        <w:spacing w:after="0" w:line="360" w:lineRule="auto"/>
        <w:ind w:firstLine="420"/>
        <w:jc w:val="both"/>
      </w:pPr>
      <w:r>
        <w:rPr>
          <w:rFonts w:ascii="Times New Roman" w:hAnsi="Times New Roman" w:eastAsia="宋体"/>
          <w:color w:val="000000"/>
          <w:sz w:val="21"/>
        </w:rPr>
        <w:t>本文针对附件三缺少价格与执行结果的问题，建立了“空间加权 KNN 基准定价—稳健 Logistic 概率预测—离散多目标优化”的三级模型。该模型既继承了前三问关于会员资源、任务竞争和价格影响的分析结果，又通过 KNN 迁移和训练域边界投影降低了新旧项目分布差异带来的外推风险。最终方案在成本增长不超过 5% 的条件下，将期望完成率提高 4.41 个百分点、目标概率达标率提高 26.19 个百分点，可作为附件三新项目的任务发布定价方案。</w:t>
      </w:r>
    </w:p>
    <w:bookmarkEnd w:id="0"/>
    <w:bookmarkEnd w:id="8"/>
    <w:sectPr>
      <w:footerReference r:id="rId5" w:type="default"/>
      <w:pgMar w:top="1361" w:right="1417" w:bottom="1247" w:left="1417" w:header="680" w:footer="6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308F6">
    <w:pPr>
      <w:jc w:val="center"/>
    </w:pPr>
    <w:r>
      <w:rPr>
        <w:rFonts w:ascii="Times New Roman" w:hAnsi="Times New Roman" w:eastAsia="宋体"/>
        <w:color w:val="000000"/>
        <w:sz w:val="18"/>
      </w:rPr>
      <w:fldChar w:fldCharType="begin"/>
    </w:r>
    <w:r>
      <w:rPr>
        <w:rFonts w:ascii="Times New Roman" w:hAnsi="Times New Roman" w:eastAsia="宋体"/>
        <w:color w:val="000000"/>
        <w:sz w:val="18"/>
      </w:rPr>
      <w:instrText xml:space="preserve"> PAGE </w:instrText>
    </w:r>
    <w:r>
      <w:rPr>
        <w:rFonts w:ascii="Times New Roman" w:hAnsi="Times New Roman" w:eastAsia="宋体"/>
        <w:color w:val="000000"/>
        <w:sz w:val="18"/>
      </w:rPr>
      <w:fldChar w:fldCharType="separate"/>
    </w:r>
    <w:r>
      <w:rPr>
        <w:rFonts w:ascii="Times New Roman" w:hAnsi="Times New Roman" w:eastAsia="宋体"/>
        <w:color w:val="000000"/>
        <w:sz w:val="18"/>
      </w:rPr>
      <w:t>1</w:t>
    </w:r>
    <w:r>
      <w:rPr>
        <w:rFonts w:ascii="Times New Roman" w:hAnsi="Times New Roman" w:eastAsia="宋体"/>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E435429"/>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1"/>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0" w:line="360" w:lineRule="auto"/>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pPr>
      <w:spacing w:after="0" w:line="360" w:lineRule="auto"/>
    </w:pPr>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qFormat/>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uiPriority w:val="0"/>
    <w:rPr>
      <w:color w:val="008000"/>
    </w:rPr>
  </w:style>
  <w:style w:type="character" w:customStyle="1" w:styleId="62">
    <w:name w:val="ExtensionTok"/>
    <w:basedOn w:val="36"/>
    <w:qFormat/>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1628</Words>
  <Characters>1858</Characters>
  <Lines>12</Lines>
  <Paragraphs>8</Paragraphs>
  <TotalTime>6</TotalTime>
  <ScaleCrop>false</ScaleCrop>
  <LinksUpToDate>false</LinksUpToDate>
  <CharactersWithSpaces>1959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2026-07-11T08:50:00Z</dcterms:created>
  <dc:creator>。。。。</dc:creator>
  <cp:lastModifiedBy>。。。。</cp:lastModifiedBy>
  <dcterms:modified xsi:type="dcterms:W3CDTF">2026-07-11T08:57:40Z</dcterms:modified>
  <dc:subject>CUMCM 2017 B题第四问模型与求解</dc:subject>
  <dc:title>问题四：新项目任务定价方案及实施效果评价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01DE7C22B21C471E81AE0BBF3B5D6EB1_13</vt:lpwstr>
  </property>
</Properties>
</file>