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6E880">
      <w:pPr>
        <w:pStyle w:val="2"/>
        <w:keepNext w:val="0"/>
        <w:keepLines w:val="0"/>
        <w:widowControl/>
        <w:suppressLineNumbers w:val="0"/>
      </w:pPr>
      <w:r>
        <w:t>六、模型的评价与推广</w:t>
      </w:r>
    </w:p>
    <w:p w14:paraId="4EFE5E47">
      <w:pPr>
        <w:pStyle w:val="3"/>
        <w:keepNext w:val="0"/>
        <w:keepLines w:val="0"/>
        <w:widowControl/>
        <w:suppressLineNumbers w:val="0"/>
      </w:pPr>
      <w:r>
        <w:t>6.1 模型的优点</w:t>
      </w:r>
    </w:p>
    <w:p w14:paraId="65AB6694">
      <w:pPr>
        <w:pStyle w:val="4"/>
        <w:keepNext w:val="0"/>
        <w:keepLines w:val="0"/>
        <w:widowControl/>
        <w:suppressLineNumbers w:val="0"/>
      </w:pPr>
      <w:r>
        <w:t>6.1.1 四个问题之间具有明确的递进关系</w:t>
      </w:r>
    </w:p>
    <w:p w14:paraId="0A1BC2F8">
      <w:pPr>
        <w:pStyle w:val="5"/>
        <w:keepNext w:val="0"/>
        <w:keepLines w:val="0"/>
        <w:widowControl/>
        <w:suppressLineNumbers w:val="0"/>
        <w:spacing w:before="0" w:beforeAutospacing="1" w:after="0" w:afterAutospacing="1"/>
        <w:ind w:left="0" w:right="0"/>
      </w:pPr>
      <w:r>
        <w:t>本文并未将四个问题彼此割裂，而是围绕“质量信息获取—单层生产决策—多层装配决策—参数不确定性控制”逐步展开。第一问利用抽样检测判断零配件次品率是否超过标称值，为后续生产决策提供质量参数；第二问研究由两个零配件装配为成品时的检测与拆解决策；第三问进一步将单层生产过程扩展为由零配件、半成品和成品构成的装配树；第四问则针对次品率由抽样估计产生误差的问题，对第二、三问的方案进行鲁棒修正。由此形成了从参数判断到生产优化、再到不确定性决策的完整建模过程。</w:t>
      </w:r>
    </w:p>
    <w:p w14:paraId="20AE1A3E">
      <w:pPr>
        <w:pStyle w:val="4"/>
        <w:keepNext w:val="0"/>
        <w:keepLines w:val="0"/>
        <w:widowControl/>
        <w:suppressLineNumbers w:val="0"/>
      </w:pPr>
      <w:r>
        <w:t>6.1.2 抽样判定采用精确二项分布，避免小样本近似误差</w:t>
      </w:r>
    </w:p>
    <w:p w14:paraId="5E21A09F">
      <w:pPr>
        <w:pStyle w:val="5"/>
        <w:keepNext w:val="0"/>
        <w:keepLines w:val="0"/>
        <w:widowControl/>
        <w:suppressLineNumbers w:val="0"/>
        <w:spacing w:before="0" w:beforeAutospacing="1" w:after="0" w:afterAutospacing="1"/>
        <w:ind w:left="0" w:right="0"/>
      </w:pPr>
      <w:r>
        <w:t>第一问直接根据二项分布的尾概率构造接收界限与拒收界限，没有使用正态近似。在样本量较小或次品率较低时，二项分布可能具有明显的偏态性，此时精确概率计算更符合抽样计数的离散特征。同时，模型在接收区域和拒收区域之间保留“证据不足”区域，避免将“尚不能拒绝”错误解释为“已经证明合格”。</w:t>
      </w:r>
    </w:p>
    <w:p w14:paraId="4C33BDFB">
      <w:pPr>
        <w:pStyle w:val="4"/>
        <w:keepNext w:val="0"/>
        <w:keepLines w:val="0"/>
        <w:widowControl/>
        <w:suppressLineNumbers w:val="0"/>
      </w:pPr>
      <w:r>
        <w:t>6.1.3 状态递推能够完整计入循环生产费用</w:t>
      </w:r>
    </w:p>
    <w:p w14:paraId="3731AD36">
      <w:pPr>
        <w:pStyle w:val="5"/>
        <w:keepNext w:val="0"/>
        <w:keepLines w:val="0"/>
        <w:widowControl/>
        <w:suppressLineNumbers w:val="0"/>
        <w:spacing w:before="0" w:beforeAutospacing="1" w:after="0" w:afterAutospacing="1"/>
        <w:ind w:left="0" w:right="0"/>
      </w:pPr>
      <w:r>
        <w:t>第二问和第三问均以完成一个合格交付订单为计算终点，将重复采购、检测、装配、拆解以及售后调换等费用纳入同一成本口径。对于报废重做和拆解复用两种处理方式，模型分别计算其后续状态和重复费用，避免只比较一次生产成本而低估返工过程的影响。</w:t>
      </w:r>
    </w:p>
    <w:p w14:paraId="1CE585B3">
      <w:pPr>
        <w:pStyle w:val="5"/>
        <w:keepNext w:val="0"/>
        <w:keepLines w:val="0"/>
        <w:widowControl/>
        <w:suppressLineNumbers w:val="0"/>
        <w:spacing w:before="0" w:beforeAutospacing="1" w:after="0" w:afterAutospacing="1"/>
        <w:ind w:left="0" w:right="0"/>
      </w:pPr>
      <w:r>
        <w:t>第三问进一步依据装配关系建立分层递推结构，使零配件质量能够逐层传递至半成品和最终成品。该方法既保留了装配过程的层次性，又避免直接构造规模较大的联合状态空间，在保证计算含义清晰的同时降低了求解复杂度。</w:t>
      </w:r>
    </w:p>
    <w:p w14:paraId="4B8AE48F">
      <w:pPr>
        <w:pStyle w:val="4"/>
        <w:keepNext w:val="0"/>
        <w:keepLines w:val="0"/>
        <w:widowControl/>
        <w:suppressLineNumbers w:val="0"/>
      </w:pPr>
      <w:r>
        <w:t>6.1.4 全策略枚举保证了既定策略集合内的求解完整性</w:t>
      </w:r>
    </w:p>
    <w:p w14:paraId="582691DE">
      <w:pPr>
        <w:pStyle w:val="5"/>
        <w:keepNext w:val="0"/>
        <w:keepLines w:val="0"/>
        <w:widowControl/>
        <w:suppressLineNumbers w:val="0"/>
        <w:spacing w:before="0" w:beforeAutospacing="1" w:after="0" w:afterAutospacing="1"/>
        <w:ind w:left="0" w:right="0"/>
      </w:pPr>
      <w:r>
        <w:t>第二问对16种固定策略进行逐一评价；第三问通过合并不影响实际行为的无效拆解位，将65536种原始编码化简为27648种有效候选，再对其中的可行策略进行比较。该方法不会受到初始解或搜索方向的影响，并且能够保留全部并列最优方案。因此，本文所得结果是既定固定策略集合内的全局最优结果，而不是启发式算法得到的局部最优解。</w:t>
      </w:r>
    </w:p>
    <w:p w14:paraId="521D5366">
      <w:pPr>
        <w:pStyle w:val="4"/>
        <w:keepNext w:val="0"/>
        <w:keepLines w:val="0"/>
        <w:widowControl/>
        <w:suppressLineNumbers w:val="0"/>
      </w:pPr>
      <w:r>
        <w:t>6.1.5 鲁棒模型能够反映抽样误差对决策的实际影响</w:t>
      </w:r>
    </w:p>
    <w:p w14:paraId="12D19CC7">
      <w:pPr>
        <w:pStyle w:val="5"/>
        <w:keepNext w:val="0"/>
        <w:keepLines w:val="0"/>
        <w:widowControl/>
        <w:suppressLineNumbers w:val="0"/>
        <w:spacing w:before="0" w:beforeAutospacing="1" w:after="0" w:afterAutospacing="1"/>
        <w:ind w:left="0" w:right="0"/>
      </w:pPr>
      <w:r>
        <w:t>第四问没有将样本次品率直接视为真实次品率，而是采用Clopper–Pearson精确二项置信区间与Bonferroni校正构造联合置信域。在证明固定策略期望成本关于各次品率单调不减后，将置信域内的最坏情形评价转化为全部次品率取置信上界时的成本计算，从而避免了高维参数搜索。</w:t>
      </w:r>
    </w:p>
    <w:p w14:paraId="642D0CDC">
      <w:pPr>
        <w:pStyle w:val="5"/>
        <w:keepNext w:val="0"/>
        <w:keepLines w:val="0"/>
        <w:widowControl/>
        <w:suppressLineNumbers w:val="0"/>
        <w:spacing w:before="0" w:beforeAutospacing="1" w:after="0" w:afterAutospacing="1"/>
        <w:ind w:left="0" w:right="0"/>
      </w:pPr>
      <w:r>
        <w:t>计算结果表明，第二问情形3、情形5以及第三问的鲁棒方案与点估计方案不同，说明抽样误差确实可能改变检测与拆解决策。模型不仅给出了鲁棒最优方案，还给出了对应的最坏情形期望利润，使企业能够同时观察点估计收益和不利质量条件下的收益保障。</w:t>
      </w:r>
    </w:p>
    <w:p w14:paraId="5ED2252B">
      <w:pPr>
        <w:pStyle w:val="4"/>
        <w:keepNext w:val="0"/>
        <w:keepLines w:val="0"/>
        <w:widowControl/>
        <w:suppressLineNumbers w:val="0"/>
      </w:pPr>
      <w:r>
        <w:t>6.1.6 模型结果具有多重核验依据</w:t>
      </w:r>
    </w:p>
    <w:p w14:paraId="60BB5811">
      <w:pPr>
        <w:pStyle w:val="5"/>
        <w:keepNext w:val="0"/>
        <w:keepLines w:val="0"/>
        <w:widowControl/>
        <w:suppressLineNumbers w:val="0"/>
        <w:spacing w:before="0" w:beforeAutospacing="1" w:after="0" w:afterAutospacing="1"/>
        <w:ind w:left="0" w:right="0"/>
      </w:pPr>
      <w:r>
        <w:t>在程序求解中，本文分别通过成本分项求和、状态方程核验、独立事件仿真以及置信域参数点检查验证计算结果。第二问和第三问的理论期望成本与蒙特卡洛模拟均值基本一致；第四问中，第二问各情形的置信域顶点核验结果与置信上界评价结果一致。上述检验从不同角度说明了状态递推公式和程序实现之间具有较好的一致性。</w:t>
      </w:r>
    </w:p>
    <w:p w14:paraId="41862DEB">
      <w:pPr>
        <w:pStyle w:val="3"/>
        <w:keepNext w:val="0"/>
        <w:keepLines w:val="0"/>
        <w:widowControl/>
        <w:suppressLineNumbers w:val="0"/>
      </w:pPr>
      <w:r>
        <w:t>6.2 模型的不足</w:t>
      </w:r>
    </w:p>
    <w:p w14:paraId="18BDA5EA">
      <w:pPr>
        <w:pStyle w:val="5"/>
        <w:keepNext w:val="0"/>
        <w:keepLines w:val="0"/>
        <w:widowControl/>
        <w:suppressLineNumbers w:val="0"/>
        <w:spacing w:before="0" w:beforeAutospacing="1" w:after="0" w:afterAutospacing="1"/>
        <w:ind w:left="0" w:right="0"/>
      </w:pPr>
      <w:r>
        <w:t>首先，模型假设同类产品的次品率在抽样和生产过程中保持稳定，并将各件产品的质量状态视为相互独立。若生产设备老化、原材料批次变化或操作环境发生改变，次品率可能随时间波动，此时固定参数模型不能充分描述生产过程。</w:t>
      </w:r>
    </w:p>
    <w:p w14:paraId="626D7578">
      <w:pPr>
        <w:pStyle w:val="5"/>
        <w:keepNext w:val="0"/>
        <w:keepLines w:val="0"/>
        <w:widowControl/>
        <w:suppressLineNumbers w:val="0"/>
        <w:spacing w:before="0" w:beforeAutospacing="1" w:after="0" w:afterAutospacing="1"/>
        <w:ind w:left="0" w:right="0"/>
      </w:pPr>
      <w:r>
        <w:t>其次，模型假设检测结果完全准确，没有考虑误检和漏检。当检测设备本身存在判别误差时，“检测后必然获得合格投入物”的递推关系将不再成立，需要增加真实质量状态与检测结果状态之间的转移概率。</w:t>
      </w:r>
    </w:p>
    <w:p w14:paraId="7D2F3002">
      <w:pPr>
        <w:pStyle w:val="5"/>
        <w:keepNext w:val="0"/>
        <w:keepLines w:val="0"/>
        <w:widowControl/>
        <w:suppressLineNumbers w:val="0"/>
        <w:spacing w:before="0" w:beforeAutospacing="1" w:after="0" w:afterAutospacing="1"/>
        <w:ind w:left="0" w:right="0"/>
      </w:pPr>
      <w:r>
        <w:t>再次，第二问和第三问只在预先设定的固定策略集合内进行优化，即同一检测与拆解决策在循环生产过程中重复使用。模型没有考虑企业根据连续失败次数、库存水平或已知质量信息临时改变决策的情况，因此不能将枚举结果表述为全部自适应生产策略中的全局最优结果。</w:t>
      </w:r>
    </w:p>
    <w:p w14:paraId="302E6B98">
      <w:pPr>
        <w:pStyle w:val="5"/>
        <w:keepNext w:val="0"/>
        <w:keepLines w:val="0"/>
        <w:widowControl/>
        <w:suppressLineNumbers w:val="0"/>
        <w:spacing w:before="0" w:beforeAutospacing="1" w:after="0" w:afterAutospacing="1"/>
        <w:ind w:left="0" w:right="0"/>
      </w:pPr>
      <w:r>
        <w:t>此外，本文以单个合格交付订单的期望利润为目标，尚未考虑生产周期、设备能力、库存上限、资金占用以及订单交付期限等约束。期望利润相同的两种方案，其成本波动和完成时间仍可能存在差异，仅使用期望值无法全面反映企业的经营风险。</w:t>
      </w:r>
    </w:p>
    <w:p w14:paraId="7FD477A2">
      <w:pPr>
        <w:pStyle w:val="5"/>
        <w:keepNext w:val="0"/>
        <w:keepLines w:val="0"/>
        <w:widowControl/>
        <w:suppressLineNumbers w:val="0"/>
        <w:spacing w:before="0" w:beforeAutospacing="1" w:after="0" w:afterAutospacing="1"/>
        <w:ind w:left="0" w:right="0"/>
      </w:pPr>
      <w:r>
        <w:t>最后，第四问由于题目未给出实际抽样数据，采用每类样本量为200的模拟抽样结果展示求解过程。该样本量并非综合抽样费用和决策损失得到的最优值，因此第四问的具体策略结果主要用于说明模型的应用方法，实际生产中仍需代入真实抽样计数重新计算。</w:t>
      </w:r>
    </w:p>
    <w:p w14:paraId="04AB2353">
      <w:pPr>
        <w:pStyle w:val="3"/>
        <w:keepNext w:val="0"/>
        <w:keepLines w:val="0"/>
        <w:widowControl/>
        <w:suppressLineNumbers w:val="0"/>
      </w:pPr>
      <w:r>
        <w:t>6.3 模型的推广</w:t>
      </w:r>
    </w:p>
    <w:p w14:paraId="029C68BB">
      <w:pPr>
        <w:pStyle w:val="4"/>
        <w:keepNext w:val="0"/>
        <w:keepLines w:val="0"/>
        <w:widowControl/>
        <w:suppressLineNumbers w:val="0"/>
      </w:pPr>
      <w:r>
        <w:t>6.3.1 推广至一般多层装配系统</w:t>
      </w:r>
    </w:p>
    <w:p w14:paraId="7DEF1BF1">
      <w:pPr>
        <w:pStyle w:val="5"/>
        <w:keepNext w:val="0"/>
        <w:keepLines w:val="0"/>
        <w:widowControl/>
        <w:suppressLineNumbers w:val="0"/>
        <w:spacing w:before="0" w:beforeAutospacing="1" w:after="0" w:afterAutospacing="1"/>
        <w:ind w:left="0" w:right="0"/>
      </w:pPr>
      <w:r>
        <w:t>本文第三问的分层递推并不局限于8个零配件、3个半成品和1个成品的结构。只要给出各装配节点的直接子节点、装配费用、检测费用、拆解费用和条件次品率，便可按照装配树的拓扑顺序由底向上递推。因此，该模型可以推广到机械制造、电子设备、汽车零部件和模块化产品等具有多级装配关系的生产系统。</w:t>
      </w:r>
    </w:p>
    <w:p w14:paraId="099BC4A5">
      <w:pPr>
        <w:pStyle w:val="4"/>
        <w:keepNext w:val="0"/>
        <w:keepLines w:val="0"/>
        <w:widowControl/>
        <w:suppressLineNumbers w:val="0"/>
      </w:pPr>
      <w:r>
        <w:t>6.3.2 推广至含检测误差的质量决策</w:t>
      </w:r>
    </w:p>
    <w:p w14:paraId="2E23F0B7">
      <w:pPr>
        <w:pStyle w:val="5"/>
        <w:keepNext w:val="0"/>
        <w:keepLines w:val="0"/>
        <w:widowControl/>
        <w:suppressLineNumbers w:val="0"/>
        <w:spacing w:before="0" w:beforeAutospacing="1" w:after="0" w:afterAutospacing="1"/>
        <w:ind w:left="0" w:right="0"/>
      </w:pPr>
      <w:r>
        <w:t>若检测过程存在漏检率和误检率，可将产品的真实质量与检测结果分别作为状态，重新计算检测后的合格概率和期望费用。这样可以进一步比较提高检测精度、更换检测设备与承担售后损失之间的经济关系，使模型更加符合实际质量控制过程。</w:t>
      </w:r>
    </w:p>
    <w:p w14:paraId="1E03187F">
      <w:pPr>
        <w:pStyle w:val="4"/>
        <w:keepNext w:val="0"/>
        <w:keepLines w:val="0"/>
        <w:widowControl/>
        <w:suppressLineNumbers w:val="0"/>
      </w:pPr>
      <w:r>
        <w:t>6.3.3 推广至动态与自适应生产决策</w:t>
      </w:r>
    </w:p>
    <w:p w14:paraId="24BA191B">
      <w:pPr>
        <w:pStyle w:val="5"/>
        <w:keepNext w:val="0"/>
        <w:keepLines w:val="0"/>
        <w:widowControl/>
        <w:suppressLineNumbers w:val="0"/>
        <w:spacing w:before="0" w:beforeAutospacing="1" w:after="0" w:afterAutospacing="1"/>
        <w:ind w:left="0" w:right="0"/>
      </w:pPr>
      <w:r>
        <w:t>当企业可以依据当前库存、零配件已知质量、返工次数和历史检测结果动态调整策略时，可在本文状态递推的基础上建立马尔可夫决策过程。将“是否检测、是否拆解、是否继续返工”设置为各状态下的可选动作，通过价值迭代或策略迭代求解自适应方案，从而突破固定策略循环复用的限制。</w:t>
      </w:r>
    </w:p>
    <w:p w14:paraId="68CE7FF6">
      <w:pPr>
        <w:pStyle w:val="4"/>
        <w:keepNext w:val="0"/>
        <w:keepLines w:val="0"/>
        <w:widowControl/>
        <w:suppressLineNumbers w:val="0"/>
      </w:pPr>
      <w:r>
        <w:t>6.3.4 推广至抽样与生产的一体化优化</w:t>
      </w:r>
    </w:p>
    <w:p w14:paraId="00533733">
      <w:pPr>
        <w:pStyle w:val="5"/>
        <w:keepNext w:val="0"/>
        <w:keepLines w:val="0"/>
        <w:widowControl/>
        <w:suppressLineNumbers w:val="0"/>
        <w:spacing w:before="0" w:beforeAutospacing="1" w:after="0" w:afterAutospacing="1"/>
        <w:ind w:left="0" w:right="0"/>
      </w:pPr>
      <w:r>
        <w:t>本文第一问负责确定质量信息，第四问则在给定抽样结果后进行鲁棒生产决策。进一步可以把样本量也设置为决策变量，将抽样费用、置信区间宽度和错误决策造成的生产损失统一纳入目标函数。这样能够回答“多检测一件样品所获得的信息价值是否超过其检测费用”，从而形成抽样方案与生产方案协同优化的模型。</w:t>
      </w:r>
    </w:p>
    <w:p w14:paraId="72443067">
      <w:pPr>
        <w:pStyle w:val="4"/>
        <w:keepNext w:val="0"/>
        <w:keepLines w:val="0"/>
        <w:widowControl/>
        <w:suppressLineNumbers w:val="0"/>
      </w:pPr>
      <w:r>
        <w:t>6.3.5 推广至多目标生产管理</w:t>
      </w:r>
    </w:p>
    <w:p w14:paraId="364DA573">
      <w:pPr>
        <w:pStyle w:val="5"/>
        <w:keepNext w:val="0"/>
        <w:keepLines w:val="0"/>
        <w:widowControl/>
        <w:suppressLineNumbers w:val="0"/>
      </w:pPr>
      <w:r>
        <w:t>实际企业除关注利润外，通常还关心平均交付时间、质量风险、资源消耗和客户满意度。可在现有期望利润模型中增加生产周期、调换概率和废弃物数量等指标，构建多目标优化模型，并利用加权求和法或Pareto前沿比较不同方案，使企业能够根据自身风险偏好选择更加合适的生产决策。</w:t>
      </w:r>
    </w:p>
    <w:p w14:paraId="6FFC5D7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2612B8"/>
    <w:rsid w:val="34261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2026-09-08T03:39:00Z</dcterms:created>
  <dc:creator>。。。。</dc:creator>
  <cp:lastModifiedBy>。。。。</cp:lastModifiedBy>
  <dcterms:modified xsi:type="dcterms:W3CDTF">2026-09-08T03:39:23Z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A2D059F32BEB4A5FBE508D9F32973FFD_11</vt:lpwstr>
  </property>
  <property fmtid="{D5CDD505-2E9C-101B-9397-08002B2CF9AE}" pid="4" name="KSOTemplateDocerSaveRecord">
    <vt:lpwstr>eyJoZGlkIjoiOTFiODYxYjE1NjRkZTAxY2M3NWM4ODAzM2Q2YzU4OTgiLCJ1c2VySWQiOiIxMzg5OTQ2NTEyIn0=</vt:lpwstr>
  </property>
</Properties>
</file>