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A1A1A"/>
          <w:spacing w:val="200"/>
          <w:sz w:val="52"/>
          <w:szCs w:val="52"/>
        </w:rPr>
        <w:t xml:space="preserve">JAGO LIVINGSTONE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F97316"/>
          <w:spacing w:val="80"/>
          <w:sz w:val="19"/>
          <w:szCs w:val="19"/>
        </w:rPr>
        <w:t xml:space="preserve">LEAD PRODUCT DESIGNER · UX · SAAS · AI · CHATBOTS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UK &amp; International  |  07402 546 033  |  jagojames@gmail.com  |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https://jagodesigner.com/</w:t>
      </w:r>
    </w:p>
    <w:p>
      <w:pPr>
        <w:pBdr>
          <w:bottom w:val="single" w:color="AAAAAA" w:sz="4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1A1A1A"/>
          <w:spacing w:val="60"/>
          <w:sz w:val="20"/>
          <w:szCs w:val="20"/>
        </w:rPr>
        <w:t xml:space="preserve">PROFESSIONAL PROFILE</w:t>
      </w:r>
    </w:p>
    <w:p>
      <w:pPr>
        <w:spacing w:after="60" w:before="60"/>
      </w:pPr>
      <w:r>
        <w:rPr>
          <w:rFonts w:ascii="Georgia" w:cs="Georgia" w:eastAsia="Georgia" w:hAnsi="Georgia"/>
          <w:color w:val="1A1A1A"/>
          <w:sz w:val="19"/>
          <w:szCs w:val="19"/>
        </w:rPr>
        <w:t xml:space="preserve">Senior product design leader with 20+ years’ experience shaping AI-powered, data-rich platforms from zero to production across enterprise SaaS, financial services, pharmaceuticals, automotive, telco and consumer environments. Specialises in translating probabilistic ML outputs into governable, trust-led user journeys, embedding human-in-the-loop frameworks, and turning developer-built products into enterprise-grade software. Track record of leading distributed design teams across UK, Poland and Germany and contributing to a £3.5M acquisition and an enterprise suite still live on SAP’s price list at £1.5M per license.</w:t>
      </w:r>
    </w:p>
    <w:p>
      <w:pPr>
        <w:pBdr>
          <w:bottom w:val="single" w:color="AAAAAA" w:sz="4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1A1A1A"/>
          <w:spacing w:val="60"/>
          <w:sz w:val="20"/>
          <w:szCs w:val="20"/>
        </w:rPr>
        <w:t xml:space="preserve">KEY ACHIEVEMENTS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6F1" w:val="clear"/>
          </w:tcPr>
          <w:p>
            <w:pPr>
              <w:spacing w:after="60"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£3.5m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REMIT REDESIGN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BEHIND SAP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ACQUISITION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6F1" w:val="clear"/>
          </w:tcPr>
          <w:p>
            <w:pPr>
              <w:spacing w:after="60"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£1.5m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PER-LICENCE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SAP SUITE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SHIPPED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6F1" w:val="clear"/>
          </w:tcPr>
          <w:p>
            <w:pPr>
              <w:spacing w:after="60"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35%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LLOYDS DROP-OFF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REDUCTION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6F1" w:val="clear"/>
          </w:tcPr>
          <w:p>
            <w:pPr>
              <w:spacing w:after="60"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20+ Yrs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PRODUCT DESIGN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LEADERSHIP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9F6F1" w:val="clear"/>
          </w:tcPr>
          <w:p>
            <w:pPr>
              <w:spacing w:after="60" w:before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5 Markets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UK, US, CANADA,</w:t>
            </w:r>
          </w:p>
          <w:p>
            <w:pPr>
              <w:spacing w:after="120" w:before="0"/>
              <w:jc w:val="center"/>
            </w:pPr>
            <w:r>
              <w:rPr>
                <w:rFonts w:ascii="Georgia" w:cs="Georgia" w:eastAsia="Georgia" w:hAnsi="Georgia"/>
                <w:color w:val="F97316"/>
                <w:sz w:val="13"/>
                <w:szCs w:val="13"/>
              </w:rPr>
              <w:t xml:space="preserve">POLAND, GERMANY</w:t>
            </w:r>
          </w:p>
        </w:tc>
      </w:tr>
    </w:tbl>
    <w:p>
      <w:pPr>
        <w:pBdr>
          <w:bottom w:val="single" w:color="AAAAAA" w:sz="4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1A1A1A"/>
          <w:spacing w:val="60"/>
          <w:sz w:val="20"/>
          <w:szCs w:val="20"/>
        </w:rPr>
        <w:t xml:space="preserve">CORE COMPETENCIES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Leadership Scope: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Product design leadership across enterprise SaaS, banking, pharma, automotive, maritime, telco and mobility, with deep expertise in AI-enabled products, service redesign, operational dashboards and regulated digital environments.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Executive Strengths: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International team leadership, design maturity uplift, cross-functional transformation, stakeholder influence at C-suite level, human-in-the-loop AI design, accessibility, and conversion of complex technical capability into trusted customer and operational outcomes.</w:t>
      </w:r>
    </w:p>
    <w:p>
      <w:pPr>
        <w:pBdr>
          <w:bottom w:val="single" w:color="AAAAAA" w:sz="4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1A1A1A"/>
          <w:spacing w:val="60"/>
          <w:sz w:val="20"/>
          <w:szCs w:val="20"/>
        </w:rPr>
        <w:t xml:space="preserve">PROFESSIONAL EXPERIENCE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Founder &amp; Product Design Lead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Monkey Nuts Studio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Feb 2022 – Present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Founded and lead an independent product studio spanning accessibility innovation and digital product development, with accountability for proposition design, delivery and distributed team leadership.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Accessibility Education &amp; Consulting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Founded the division, co-developed the strategy and syllabus with a Lived Experience Lead, and trained 20+ professionals across design, product and engineering in the first quarter.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Designed an AR-based accessibility simulator replicating visual and cognitive impairments for empathy-led training, now in licensing discussions with UK government platforms.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Mobile Gaming Studio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Conceived and delivered two products from concept to live release: Dungeon Master Slayer, a digital card game on the App Store and Google Play, and Get2Know, a social quiz platform designed to deepen group engagement.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Led end-to-end UX with 100+ research participants, validating three monetisation routes and partnering with engineering on AI-assisted content generation at scale.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Secured a £1.5M company valuation (Seedlegals CEO), initial £150K investor interest and HMRC-approved SEIS status; managed a two-developer AWS delivery to build a scalable web platform.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Product Design Lead (Contract)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Candyspace (Rolls-Royce / mtu Go)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Nov 2024 – Jan 2025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Delivered a six-week generative AI voice UX proof-of-concept for the mtu Go automotive platform, supporting diagnostics and maintenance planning.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Led design for a generative AI voice experience aimed at engineers, maintenance teams and fleet operators interacting conversationally with engine diagnostics data; defined user personas, workflows, conversation flows and a Figma prototype across the sprint.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Applied Neuro-Linguistic Programming principles to intent definition, conversation structure, error recovery and clarification, designing how the system handled uncertainty without losing user trust.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Surfaced and documented the VUX patterns plus the trust, evidence and reassurance requirements that would need solving before users acted on AI-generated recommendations in a high-stakes operational environment.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UX Consultant (Contract)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ECA International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Mar 2024 – Aug 2024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Three concurrent AI workstreams for a global mobility software, data and consultancy business.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Designed AI Transcribe &amp; Build, a UX that compressed a multi-hour manual relocation-report process into a single AI-assisted interaction, lifting speed and consistency for consultants.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Designed a mobile-first conversational interface that replaced long, brittle forms with adaptive question flows, enabling natural-language scenario changes mid-journey.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Designed the AI Builder human-in-the-loop workflow: AI handled data processing while domain experts retained decision authority, with confidence levels, assumptions and edge-case boundaries surfaced to prevent over-trust.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Head of Design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Silverstream Technologies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May 2023 – Feb 2024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Reporting to the Chief Digital &amp; Information Officer, led UX for a greenfield responsive web platform and iOS app in the maritime fuel-efficiency sector.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Validated the full design suite through user testing, achieving zero critical task failures and strong stakeholder feedback at launch.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Service Designer (Contract)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Designit (Lloyds Banking Group)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Aug 2022 – Oct 2022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Three-month service design engagement across digital banking platforms, chatbots and IVR journeys for a regulated retail bank.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Led design improvements across digital banking, chatbot and IVR journeys, balancing customer experience, accessibility and FCA-regulated compliance throughout.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Reduced live-platform drop-off by 35% through journey simplification and step-count reduction, lifting customer satisfaction across the affected flows.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UX Director, then Product Design Lead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SeeWhy · SAP &amp; SAP Labs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Apr 2014 – May 2022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Eight-year tenure spanning the SeeWhy startup, SAP acquisition, Context Driven Services enterprise suite, and the BoSH AI MVP at SAP Labs.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SeeWhy · SAP Acquisition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Established SeeWhy’s first design team and redesigned the developer-built real-time behavioural targeting product end-to-end, introducing a new UI and design system that helped drive SAP’s £3.5M acquisition in January 2015.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Led end-to-end design across a suite of real-time marketing dashboards used by professional users, turning dense, data-heavy interfaces into clear, actionable experiences.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Context Driven Services Enterprise Suite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Shaped the Context Driven Services enterprise SaaS suite from concept to launch using Jobs to Be Done and Scrum, defining value proposition, core capabilities and roadmap with C-suite stakeholders; the suite remains on SAP’s price list at £1.5M per licence.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Partnered with data scientists on machine-learning models analysing user behaviour and engagement, designing how predictive outputs integrated into the marketer’s workflow.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Contributed components and patterns to the SAP design system, improving consistency across a complex enterprise tool suite and supporting ongoing adoption.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Grew from sole designer to leading a distributed team across the UK, Poland and Germany spanning design, research and engineering; mentored a direct report into a department head role.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BoSH AI MVP at SAP Labs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Led end-to-end UX for BoSH, a cloud-based AI MVP that detected, diagnosed and autonomously resolved enterprise operational issues; designed explainability patterns showing what the AI detected, why it recommended action, and where human approval was required.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Shipped the MVP from inception to delivery inside a six-month build window, then iterated through a three-month testing cycle with operational users to reduce ambiguity and lift trust in AI-driven decisions.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UX Lead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Cigna Insurance Services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London,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Dec 2013 – Apr 2014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Architected a new customer journey for travel insurance across responsive web and iOS, delivering within a four-month timeframe and doubling customer satisfaction at launch.</w:t>
      </w:r>
    </w:p>
    <w:p>
      <w:pPr>
        <w:spacing w:after="50" w:before="20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Product Designer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TripAdvisor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Oxford, UK</w:t>
      </w:r>
      <w:r>
        <w:rPr>
          <w:rFonts w:ascii="Georgia" w:cs="Georgia" w:eastAsia="Georgia" w:hAnsi="Georgia"/>
          <w:b/>
          <w:bCs/>
          <w:color w:val="F97316"/>
          <w:sz w:val="20"/>
          <w:szCs w:val="20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Jun 2013 – Nov 2013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◦  Partnered with the product team to redesign the TripAdvisor website into a modern, fully responsive platform; ran research and usability testing that measurably improved engagement and usability at launch.</w:t>
      </w:r>
    </w:p>
    <w:p>
      <w:pPr>
        <w:pBdr>
          <w:bottom w:val="single" w:color="AAAAAA" w:sz="4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1A1A1A"/>
          <w:spacing w:val="60"/>
          <w:sz w:val="20"/>
          <w:szCs w:val="20"/>
        </w:rPr>
        <w:t xml:space="preserve">EDUCATION &amp; QUALIFICATIONS</w:t>
      </w:r>
    </w:p>
    <w:p>
      <w:pPr>
        <w:spacing w:after="10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Tools &amp; Systems: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Figma, Sketch, Adobe Creative Suite, Axure, design system tokens and component libraries, AR prototyping, iOS and Android delivery, AWS-based product environments, conversational and voice UX patterns, Jobs to Be Done, Scrum, WCAG accessibility standards.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BA Graphic Design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Reading College of Art and Design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2003 Brand Experience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Generative AI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What Is Generative AI?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LinkedIn Learning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Generative AI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The Evolution of Thoughtful Online Search Communication for Product Managers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LinkedIn Learning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SAP Design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Thinking and Challenge Management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SAP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UX Foundations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Accessibility, Research &amp; Content Strategy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LinkedIn Learning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Interaction Design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Interface; Design Thinking: Understanding &amp; Implementing the Process</w:t>
      </w:r>
      <w:r>
        <w:rPr>
          <w:rFonts w:ascii="Georgia" w:cs="Georgia" w:eastAsia="Georgia" w:hAnsi="Georgia"/>
          <w:color w:val="F97316"/>
          <w:sz w:val="19"/>
          <w:szCs w:val="19"/>
        </w:rPr>
        <w:t xml:space="preserve"> | </w:t>
      </w: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LinkedIn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2026-08-13T20:24:34.320Z</dcterms:created>
  <dcterms:modified xsi:type="dcterms:W3CDTF">2026-08-13T20:24:34.320Z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