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300"/>
              <w:left w:type="dxa" w:w="360"/>
              <w:bottom w:type="dxa" w:w="300"/>
              <w:right w:type="dxa" w:w="360"/>
            </w:tcMar>
          </w:tcPr>
          <w:p>
            <w:pPr>
              <w:jc w:val="center"/>
            </w:pPr>
            <w:r>
              <w:rPr>
                <w:rFonts w:ascii="Arial" w:cs="Arial" w:eastAsia="Arial" w:hAnsi="Arial"/>
                <w:b/>
                <w:bCs/>
                <w:color w:val="FFFFFF"/>
                <w:sz w:val="36"/>
                <w:szCs w:val="36"/>
              </w:rPr>
              <w:t xml:space="preserve">Executive KPI</w:t>
            </w:r>
          </w:p>
          <w:p>
            <w:pPr>
              <w:spacing w:before="80"/>
              <w:jc w:val="center"/>
            </w:pPr>
            <w:r>
              <w:rPr>
                <w:rFonts w:ascii="Arial" w:cs="Arial" w:eastAsia="Arial" w:hAnsi="Arial"/>
                <w:i/>
                <w:iCs/>
                <w:color w:val="9DC3E6"/>
                <w:sz w:val="22"/>
                <w:szCs w:val="22"/>
              </w:rPr>
              <w:t xml:space="preserve">Dashboard Summary  —  Quikkred</w:t>
            </w:r>
          </w:p>
        </w:tc>
      </w:tr>
    </w:tbl>
    <w:p>
      <w:pPr>
        <w:spacing w:before="80" w:after="80"/>
      </w:pPr>
      <w:r>
        <w:t xml:space="preserve"/>
      </w:r>
    </w:p>
    <w:p>
      <w:pPr>
        <w:pStyle w:val="Heading1"/>
        <w:spacing w:before="160" w:after="100"/>
      </w:pPr>
      <w:r>
        <w:rPr>
          <w:rFonts w:ascii="Arial" w:cs="Arial" w:eastAsia="Arial" w:hAnsi="Arial"/>
          <w:b/>
          <w:bCs/>
          <w:color w:val="1B3A5C"/>
          <w:sz w:val="30"/>
          <w:szCs w:val="30"/>
        </w:rPr>
        <w:t xml:space="preserve">Dashboard Overview</w:t>
      </w:r>
    </w:p>
    <w:p>
      <w:pPr>
        <w:spacing w:before="80" w:after="80"/>
      </w:pPr>
      <w:r>
        <w:rPr>
          <w:rFonts w:ascii="Arial" w:cs="Arial" w:eastAsia="Arial" w:hAnsi="Arial"/>
          <w:sz w:val="22"/>
          <w:szCs w:val="22"/>
        </w:rPr>
        <w:t xml:space="preserve">The Executive KPI dashboard is Quikkred’s top-level management cockpit — a single-screen summary of the most important business metrics across disbursement, collections, portfolio health, customer acquisition, API service reliability, and revenue. Designed for leadership and senior management, it consolidates signals from across the entire platform into one view, enabling fast, informed decisions without requiring drill-down into operational dashboards.</w:t>
      </w:r>
    </w:p>
    <w:p>
      <w:pPr>
        <w:spacing w:before="80" w:after="80"/>
      </w:pPr>
      <w:r>
        <w:t xml:space="preserve"/>
      </w:r>
    </w:p>
    <w:p>
      <w:pPr>
        <w:pBdr>
          <w:bottom w:val="single" w:color="2E75B6" w:sz="4" w:space="1"/>
        </w:pBdr>
        <w:spacing w:before="120" w:after="120"/>
      </w:pPr>
      <w:r>
        <w:t xml:space="preserve"/>
      </w:r>
    </w:p>
    <w:p>
      <w:pPr>
        <w:pStyle w:val="Heading1"/>
        <w:spacing w:before="200" w:after="100"/>
      </w:pPr>
      <w:r>
        <w:rPr>
          <w:rFonts w:ascii="Arial" w:cs="Arial" w:eastAsia="Arial" w:hAnsi="Arial"/>
          <w:b/>
          <w:bCs/>
          <w:color w:val="1B3A5C"/>
          <w:sz w:val="30"/>
          <w:szCs w:val="30"/>
        </w:rPr>
        <w:t xml:space="preserve">Tab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1</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Executive KPI</w:t>
            </w:r>
          </w:p>
        </w:tc>
      </w:tr>
    </w:tbl>
    <w:p>
      <w:pPr>
        <w:spacing w:before="80" w:after="80"/>
      </w:pPr>
      <w:r>
        <w:t xml:space="preserve"/>
      </w:r>
    </w:p>
    <w:p>
      <w:pPr>
        <w:spacing w:before="80" w:after="80"/>
      </w:pPr>
      <w:r>
        <w:rPr>
          <w:rFonts w:ascii="Arial" w:cs="Arial" w:eastAsia="Arial" w:hAnsi="Arial"/>
          <w:b/>
          <w:bCs/>
          <w:sz w:val="22"/>
          <w:szCs w:val="22"/>
        </w:rPr>
        <w:t xml:space="preserve">Headline KPIs (March 2026 snapshot):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1"/>
                <w:szCs w:val="21"/>
              </w:rPr>
              <w:t xml:space="preserve">Total AUM</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₹15,130,695.00</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1"/>
                <w:szCs w:val="21"/>
              </w:rPr>
              <w:t xml:space="preserve">Total Outstanding</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₹7,151,675.50</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1"/>
                <w:szCs w:val="21"/>
              </w:rPr>
              <w:t xml:space="preserve">Collection Efficiency (This Month)</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59.23%</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1"/>
                <w:szCs w:val="21"/>
              </w:rPr>
              <w:t xml:space="preserve">NPA Percentage</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0%</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1"/>
                <w:szCs w:val="21"/>
              </w:rPr>
              <w:t xml:space="preserve">Total Active Loans</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406</w:t>
            </w:r>
          </w:p>
        </w:tc>
      </w:tr>
    </w:tbl>
    <w:p>
      <w:pPr>
        <w:spacing w:before="80" w:after="80"/>
      </w:pPr>
      <w:r>
        <w:t xml:space="preserve"/>
      </w:r>
    </w:p>
    <w:p>
      <w:pPr>
        <w:spacing w:before="80" w:after="80"/>
      </w:pPr>
      <w:r>
        <w:rPr>
          <w:rFonts w:ascii="Arial" w:cs="Arial" w:eastAsia="Arial" w:hAnsi="Arial"/>
          <w:sz w:val="22"/>
          <w:szCs w:val="22"/>
        </w:rPr>
        <w:t xml:space="preserve">Monthly Disbursement Trend shows January 2026 at ₹5.1M (450 loans) growing to ₹8.3M (732 loans) in February 2026 — a 63% increase in disbursed amount month-on-month.</w:t>
      </w:r>
    </w:p>
    <w:p>
      <w:pPr>
        <w:spacing w:before="80" w:after="80"/>
      </w:pPr>
      <w:r>
        <w:t xml:space="preserve"/>
      </w:r>
    </w:p>
    <w:p>
      <w:pPr>
        <w:spacing w:before="80" w:after="80"/>
      </w:pPr>
      <w:r>
        <w:rPr>
          <w:rFonts w:ascii="Arial" w:cs="Arial" w:eastAsia="Arial" w:hAnsi="Arial"/>
          <w:sz w:val="22"/>
          <w:szCs w:val="22"/>
        </w:rPr>
        <w:t xml:space="preserve">Monthly Collection Trend shows collections rising from ₹1.4M in January to ₹6.5M in February, before pulling back to ₹3.1M in March (partial month). February was the strongest collection month to date.</w:t>
      </w:r>
    </w:p>
    <w:p>
      <w:pPr>
        <w:spacing w:before="80" w:after="80"/>
      </w:pPr>
      <w:r>
        <w:t xml:space="preserve"/>
      </w:r>
    </w:p>
    <w:p>
      <w:pPr>
        <w:spacing w:before="80" w:after="80"/>
      </w:pPr>
      <w:r>
        <w:rPr>
          <w:rFonts w:ascii="Arial" w:cs="Arial" w:eastAsia="Arial" w:hAnsi="Arial"/>
          <w:sz w:val="22"/>
          <w:szCs w:val="22"/>
        </w:rPr>
        <w:t xml:space="preserve">Customer Acquisition Trend shows rapid growth from 16 new customers in December 2025 to 6,932 in January and peaking at 18,644 in February, before sharply dropping to 382 in March — indicating a campaign-driven surge that has not yet been sustained organically.</w:t>
      </w:r>
    </w:p>
    <w:p>
      <w:pPr>
        <w:spacing w:before="80" w:after="80"/>
      </w:pPr>
      <w:r>
        <w:t xml:space="preserve"/>
      </w:r>
    </w:p>
    <w:p>
      <w:pPr>
        <w:spacing w:before="80" w:after="80"/>
      </w:pPr>
      <w:r>
        <w:rPr>
          <w:rFonts w:ascii="Arial" w:cs="Arial" w:eastAsia="Arial" w:hAnsi="Arial"/>
          <w:sz w:val="22"/>
          <w:szCs w:val="22"/>
        </w:rPr>
        <w:t xml:space="preserve">DPD Bucket Distribution confirms the portfolio stress picture: 103 current loans (₹1.7M), 177 loans in DPD 1–30 (₹3.0M), and 126 loans in DPD 31–60 (₹2.4M). Loan Status Distribution across 1,182 total loans: 65.65% Closed, 25.72% Overdue, 8.63% Active.</w:t>
      </w:r>
    </w:p>
    <w:p>
      <w:pPr>
        <w:spacing w:before="80" w:after="80"/>
      </w:pPr>
      <w:r>
        <w:t xml:space="preserve"/>
      </w:r>
    </w:p>
    <w:p>
      <w:pPr>
        <w:spacing w:before="80" w:after="80"/>
      </w:pPr>
      <w:r>
        <w:rPr>
          <w:rFonts w:ascii="Arial" w:cs="Arial" w:eastAsia="Arial" w:hAnsi="Arial"/>
          <w:sz w:val="22"/>
          <w:szCs w:val="22"/>
        </w:rPr>
        <w:t xml:space="preserve">Revenue Breakdown by Month shows total collected amounts growing from ₹1.4M (98 payments) in January to ₹6.5M (483 payments) in February, with March at ₹3.1M (223 payments) mid-month. Principal allocation is the dominant revenue component; late charge allocation remains minimal.</w:t>
      </w:r>
    </w:p>
    <w:p>
      <w:pPr>
        <w:spacing w:before="80" w:after="80"/>
      </w:pPr>
      <w:r>
        <w:t xml:space="preserve"/>
      </w:r>
    </w:p>
    <w:p>
      <w:pPr>
        <w:spacing w:before="80" w:after="80"/>
      </w:pPr>
      <w:r>
        <w:rPr>
          <w:rFonts w:ascii="Arial" w:cs="Arial" w:eastAsia="Arial" w:hAnsi="Arial"/>
          <w:sz w:val="22"/>
          <w:szCs w:val="22"/>
        </w:rPr>
        <w:t xml:space="preserve">Application Pipeline Funnel is currently loading (spinner shown in export) — data not yet available in this snapshot. Applications This Month, Applications Previous Month, and MoM Application Growth panels are also loading.</w:t>
      </w:r>
    </w:p>
    <w:p>
      <w:pPr>
        <w:spacing w:before="80" w:after="80"/>
      </w:pPr>
      <w:r>
        <w:t xml:space="preserve"/>
      </w:r>
    </w:p>
    <w:p>
      <w:pPr>
        <w:spacing w:before="80" w:after="80"/>
      </w:pPr>
      <w:r>
        <w:rPr>
          <w:rFonts w:ascii="Arial" w:cs="Arial" w:eastAsia="Arial" w:hAnsi="Arial"/>
          <w:sz w:val="22"/>
          <w:szCs w:val="22"/>
        </w:rPr>
        <w:t xml:space="preserve">Key Alerts Table tracks the success and failure rates of all KYC and verification API services. PAN Verification: 31,410 calls, 98.62% success. Aadhaar Verification: 26,022 calls, 99.33% success. Bank Account Verification: 12,643 calls, 100% success. Face Liveness: 6,948 calls, 100% success. Credit Bureau: 21,529 calls — only 22.9% success rate, 77.09% failure (16,598 failed calls). CREATE_LIVENESS_SESSION: 13 calls, 92.3% failure rate (12 failed) — a secondary liveness issue to investigate.</w:t>
      </w:r>
    </w:p>
    <w:p>
      <w:pPr>
        <w:spacing w:before="80" w:after="80"/>
      </w:pPr>
      <w:r>
        <w:t xml:space="preserve"/>
      </w:r>
    </w:p>
    <w:p>
      <w:pPr>
        <w:pBdr>
          <w:bottom w:val="single" w:color="2E75B6" w:sz="4" w:space="1"/>
        </w:pBdr>
        <w:spacing w:before="120" w:after="120"/>
      </w:pPr>
      <w:r>
        <w:t xml:space="preserve"/>
      </w:r>
    </w:p>
    <w:p>
      <w:pPr>
        <w:pStyle w:val="Heading1"/>
        <w:spacing w:before="200" w:after="120"/>
      </w:pPr>
      <w:r>
        <w:rPr>
          <w:rFonts w:ascii="Arial" w:cs="Arial" w:eastAsia="Arial" w:hAnsi="Arial"/>
          <w:b/>
          <w:bCs/>
          <w:color w:val="1B3A5C"/>
          <w:sz w:val="30"/>
          <w:szCs w:val="30"/>
        </w:rPr>
        <w:t xml:space="preserve">How This Dashboard Helps Operations</w:t>
      </w:r>
    </w:p>
    <w:p>
      <w:pPr>
        <w:pStyle w:val="ListParagraph"/>
        <w:numPr>
          <w:ilvl w:val="0"/>
          <w:numId w:val="2"/>
        </w:numPr>
        <w:spacing w:before="60" w:after="60"/>
      </w:pPr>
      <w:r>
        <w:rPr>
          <w:rFonts w:ascii="Arial" w:cs="Arial" w:eastAsia="Arial" w:hAnsi="Arial"/>
          <w:sz w:val="21"/>
          <w:szCs w:val="21"/>
        </w:rPr>
        <w:t xml:space="preserve">The Executive KPI tab gives senior management a single daily read of the business: ₹15.1M AUM, 59.23% collection efficiency, 0% NPA, and 406 active loans — no need to pull multiple reports.</w:t>
      </w:r>
    </w:p>
    <w:p>
      <w:pPr>
        <w:pStyle w:val="ListParagraph"/>
        <w:numPr>
          <w:ilvl w:val="0"/>
          <w:numId w:val="2"/>
        </w:numPr>
        <w:spacing w:before="60" w:after="60"/>
      </w:pPr>
      <w:r>
        <w:rPr>
          <w:rFonts w:ascii="Arial" w:cs="Arial" w:eastAsia="Arial" w:hAnsi="Arial"/>
          <w:sz w:val="21"/>
          <w:szCs w:val="21"/>
        </w:rPr>
        <w:t xml:space="preserve">The 0% NPA is a strong positive signal — no loans have been classified as non-performing assets, which is important for regulatory compliance and investor reporting.</w:t>
      </w:r>
    </w:p>
    <w:p>
      <w:pPr>
        <w:pStyle w:val="ListParagraph"/>
        <w:numPr>
          <w:ilvl w:val="0"/>
          <w:numId w:val="2"/>
        </w:numPr>
        <w:spacing w:before="60" w:after="60"/>
      </w:pPr>
      <w:r>
        <w:rPr>
          <w:rFonts w:ascii="Arial" w:cs="Arial" w:eastAsia="Arial" w:hAnsi="Arial"/>
          <w:sz w:val="21"/>
          <w:szCs w:val="21"/>
        </w:rPr>
        <w:t xml:space="preserve">Collection efficiency at 59.23% against a target that would typically be 80–85%+ indicates the business is collecting less than two-thirds of what is due this month, which management can use to set recovery targets and hold the collections team accountable.</w:t>
      </w:r>
    </w:p>
    <w:p>
      <w:pPr>
        <w:pStyle w:val="ListParagraph"/>
        <w:numPr>
          <w:ilvl w:val="0"/>
          <w:numId w:val="2"/>
        </w:numPr>
        <w:spacing w:before="60" w:after="60"/>
      </w:pPr>
      <w:r>
        <w:rPr>
          <w:rFonts w:ascii="Arial" w:cs="Arial" w:eastAsia="Arial" w:hAnsi="Arial"/>
          <w:sz w:val="21"/>
          <w:szCs w:val="21"/>
        </w:rPr>
        <w:t xml:space="preserve">The Credit Bureau API failure rate of 77.09% appearing in the Key Alerts Table is a direct blocker to loan approvals and risk assessment — this is the most critical technical alert on the entire platform and requires immediate tech team escalation.</w:t>
      </w:r>
    </w:p>
    <w:p>
      <w:pPr>
        <w:pStyle w:val="ListParagraph"/>
        <w:numPr>
          <w:ilvl w:val="0"/>
          <w:numId w:val="2"/>
        </w:numPr>
        <w:spacing w:before="60" w:after="60"/>
      </w:pPr>
      <w:r>
        <w:rPr>
          <w:rFonts w:ascii="Arial" w:cs="Arial" w:eastAsia="Arial" w:hAnsi="Arial"/>
          <w:sz w:val="21"/>
          <w:szCs w:val="21"/>
        </w:rPr>
        <w:t xml:space="preserve">The February disbursement peak (₹8.3M, 732 loans) followed by a collections lag in March shows the portfolio is expanding faster than collections are scaling — a pattern that, if unchecked, will increase outstanding balances and DPD.</w:t>
      </w:r>
    </w:p>
    <w:p>
      <w:pPr>
        <w:pStyle w:val="ListParagraph"/>
        <w:numPr>
          <w:ilvl w:val="0"/>
          <w:numId w:val="2"/>
        </w:numPr>
        <w:spacing w:before="60" w:after="60"/>
      </w:pPr>
      <w:r>
        <w:rPr>
          <w:rFonts w:ascii="Arial" w:cs="Arial" w:eastAsia="Arial" w:hAnsi="Arial"/>
          <w:sz w:val="21"/>
          <w:szCs w:val="21"/>
        </w:rPr>
        <w:t xml:space="preserve">Customer acquisition dropping from 18,644 in February to 382 in March signals that growth is not self-sustaining. Leadership can use this to evaluate marketing strategy and decide whether to re-activate acquisition campaigns.</w:t>
      </w:r>
    </w:p>
    <w:p>
      <w:pPr>
        <w:pStyle w:val="ListParagraph"/>
        <w:numPr>
          <w:ilvl w:val="0"/>
          <w:numId w:val="2"/>
        </w:numPr>
        <w:spacing w:before="60" w:after="60"/>
      </w:pPr>
      <w:r>
        <w:rPr>
          <w:rFonts w:ascii="Arial" w:cs="Arial" w:eastAsia="Arial" w:hAnsi="Arial"/>
          <w:sz w:val="21"/>
          <w:szCs w:val="21"/>
        </w:rPr>
        <w:t xml:space="preserve">The DPD distribution (177 loans in 1–30 DPD, 126 in 31–60 DPD) alongside the 25.72% overdue loan share gives the board a concise risk summary without needing to open the Advanced Risk dashboard.</w:t>
      </w:r>
    </w:p>
    <w:p>
      <w:pPr>
        <w:pStyle w:val="ListParagraph"/>
        <w:numPr>
          <w:ilvl w:val="0"/>
          <w:numId w:val="2"/>
        </w:numPr>
        <w:spacing w:before="60" w:after="60"/>
      </w:pPr>
      <w:r>
        <w:rPr>
          <w:rFonts w:ascii="Arial" w:cs="Arial" w:eastAsia="Arial" w:hAnsi="Arial"/>
          <w:sz w:val="21"/>
          <w:szCs w:val="21"/>
        </w:rPr>
        <w:t xml:space="preserve">Revenue allocation data confirms the business is primarily recovering principal, with interest and late charge recovery still minimal — a signal that pricing and penalty enforcement strategies need strengthening.</w:t>
      </w:r>
    </w:p>
    <w:p>
      <w:pPr>
        <w:spacing w:before="80" w:after="80"/>
      </w:pPr>
      <w:r>
        <w:t xml:space="preserve"/>
      </w:r>
    </w:p>
    <w:p>
      <w:pPr>
        <w:pBdr>
          <w:bottom w:val="single" w:color="2E75B6" w:sz="4" w:space="1"/>
        </w:pBdr>
        <w:spacing w:before="120" w:after="120"/>
      </w:pPr>
      <w:r>
        <w:t xml:space="preserve"/>
      </w:r>
    </w:p>
    <w:p>
      <w:pPr>
        <w:spacing w:before="120" w:after="60"/>
        <w:jc w:val="center"/>
      </w:pPr>
      <w:r>
        <w:rPr>
          <w:rFonts w:ascii="Arial" w:cs="Arial" w:eastAsia="Arial" w:hAnsi="Arial"/>
          <w:i/>
          <w:iCs/>
          <w:color w:val="AAAAAA"/>
          <w:sz w:val="18"/>
          <w:szCs w:val="18"/>
        </w:rPr>
        <w:t xml:space="preserve">Document prepared by the Technology Team  —  March 2026</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7"/>
        <w:szCs w:val="17"/>
      </w:rPr>
      <w:t xml:space="preserve">Executive KPI Dashboard  |  Quikkred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B3A5C"/>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2026-03-21T05:29:23.447Z</dcterms:created>
  <dcterms:modified xsi:type="dcterms:W3CDTF">2026-03-21T05:29:23.448Z</dcterms:modified>
</cp:coreProperties>
</file>

<file path=docProps/custom.xml><?xml version="1.0" encoding="utf-8"?>
<Properties xmlns="http://schemas.openxmlformats.org/officeDocument/2006/custom-properties" xmlns:vt="http://schemas.openxmlformats.org/officeDocument/2006/docPropsVTypes"/>
</file>