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300"/>
              <w:left w:type="dxa" w:w="360"/>
              <w:bottom w:type="dxa" w:w="300"/>
              <w:right w:type="dxa" w:w="360"/>
            </w:tcMar>
          </w:tcPr>
          <w:p>
            <w:pPr>
              <w:jc w:val="center"/>
            </w:pPr>
            <w:r>
              <w:rPr>
                <w:rFonts w:ascii="Arial" w:cs="Arial" w:eastAsia="Arial" w:hAnsi="Arial"/>
                <w:b/>
                <w:bCs/>
                <w:color w:val="FFFFFF"/>
                <w:sz w:val="36"/>
                <w:szCs w:val="36"/>
              </w:rPr>
              <w:t xml:space="preserve">Behavioral Intelligence &amp; Time Pattern Analytics</w:t>
            </w:r>
          </w:p>
          <w:p>
            <w:pPr>
              <w:spacing w:before="80"/>
              <w:jc w:val="center"/>
            </w:pPr>
            <w:r>
              <w:rPr>
                <w:rFonts w:ascii="Arial" w:cs="Arial" w:eastAsia="Arial" w:hAnsi="Arial"/>
                <w:i/>
                <w:iCs/>
                <w:color w:val="9DC3E6"/>
                <w:sz w:val="22"/>
                <w:szCs w:val="22"/>
              </w:rPr>
              <w:t xml:space="preserve">Dashboard Summary  —  Quikkred</w:t>
            </w:r>
          </w:p>
        </w:tc>
      </w:tr>
    </w:tbl>
    <w:p>
      <w:pPr>
        <w:spacing w:before="80" w:after="80"/>
      </w:pPr>
      <w:r>
        <w:t xml:space="preserve"/>
      </w:r>
    </w:p>
    <w:p>
      <w:pPr>
        <w:pStyle w:val="Heading1"/>
        <w:spacing w:before="160" w:after="100"/>
      </w:pPr>
      <w:r>
        <w:rPr>
          <w:rFonts w:ascii="Arial" w:cs="Arial" w:eastAsia="Arial" w:hAnsi="Arial"/>
          <w:b/>
          <w:bCs/>
          <w:color w:val="1B3A5C"/>
          <w:sz w:val="30"/>
          <w:szCs w:val="30"/>
        </w:rPr>
        <w:t xml:space="preserve">Dashboard Overview</w:t>
      </w:r>
    </w:p>
    <w:p>
      <w:pPr>
        <w:spacing w:before="80" w:after="80"/>
      </w:pPr>
      <w:r>
        <w:rPr>
          <w:rFonts w:ascii="Arial" w:cs="Arial" w:eastAsia="Arial" w:hAnsi="Arial"/>
          <w:sz w:val="22"/>
          <w:szCs w:val="22"/>
        </w:rPr>
        <w:t xml:space="preserve">The Behavioral Intelligence &amp; Time Pattern Analytics dashboard is Quikkred’s intelligence layer for understanding when borrowers apply, when they pay, how they behave during the application journey, how AI-driven calls are performing, and how effective payment link campaigns are. Built on five focused tabs, this dashboard helps operations, collections, and growth teams make smarter timing and channel decisions — replacing guesswork with real behavioral data.</w:t>
      </w:r>
    </w:p>
    <w:p>
      <w:pPr>
        <w:spacing w:before="80" w:after="80"/>
      </w:pPr>
      <w:r>
        <w:t xml:space="preserve"/>
      </w:r>
    </w:p>
    <w:p>
      <w:pPr>
        <w:pBdr>
          <w:bottom w:val="single" w:color="2E75B6" w:sz="4" w:space="1"/>
        </w:pBdr>
        <w:spacing w:before="120" w:after="120"/>
      </w:pPr>
      <w:r>
        <w:t xml:space="preserve"/>
      </w:r>
    </w:p>
    <w:p>
      <w:pPr>
        <w:pStyle w:val="Heading1"/>
        <w:spacing w:before="200" w:after="100"/>
      </w:pPr>
      <w:r>
        <w:rPr>
          <w:rFonts w:ascii="Arial" w:cs="Arial" w:eastAsia="Arial" w:hAnsi="Arial"/>
          <w:b/>
          <w:bCs/>
          <w:color w:val="1B3A5C"/>
          <w:sz w:val="30"/>
          <w:szCs w:val="30"/>
        </w:rPr>
        <w:t xml:space="preserve">Tab Summaries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1</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Payment Time Intelligence</w:t>
            </w:r>
          </w:p>
        </w:tc>
      </w:tr>
    </w:tbl>
    <w:p>
      <w:pPr>
        <w:spacing w:before="80" w:after="80"/>
      </w:pPr>
      <w:r>
        <w:t xml:space="preserve"/>
      </w:r>
    </w:p>
    <w:p>
      <w:pPr>
        <w:spacing w:before="80" w:after="80"/>
      </w:pPr>
      <w:r>
        <w:rPr>
          <w:rFonts w:ascii="Arial" w:cs="Arial" w:eastAsia="Arial" w:hAnsi="Arial"/>
          <w:sz w:val="22"/>
          <w:szCs w:val="22"/>
        </w:rPr>
        <w:t xml:space="preserve">Tracks when borrowers make payments across the week and day. Charts include Day-of-Week Payment Pattern (Wednesday leads with 157 payments, ₹2.2M total), Payment Mode vs Time-of-Day (night window 00–06 records the highest volume at ₹3.8M), Hour-of-Day Pattern showing a sharp spike at 05:00 IST (₹3.6M), and a Reminder Effectiveness chart showing that on-due-date reminders drive the highest payments (215 transactions, ₹3.3M).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2</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Application Time Intelligence</w:t>
            </w:r>
          </w:p>
        </w:tc>
      </w:tr>
    </w:tbl>
    <w:p>
      <w:pPr>
        <w:spacing w:before="80" w:after="80"/>
      </w:pPr>
      <w:r>
        <w:t xml:space="preserve"/>
      </w:r>
    </w:p>
    <w:p>
      <w:pPr>
        <w:spacing w:before="80" w:after="80"/>
      </w:pPr>
      <w:r>
        <w:rPr>
          <w:rFonts w:ascii="Arial" w:cs="Arial" w:eastAsia="Arial" w:hAnsi="Arial"/>
          <w:sz w:val="22"/>
          <w:szCs w:val="22"/>
        </w:rPr>
        <w:t xml:space="preserve">Reveals when loan applications arrive and convert. Includes a Day-of-Week Application Pattern (Tuesday peaks at 3,000 applications), Day-of-Week Conversion Rate chart (Sunday has the highest conversion rate at 66.53% despite lower volume), and an Hour-of-Day Application Pattern showing peak inflow at 11:00 IST (1.1k applications). A Day+Hour heatmap also exists but was unavailable in the export.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3</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Conversion Behavioral Intelligence</w:t>
            </w:r>
          </w:p>
        </w:tc>
      </w:tr>
    </w:tbl>
    <w:p>
      <w:pPr>
        <w:spacing w:before="80" w:after="80"/>
      </w:pPr>
      <w:r>
        <w:t xml:space="preserve"/>
      </w:r>
    </w:p>
    <w:p>
      <w:pPr>
        <w:spacing w:before="80" w:after="80"/>
      </w:pPr>
      <w:r>
        <w:rPr>
          <w:rFonts w:ascii="Arial" w:cs="Arial" w:eastAsia="Arial" w:hAnsi="Arial"/>
          <w:sz w:val="22"/>
          <w:szCs w:val="22"/>
        </w:rPr>
        <w:t xml:space="preserve">Analyses what happens between a user landing on the app and completing a loan application. Shows the KYC Step Completion Funnel (28,469 started; near-zero completions beyond step 1 — a key drop-off signal), a Converted vs Abandoned Time Comparison (abandoned users average 10.5 mins; converted users average 32.1 mins), a Time-Spent Histogram (most abandonment happens under 5 minutes), and a Landing Page Conversion table showing /apply/quick-v2 converts at 2.19% vs 0.01% for /apply/quick).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4</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AI Call Optimisation</w:t>
            </w:r>
          </w:p>
        </w:tc>
      </w:tr>
    </w:tbl>
    <w:p>
      <w:pPr>
        <w:spacing w:before="80" w:after="80"/>
      </w:pPr>
      <w:r>
        <w:t xml:space="preserve"/>
      </w:r>
    </w:p>
    <w:p>
      <w:pPr>
        <w:spacing w:before="80" w:after="80"/>
      </w:pPr>
      <w:r>
        <w:rPr>
          <w:rFonts w:ascii="Arial" w:cs="Arial" w:eastAsia="Arial" w:hAnsi="Arial"/>
          <w:sz w:val="22"/>
          <w:szCs w:val="22"/>
        </w:rPr>
        <w:t xml:space="preserve">Measures the performance of AI-driven outbound calls used for collections and reminders. AI Call Answer Rate by Hour shows call activity picks up from 14:00 IST, peaking at 21:00 (1.1k calls). AI Call Effectiveness by DPD Category shows Soft Reminder calls have the highest volume (4.3k calls, highest avg duration), followed by Professional category (2.9k calls). An AI Call to Payment Correlation section exists but currently shows no data.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5</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Payment Link Intelligence</w:t>
            </w:r>
          </w:p>
        </w:tc>
      </w:tr>
    </w:tbl>
    <w:p>
      <w:pPr>
        <w:spacing w:before="80" w:after="80"/>
      </w:pPr>
      <w:r>
        <w:t xml:space="preserve"/>
      </w:r>
    </w:p>
    <w:p>
      <w:pPr>
        <w:spacing w:before="80" w:after="80"/>
      </w:pPr>
      <w:r>
        <w:rPr>
          <w:rFonts w:ascii="Arial" w:cs="Arial" w:eastAsia="Arial" w:hAnsi="Arial"/>
          <w:sz w:val="22"/>
          <w:szCs w:val="22"/>
        </w:rPr>
        <w:t xml:space="preserve">Tracks performance of payment links sent across channels. Payment Link Conversion by Source shows email and SMS each sending 7.5k links with a 7.1% failure rate; WhatsApp shows the lowest failure at 0.2% from 5 links. The Time-to-Payment Distribution reveals most payments happen in the 3–7 day window after link delivery (74 payments, ₹1.1M), with 57 payments within the first hour (₹942.9k total).</w:t>
      </w:r>
    </w:p>
    <w:p>
      <w:pPr>
        <w:spacing w:before="80" w:after="80"/>
      </w:pPr>
      <w:r>
        <w:t xml:space="preserve"/>
      </w:r>
    </w:p>
    <w:p>
      <w:pPr>
        <w:pBdr>
          <w:bottom w:val="single" w:color="2E75B6" w:sz="4" w:space="1"/>
        </w:pBdr>
        <w:spacing w:before="120" w:after="120"/>
      </w:pPr>
      <w:r>
        <w:t xml:space="preserve"/>
      </w:r>
    </w:p>
    <w:p>
      <w:pPr>
        <w:pStyle w:val="Heading1"/>
        <w:spacing w:before="200" w:after="120"/>
      </w:pPr>
      <w:r>
        <w:rPr>
          <w:rFonts w:ascii="Arial" w:cs="Arial" w:eastAsia="Arial" w:hAnsi="Arial"/>
          <w:b/>
          <w:bCs/>
          <w:color w:val="1B3A5C"/>
          <w:sz w:val="30"/>
          <w:szCs w:val="30"/>
        </w:rPr>
        <w:t xml:space="preserve">How This Dashboard Helps Operations</w:t>
      </w:r>
    </w:p>
    <w:p>
      <w:pPr>
        <w:pStyle w:val="ListParagraph"/>
        <w:numPr>
          <w:ilvl w:val="0"/>
          <w:numId w:val="2"/>
        </w:numPr>
        <w:spacing w:before="60" w:after="60"/>
      </w:pPr>
      <w:r>
        <w:rPr>
          <w:rFonts w:ascii="Arial" w:cs="Arial" w:eastAsia="Arial" w:hAnsi="Arial"/>
          <w:sz w:val="21"/>
          <w:szCs w:val="21"/>
        </w:rPr>
        <w:t xml:space="preserve">Collections teams can schedule reminder calls and payment link campaigns during peak response windows — the data shows 05:00 IST and midday are when payments are most likely to land.</w:t>
      </w:r>
    </w:p>
    <w:p>
      <w:pPr>
        <w:pStyle w:val="ListParagraph"/>
        <w:numPr>
          <w:ilvl w:val="0"/>
          <w:numId w:val="2"/>
        </w:numPr>
        <w:spacing w:before="60" w:after="60"/>
      </w:pPr>
      <w:r>
        <w:rPr>
          <w:rFonts w:ascii="Arial" w:cs="Arial" w:eastAsia="Arial" w:hAnsi="Arial"/>
          <w:sz w:val="21"/>
          <w:szCs w:val="21"/>
        </w:rPr>
        <w:t xml:space="preserve">The AI Call Optimisation tab tells the team which hours have the highest answer rates (post-14:00 IST) so automated calling campaigns can be timed for maximum pick-up.</w:t>
      </w:r>
    </w:p>
    <w:p>
      <w:pPr>
        <w:pStyle w:val="ListParagraph"/>
        <w:numPr>
          <w:ilvl w:val="0"/>
          <w:numId w:val="2"/>
        </w:numPr>
        <w:spacing w:before="60" w:after="60"/>
      </w:pPr>
      <w:r>
        <w:rPr>
          <w:rFonts w:ascii="Arial" w:cs="Arial" w:eastAsia="Arial" w:hAnsi="Arial"/>
          <w:sz w:val="21"/>
          <w:szCs w:val="21"/>
        </w:rPr>
        <w:t xml:space="preserve">The Conversion Behavioral Intelligence tab pinpoints exactly where users drop off in the KYC funnel, enabling the product and ops team to fix friction points and improve application completion rates.</w:t>
      </w:r>
    </w:p>
    <w:p>
      <w:pPr>
        <w:pStyle w:val="ListParagraph"/>
        <w:numPr>
          <w:ilvl w:val="0"/>
          <w:numId w:val="2"/>
        </w:numPr>
        <w:spacing w:before="60" w:after="60"/>
      </w:pPr>
      <w:r>
        <w:rPr>
          <w:rFonts w:ascii="Arial" w:cs="Arial" w:eastAsia="Arial" w:hAnsi="Arial"/>
          <w:sz w:val="21"/>
          <w:szCs w:val="21"/>
        </w:rPr>
        <w:t xml:space="preserve">Landing page data shows /apply/quick-v2 converts 220x better than /apply/quick — this directly informs which page should be promoted in marketing and outreach.</w:t>
      </w:r>
    </w:p>
    <w:p>
      <w:pPr>
        <w:pStyle w:val="ListParagraph"/>
        <w:numPr>
          <w:ilvl w:val="0"/>
          <w:numId w:val="2"/>
        </w:numPr>
        <w:spacing w:before="60" w:after="60"/>
      </w:pPr>
      <w:r>
        <w:rPr>
          <w:rFonts w:ascii="Arial" w:cs="Arial" w:eastAsia="Arial" w:hAnsi="Arial"/>
          <w:sz w:val="21"/>
          <w:szCs w:val="21"/>
        </w:rPr>
        <w:t xml:space="preserve">Day-of-week patterns show Tuesday and Friday attract the most applications while Sunday converts the best — operations can align staffing, approvals, and disbursal capacity accordingly.</w:t>
      </w:r>
    </w:p>
    <w:p>
      <w:pPr>
        <w:pStyle w:val="ListParagraph"/>
        <w:numPr>
          <w:ilvl w:val="0"/>
          <w:numId w:val="2"/>
        </w:numPr>
        <w:spacing w:before="60" w:after="60"/>
      </w:pPr>
      <w:r>
        <w:rPr>
          <w:rFonts w:ascii="Arial" w:cs="Arial" w:eastAsia="Arial" w:hAnsi="Arial"/>
          <w:sz w:val="21"/>
          <w:szCs w:val="21"/>
        </w:rPr>
        <w:t xml:space="preserve">Payment Link Intelligence shows email and SMS have measurable failure rates (~7.1%), helping the team investigate delivery issues and consider shifting volume to WhatsApp for critical borrowers.</w:t>
      </w:r>
    </w:p>
    <w:p>
      <w:pPr>
        <w:pStyle w:val="ListParagraph"/>
        <w:numPr>
          <w:ilvl w:val="0"/>
          <w:numId w:val="2"/>
        </w:numPr>
        <w:spacing w:before="60" w:after="60"/>
      </w:pPr>
      <w:r>
        <w:rPr>
          <w:rFonts w:ascii="Arial" w:cs="Arial" w:eastAsia="Arial" w:hAnsi="Arial"/>
          <w:sz w:val="21"/>
          <w:szCs w:val="21"/>
        </w:rPr>
        <w:t xml:space="preserve">Reminder effectiveness data shows on-due-date reminders outperform early or late ones — allowing collections to optimise reminder scheduling for the highest repayment impact.</w:t>
      </w:r>
    </w:p>
    <w:p>
      <w:pPr>
        <w:spacing w:before="80" w:after="80"/>
      </w:pPr>
      <w:r>
        <w:t xml:space="preserve"/>
      </w:r>
    </w:p>
    <w:p>
      <w:pPr>
        <w:pBdr>
          <w:bottom w:val="single" w:color="2E75B6" w:sz="4" w:space="1"/>
        </w:pBdr>
        <w:spacing w:before="120" w:after="120"/>
      </w:pPr>
      <w:r>
        <w:t xml:space="preserve"/>
      </w:r>
    </w:p>
    <w:p>
      <w:pPr>
        <w:spacing w:before="120" w:after="60"/>
        <w:jc w:val="center"/>
      </w:pPr>
      <w:r>
        <w:rPr>
          <w:rFonts w:ascii="Arial" w:cs="Arial" w:eastAsia="Arial" w:hAnsi="Arial"/>
          <w:i/>
          <w:iCs/>
          <w:color w:val="AAAAAA"/>
          <w:sz w:val="18"/>
          <w:szCs w:val="18"/>
        </w:rPr>
        <w:t xml:space="preserve">Document prepared by the Technology Team  —  March 2026</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7"/>
        <w:szCs w:val="17"/>
      </w:rPr>
      <w:t xml:space="preserve">Behavioral Intelligence &amp; Time Pattern Analytics  |  Quikkred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B3A5C"/>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2026-03-21T05:08:21.950Z</dcterms:created>
  <dcterms:modified xsi:type="dcterms:W3CDTF">2026-03-21T05:08:21.951Z</dcterms:modified>
</cp:coreProperties>
</file>

<file path=docProps/custom.xml><?xml version="1.0" encoding="utf-8"?>
<Properties xmlns="http://schemas.openxmlformats.org/officeDocument/2006/custom-properties" xmlns:vt="http://schemas.openxmlformats.org/officeDocument/2006/docPropsVTypes"/>
</file>