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6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Unit Economics, Marketing ROI</w:t>
            </w:r>
          </w:p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i/>
                <w:iCs/>
                <w:color w:val="BFD4F5"/>
                <w:sz w:val="18"/>
                <w:szCs w:val="18"/>
              </w:rPr>
              <w:t xml:space="preserve">&amp; Repeat Customer Analytics  —  Dashboard Summary  |  Quikkred</w:t>
            </w:r>
          </w:p>
        </w:tc>
      </w:tr>
    </w:tbl>
    <w:p>
      <w:pPr>
        <w:spacing w:before="56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p>
      <w:pPr>
        <w:spacing w:before="0" w:after="80" w:line="300"/>
        <w:jc w:val="left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The Unit Economics, Marketing ROI &amp; Repeat Customer Analytics dashboard is Quikkred's financial intelligence layer. It connects loan-level profitability to marketing spend, API costs, and customer lifetime value — giving leadership and finance teams the data to assess whether the business is building a sustainable, cost-efficient lending operation. Across five tabs, it reveals per-loan yield, channel ROI, API cost per verification, lead conversion economics, and repeat borrower behaviour.</w:t>
      </w:r>
    </w:p>
    <w:p>
      <w:pPr>
        <w:pBdr>
          <w:bottom w:val="single" w:color="2563EB" w:sz="6" w:space="1"/>
        </w:pBdr>
        <w:spacing w:before="0" w:after="56" w:line="288"/>
        <w:jc w:val="left"/>
      </w:pPr>
    </w:p>
    <w:p>
      <w:pPr>
        <w:spacing w:before="0" w:after="56" w:line="288"/>
        <w:jc w:val="lef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Dashboard Tabs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8840"/>
      </w:tblGrid>
      <w:tr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spacing w:before="0" w:after="16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 1</w:t>
            </w:r>
          </w:p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Per-Loan Unit
Economics</w:t>
            </w:r>
          </w:p>
        </w:tc>
        <w:tc>
          <w:tcPr>
            <w:tcW w:type="dxa" w:w="8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Presents the Loan Product Profitability Matrix — the most data-rich tab in the dashboard. The 15-day / Medium (₹10K–₹20K) product is the highest-volume segment (390 loans, ₹4.39M disbursed, ₹696K total revenue, ₹1,786 per loan). The 15-day / Large (₹20K+) product shows the best closure rate (80.8%) and strong revenue (₹478K from 193 loans). The 7-day / Small (&lt;₹10K) product has the highest yield (32.8) but also the highest overdue rate (35%) — indicating short-tenure small loans carry more repayment risk.</w:t>
            </w:r>
          </w:p>
          <w:p>
            <w:pPr>
              <w:spacing w:before="4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Monthly Profit/Loss Proxy shows January 2026: 450 loans, ₹5.1M disbursed, ₹964K revenue. February 2026: 732 loans, ₹8.3M disbursed, ₹1.1M revenue — a 63% volume increase month-on-month. Average Revenue Per Loan breakdown shows OVERDUE loans earn ₹5.00 per rupee lent (highest yield, driven by late charges), CLOSED loans earn ₹1.00, and ACTIVE loans earn ₹0.11, confirming that late charge income is a significant but unhealthy revenue driver.</w:t>
            </w:r>
          </w:p>
        </w:tc>
      </w:tr>
    </w:tbl>
    <w:p>
      <w:pPr>
        <w:spacing w:before="36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p>
      <w:pPr>
        <w:spacing w:before="40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p>
      <w:pPr>
        <w:spacing w:before="0" w:after="40" w:line="288"/>
        <w:jc w:val="left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Loan Product Profitability Matrix (Key Segments)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20"/>
        <w:gridCol w:w="840"/>
        <w:gridCol w:w="1400"/>
        <w:gridCol w:w="840"/>
        <w:gridCol w:w="1200"/>
        <w:gridCol w:w="120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Group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Revenue/Loan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Yield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Overdue 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Closure %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7 days</w:t>
            </w:r>
          </w:p>
        </w:tc>
        <w:tc>
          <w:tcPr>
            <w:tcW w:type="dxa" w:w="1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Small (&lt;10K)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₹1,680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32.8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35.0%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65.0%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7 days</w:t>
            </w:r>
          </w:p>
        </w:tc>
        <w:tc>
          <w:tcPr>
            <w:tcW w:type="dxa" w:w="1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Medium (10-20K)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₹2,518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22.5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42.1%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57.8%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7 days</w:t>
            </w:r>
          </w:p>
        </w:tc>
        <w:tc>
          <w:tcPr>
            <w:tcW w:type="dxa" w:w="1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Large (20K+)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₹3,262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16.0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25.0%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75.0%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15 days</w:t>
            </w:r>
          </w:p>
        </w:tc>
        <w:tc>
          <w:tcPr>
            <w:tcW w:type="dxa" w:w="1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Small (&lt;10K)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305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₹1,174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19.7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26.8%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72.1%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15 days</w:t>
            </w:r>
          </w:p>
        </w:tc>
        <w:tc>
          <w:tcPr>
            <w:tcW w:type="dxa" w:w="1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Medium (10-20K)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390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₹1,786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15.8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31.7%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67.4%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15 days</w:t>
            </w:r>
          </w:p>
        </w:tc>
        <w:tc>
          <w:tcPr>
            <w:tcW w:type="dxa" w:w="1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Large (20K+)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193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₹2,480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12.9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19.1%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80.8%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30 days</w:t>
            </w:r>
          </w:p>
        </w:tc>
        <w:tc>
          <w:tcPr>
            <w:tcW w:type="dxa" w:w="1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Small (&lt;10K)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44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₹790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13.0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20.4%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59.0%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30 days</w:t>
            </w:r>
          </w:p>
        </w:tc>
        <w:tc>
          <w:tcPr>
            <w:tcW w:type="dxa" w:w="1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Medium (10-20K)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74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₹1,340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11.9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22.9%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56.7%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30 days</w:t>
            </w:r>
          </w:p>
        </w:tc>
        <w:tc>
          <w:tcPr>
            <w:tcW w:type="dxa" w:w="1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Large (20K+)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54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₹2,292</w:t>
            </w:r>
          </w:p>
        </w:tc>
        <w:tc>
          <w:tcPr>
            <w:tcW w:type="dxa" w:w="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11.6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18.5%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62.9%</w:t>
            </w:r>
          </w:p>
        </w:tc>
      </w:tr>
    </w:tbl>
    <w:p>
      <w:pPr>
        <w:spacing w:before="60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8840"/>
      </w:tblGrid>
      <w:tr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spacing w:before="0" w:after="16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 2</w:t>
            </w:r>
          </w:p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Customer
Lifetime Value (LTV)</w:t>
            </w:r>
          </w:p>
        </w:tc>
        <w:tc>
          <w:tcPr>
            <w:tcW w:type="dxa" w:w="8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Tracks repeat borrower behaviour and LTV metrics. There are currently only 47 repeat customers, with an average gap of 2.1 days between loans (minimum 0, maximum 12.2 days) — indicating repeat borrowers are taking back-to-back loans in very rapid succession. The First-Time Customer performance table shows 1,182 loans, 25.9% overdue rate, 68.2% closure rate, average DPD of 9.2, and average loan amount of ₹12,969.</w:t>
            </w:r>
          </w:p>
          <w:p>
            <w:pPr>
              <w:spacing w:before="4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 Repeat Customer Analysis shows a single segment: "No Loan" with 26,152 customers, 0 average loans, average CIBIL of 552, and 0 LTV — meaning the vast majority of the registered customer base has never taken a loan. The LTV framework is in place but not yet populated with multi-loan customer data. At just 47 repeat customers, the repeat lending programme is in its earliest stage.</w:t>
            </w:r>
          </w:p>
        </w:tc>
      </w:tr>
    </w:tbl>
    <w:p>
      <w:pPr>
        <w:spacing w:before="36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8840"/>
      </w:tblGrid>
      <w:tr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spacing w:before="0" w:after="16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 3</w:t>
            </w:r>
          </w:p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Marketing
Channel ROI</w:t>
            </w:r>
          </w:p>
        </w:tc>
        <w:tc>
          <w:tcPr>
            <w:tcW w:type="dxa" w:w="8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Attributes end-to-end loan disbursements back to traffic sources. Of 63,866 total journeys tracked, 31.71% (20,253) came via Direct, 12.84% (8,198) via Organic, and 7.92% (5,055) via Meta Ads — with Referral being the largest raw traffic source. The Referrer Domain Analysis reveals the highest-converting individual domains: finfudge.discover.finvu.in (257 visitors, 1 conversion, 0.39%), quikkred.in (1,277 visitors, 2 conversions, 0.16%), and Google Android apps (0.11–0.15%).</w:t>
            </w:r>
          </w:p>
          <w:p>
            <w:pPr>
              <w:spacing w:before="4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Instagram (31,889 visitors, 3 conversions, 0.01%) and Facebook mobile (23,439 visitors, 3 conversions, 0.01%) are the highest-traffic but lowest-converting referrers. The UTM Source Performance Full Funnel and UTM Campaign ROI Tracker sections both show no data — meaning campaign-level ROI cannot currently be calculated. This is a significant gap for a platform spending on paid Meta ads.</w:t>
            </w:r>
          </w:p>
        </w:tc>
      </w:tr>
    </w:tbl>
    <w:p>
      <w:pPr>
        <w:spacing w:before="36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p>
      <w:pPr>
        <w:spacing w:before="0" w:after="80" w:line="288"/>
        <w:jc w:val="left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8840"/>
      </w:tblGrid>
      <w:tr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spacing w:before="0" w:after="16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 4</w:t>
            </w:r>
          </w:p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API Cost
Intelligence</w:t>
            </w:r>
          </w:p>
        </w:tc>
        <w:tc>
          <w:tcPr>
            <w:tcW w:type="dxa" w:w="8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Calculates the cost of third-party API calls per disbursed loan and per verified customer. The tab shows 458 total API calls, ₹0 total API cost, 0 unique customers tracked, 458 average calls per customer, and ₹0 average cost per customer. The API Cost Per Successful Verification table lists all four providers — Credit Bureau (73 calls), Sandbox (115), AWS Rekognition (58), and Surepass (212) — all with 0% success rate, ₹0 total cost, and ₹0 wasted spend.</w:t>
            </w:r>
          </w:p>
          <w:p>
            <w:pPr>
              <w:spacing w:before="4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These figures are inconsistent with the API Health Analytics dashboard, which shows tens of thousands of successful Surepass calls. This indicates the cost tracking pipeline is filtering on a different date range, customer segment, or loan status — or cost data is not being written to the underlying collection. The tab framework is correctly designed but needs data pipeline investigation before it can inform unit economics calculations.</w:t>
            </w:r>
          </w:p>
        </w:tc>
      </w:tr>
    </w:tbl>
    <w:p>
      <w:pPr>
        <w:spacing w:before="36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8840"/>
      </w:tblGrid>
      <w:tr>
        <w:tc>
          <w:tcPr>
            <w:tcW w:type="dxa" w:w="1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85D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spacing w:before="0" w:after="16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 5</w:t>
            </w:r>
          </w:p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Instant Form /
Lead Analytics</w:t>
            </w:r>
          </w:p>
        </w:tc>
        <w:tc>
          <w:tcPr>
            <w:tcW w:type="dxa" w:w="8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Tracks the performance of leads captured through Meta Instant Forms. A total of 17,723 leads have been captured, all sourced as DIRECT (100%) and all in NEW status — confirming zero lead follow-up activity, consistent with the Operations Analytics dashboard. The Lead-to-Customer Conversion Timeline shows daily lead volume peaking at 1,730 in early February 2026 and 1,270 in early March, with 0 conversions, 0 contacts, and 0 rejections recorded across all dates.</w:t>
            </w:r>
          </w:p>
          <w:p>
            <w:pPr>
              <w:spacing w:before="4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 complete absence of any lead progression (Contacted: 0, Interested: 0, Converted: 0) on 17,723 leads makes this the most acute revenue gap visible across all Quikkred dashboards. These leads have expressed direct intent to borrow — they represent an unworked pipeline of potential borrowers sitting idle since January 2026.</w:t>
            </w:r>
          </w:p>
        </w:tc>
      </w:tr>
    </w:tbl>
    <w:p>
      <w:pPr>
        <w:spacing w:before="36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p>
      <w:pPr>
        <w:spacing w:before="56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p>
      <w:pPr>
        <w:pBdr>
          <w:bottom w:val="single" w:color="2563EB" w:sz="6" w:space="1"/>
        </w:pBdr>
        <w:spacing w:before="0" w:after="56" w:line="288"/>
        <w:jc w:val="left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80"/>
              <w:bottom w:type="dxa" w:w="160"/>
              <w:right w:type="dxa" w:w="16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How This Dashboard Helps Operations</w:t>
            </w:r>
          </w:p>
        </w:tc>
      </w:tr>
    </w:tbl>
    <w:p>
      <w:pPr>
        <w:spacing w:before="48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p>
      <w:pPr>
        <w:spacing w:before="0" w:after="56" w:line="300"/>
        <w:jc w:val="left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This dashboard answers the fundamental business question: is Quikkred building a profitable lending operation at scale? The current data points to a platform generating real revenue per loan — but with significant headroom to improve closure rates, activate unworked leads, and instrument cost tracking properly.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Per-Loan Unit Economics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 15-day / Large (₹20K+) segment has the best closure rate (80.8%) and strong revenue per loan (₹2,480) — this is the most profitable product configuration. Scale origination in this segment. The 7-day / Medium product has a 42.1% overdue rate — review credit policy for this cohort as it is generating disproportionate collections cost. February's 63% volume growth over January is a strong operational momentum signal.</w:t>
            </w:r>
          </w:p>
        </w:tc>
      </w:tr>
    </w:tbl>
    <w:p>
      <w:pPr>
        <w:spacing w:before="24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LTV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With only 47 repeat customers, LTV is currently unmeasurable at scale. The 2.1-day average gap between loans for repeat borrowers suggests high urgency among returners — build a pre-approved repeat loan offer triggered immediately on loan closure for the 807 closed-loan customers. The 26,152 "No Loan" registered customers with avg CIBIL 552 represent a future retargeting pool once the funnel is fixed.</w:t>
            </w:r>
          </w:p>
        </w:tc>
      </w:tr>
    </w:tbl>
    <w:p>
      <w:pPr>
        <w:spacing w:before="24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Marketing Channel ROI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 UTM Campaign ROI Tracker showing no data means the marketing team is spending on Meta Ads with no visibility into cost per disbursed loan. Fix the UTM-to-disbursement attribution pipeline as a priority. In the interim, the referrer domain analysis shows finfudge.discover.finvu.in (Finvu — a financial data platform) converts at 0.39% — 39x better than Instagram. Explore a deeper partnership with Finvu for qualified lead sourcing.</w:t>
            </w:r>
          </w:p>
        </w:tc>
      </w:tr>
    </w:tbl>
    <w:p>
      <w:pPr>
        <w:spacing w:before="24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Cost Intelligence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 0% success rate and ₹0 cost across all providers in this tab is a data pipeline issue — not a reflection of actual API performance. The technology team should align the cost tracking collection with the API Health Analytics data source to surface real cost-per-verification metrics. Without this, the finance team cannot calculate true CAC or underwriting cost per loan.</w:t>
            </w:r>
          </w:p>
        </w:tc>
      </w:tr>
    </w:tbl>
    <w:p>
      <w:pPr>
        <w:spacing w:before="24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85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 w:line="28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Instant Form Leads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 w:line="30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17,723 uncontacted leads is the single largest immediate revenue opportunity on the platform. Assign leads to agents today with a 24-hour first-contact SLA. Prioritise the ₹20K–₹30K requested amount segment (5,852 leads) as it aligns with the highest-revenue product configuration. Even a 1% conversion rate on this pool would generate ~177 additional disbursals.</w:t>
            </w:r>
          </w:p>
        </w:tc>
      </w:tr>
    </w:tbl>
    <w:p>
      <w:pPr>
        <w:spacing w:before="24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p>
      <w:pPr>
        <w:spacing w:before="48" w:after="80" w:line="288"/>
        <w:jc w:val="left"/>
      </w:pPr>
      <w:r>
        <w:rPr>
          <w:rFonts w:ascii="Arial" w:cs="Arial" w:eastAsia="Arial" w:hAnsi="Arial"/>
          <w:color w:val="1B3A6B"/>
          <w:sz w:val="20"/>
          <w:szCs w:val="20"/>
        </w:rPr>
        <w:t xml:space="preserve"/>
      </w:r>
    </w:p>
    <w:p>
      <w:pPr>
        <w:pBdr>
          <w:bottom w:val="single" w:color="2563EB" w:sz="6" w:space="1"/>
        </w:pBdr>
        <w:spacing w:before="0" w:after="40" w:line="288"/>
        <w:jc w:val="left"/>
      </w:pPr>
    </w:p>
    <w:p>
      <w:pPr>
        <w:spacing w:before="0" w:after="80" w:line="300"/>
        <w:jc w:val="left"/>
      </w:pP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The core unit economics are sound — the platform earns ₹1,174 to ₹3,262 per loan depending on product and tenure. The path to profitability at scale runs through three parallel actions: activating the unworked lead pipeline, improving closure rates in high-overdue segments, and instrumenting the cost tracking layer so finance can measure true margins.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80" w:line="288"/>
      <w:jc w:val="center"/>
    </w:pPr>
    <w:r>
      <w:rPr>
        <w:rFonts w:ascii="Arial" w:cs="Arial" w:eastAsia="Arial" w:hAnsi="Arial"/>
        <w:i/>
        <w:iCs/>
        <w:color w:val="475569"/>
        <w:sz w:val="16"/>
        <w:szCs w:val="16"/>
      </w:rPr>
      <w:t xml:space="preserve">Unit Economics, Marketing ROI &amp; Repeat Customer Analytics  —  Dashboard Summary  |  Quikkred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3A6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2026-03-21T06:14:51.124Z</dcterms:created>
  <dcterms:modified xsi:type="dcterms:W3CDTF">2026-03-21T06:14:51.125Z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