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300"/>
              <w:left w:type="dxa" w:w="360"/>
              <w:bottom w:type="dxa" w:w="300"/>
              <w:right w:type="dxa" w:w="360"/>
            </w:tcMar>
          </w:tcPr>
          <w:p>
            <w:pPr>
              <w:jc w:val="center"/>
            </w:pPr>
            <w:r>
              <w:rPr>
                <w:rFonts w:ascii="Arial" w:cs="Arial" w:eastAsia="Arial" w:hAnsi="Arial"/>
                <w:b/>
                <w:bCs/>
                <w:color w:val="FFFFFF"/>
                <w:sz w:val="34"/>
                <w:szCs w:val="34"/>
              </w:rPr>
              <w:t xml:space="preserve">Data Insights &amp; Critical Findings Summary</w:t>
            </w:r>
          </w:p>
          <w:p>
            <w:pPr>
              <w:spacing w:before="80"/>
              <w:jc w:val="center"/>
            </w:pPr>
            <w:r>
              <w:rPr>
                <w:rFonts w:ascii="Arial" w:cs="Arial" w:eastAsia="Arial" w:hAnsi="Arial"/>
                <w:i/>
                <w:iCs/>
                <w:color w:val="9DC3E6"/>
                <w:sz w:val="22"/>
                <w:szCs w:val="22"/>
              </w:rPr>
              <w:t xml:space="preserve">Dashboard Summary  —  Quikkred</w:t>
            </w:r>
          </w:p>
        </w:tc>
      </w:tr>
    </w:tbl>
    <w:p>
      <w:pPr>
        <w:spacing w:before="80" w:after="80"/>
      </w:pPr>
      <w:r>
        <w:t xml:space="preserve"/>
      </w:r>
    </w:p>
    <w:p>
      <w:pPr>
        <w:pStyle w:val="Heading1"/>
        <w:spacing w:before="160" w:after="100"/>
      </w:pPr>
      <w:r>
        <w:rPr>
          <w:rFonts w:ascii="Arial" w:cs="Arial" w:eastAsia="Arial" w:hAnsi="Arial"/>
          <w:b/>
          <w:bCs/>
          <w:color w:val="1B3A5C"/>
          <w:sz w:val="30"/>
          <w:szCs w:val="30"/>
        </w:rPr>
        <w:t xml:space="preserve">Dashboard Overview</w:t>
      </w:r>
    </w:p>
    <w:p>
      <w:pPr>
        <w:spacing w:before="80" w:after="80"/>
      </w:pPr>
      <w:r>
        <w:rPr>
          <w:rFonts w:ascii="Arial" w:cs="Arial" w:eastAsia="Arial" w:hAnsi="Arial"/>
          <w:sz w:val="22"/>
          <w:szCs w:val="22"/>
        </w:rPr>
        <w:t xml:space="preserve">The Data Insights &amp; Critical Findings Summary is Quikkred’s executive-level intelligence dashboard — a single destination that consolidates the most important signals from across the entire platform into eight focused tabs. It covers everything from real-time business alerts and portfolio health to risk stratification, timing optimisation, conversion funnels, repeat customer economics, vintage performance, and account balance monitoring. Designed for leadership, risk, and operations teams, this dashboard turns raw data into decisions.</w:t>
      </w:r>
    </w:p>
    <w:p>
      <w:pPr>
        <w:spacing w:before="80" w:after="80"/>
      </w:pPr>
      <w:r>
        <w:t xml:space="preserve"/>
      </w:r>
    </w:p>
    <w:p>
      <w:pPr>
        <w:pBdr>
          <w:bottom w:val="single" w:color="2E75B6" w:sz="4" w:space="1"/>
        </w:pBdr>
        <w:spacing w:before="120" w:after="120"/>
      </w:pPr>
      <w:r>
        <w:t xml:space="preserve"/>
      </w:r>
    </w:p>
    <w:p>
      <w:pPr>
        <w:pStyle w:val="Heading1"/>
        <w:spacing w:before="200" w:after="100"/>
      </w:pPr>
      <w:r>
        <w:rPr>
          <w:rFonts w:ascii="Arial" w:cs="Arial" w:eastAsia="Arial" w:hAnsi="Arial"/>
          <w:b/>
          <w:bCs/>
          <w:color w:val="1B3A5C"/>
          <w:sz w:val="30"/>
          <w:szCs w:val="30"/>
        </w:rPr>
        <w:t xml:space="preserve">Tab Summaries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1</w:t>
            </w:r>
          </w:p>
        </w:tc>
        <w:tc>
          <w:tcPr>
            <w:tcW w:type="dxa" w:w="87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B3A5C"/>
                <w:sz w:val="23"/>
                <w:szCs w:val="23"/>
              </w:rPr>
              <w:t xml:space="preserve">Critical Business Alerts</w:t>
            </w:r>
          </w:p>
        </w:tc>
      </w:tr>
    </w:tbl>
    <w:p>
      <w:pPr>
        <w:spacing w:before="80" w:after="80"/>
      </w:pPr>
      <w:r>
        <w:t xml:space="preserve"/>
      </w:r>
    </w:p>
    <w:p>
      <w:pPr>
        <w:spacing w:before="80" w:after="80"/>
      </w:pPr>
      <w:r>
        <w:rPr>
          <w:rFonts w:ascii="Arial" w:cs="Arial" w:eastAsia="Arial" w:hAnsi="Arial"/>
          <w:sz w:val="22"/>
          <w:szCs w:val="22"/>
        </w:rPr>
        <w:t xml:space="preserve">The platform’s early warning nerve centre. Tracks daily Credit Bureau API failures (77.09% failure rate across 21,529 calls — only 4,931 successful), with a trend chart from January to March 2026 showing persistent failure spikes above 80–90%. Also includes a Loans Tenure Risk Alert table flagging overdue rates by tenure (7-day loans at 35.2% overdue, VERY HIGH risk; 15-day at 27.4%, HIGH), a full CIBIL Band analysis showing conversion rates by score band, a Mandate vs No-Mandate Risk Comparison (manual/no-mandate loans carry 300 overdue loans vs just 1 for AUTOPAY), and a v1 vs v2 landing page comparison (/apply/quick-v2 converts at 2.19% vs 0.01% for /apply/quick).</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2</w:t>
            </w:r>
          </w:p>
        </w:tc>
        <w:tc>
          <w:tcPr>
            <w:tcW w:type="dxa" w:w="87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B3A5C"/>
                <w:sz w:val="23"/>
                <w:szCs w:val="23"/>
              </w:rPr>
              <w:t xml:space="preserve">Portfolio Health Snapshot</w:t>
            </w:r>
          </w:p>
        </w:tc>
      </w:tr>
    </w:tbl>
    <w:p>
      <w:pPr>
        <w:spacing w:before="80" w:after="80"/>
      </w:pPr>
      <w:r>
        <w:t xml:space="preserve"/>
      </w:r>
    </w:p>
    <w:p>
      <w:pPr>
        <w:spacing w:before="80" w:after="80"/>
      </w:pPr>
      <w:r>
        <w:rPr>
          <w:rFonts w:ascii="Arial" w:cs="Arial" w:eastAsia="Arial" w:hAnsi="Arial"/>
          <w:sz w:val="22"/>
          <w:szCs w:val="22"/>
        </w:rPr>
        <w:t xml:space="preserve">A concise top-level view of the entire loan portfolio. Shows 1,182 total loans: 83 active, 302 overdue, 0 NPA, and 797 closed. Financial metrics show ₹7,090,333 total outstanding against ₹13,432,440 total disbursed, with an overdue rate of 363.8%, closure rate of 67.4%, and average DPD of 9. This tab gives management a daily single-screen health check of the portfolio without needing to drill into individual reports.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3</w:t>
            </w:r>
          </w:p>
        </w:tc>
        <w:tc>
          <w:tcPr>
            <w:tcW w:type="dxa" w:w="87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B3A5C"/>
                <w:sz w:val="23"/>
                <w:szCs w:val="23"/>
              </w:rPr>
              <w:t xml:space="preserve">Risk Stratification Matrix</w:t>
            </w:r>
          </w:p>
        </w:tc>
      </w:tr>
    </w:tbl>
    <w:p>
      <w:pPr>
        <w:spacing w:before="80" w:after="80"/>
      </w:pPr>
      <w:r>
        <w:t xml:space="preserve"/>
      </w:r>
    </w:p>
    <w:p>
      <w:pPr>
        <w:spacing w:before="80" w:after="80"/>
      </w:pPr>
      <w:r>
        <w:rPr>
          <w:rFonts w:ascii="Arial" w:cs="Arial" w:eastAsia="Arial" w:hAnsi="Arial"/>
          <w:sz w:val="22"/>
          <w:szCs w:val="22"/>
        </w:rPr>
        <w:t xml:space="preserve">A multi-dimensional risk scoring table that classifies loan risk across four dimensions. By CIBIL Score: all bands from 600 to 800+ are rated HIGH risk, with Below 600 showing 0% approval rate and 100% rejection. By Loan Amount: 0–5K and 10–15K are MEDIUM-HIGH; 25–30K is LOW; 30K+ is HIGH (100% overdue rate from 1 loan). By Employment Type: salaried loans (1,060) carry a 25.7% overdue rate vs 23.7% for self-employed. By Tenure: 7-day loans are VERY HIGH risk (35.2% overdue, avg DPD 23.39); 15-day loans are HIGH (27.4%); 30-day loans are MEDIUM (17.4%).</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4</w:t>
            </w:r>
          </w:p>
        </w:tc>
        <w:tc>
          <w:tcPr>
            <w:tcW w:type="dxa" w:w="87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B3A5C"/>
                <w:sz w:val="23"/>
                <w:szCs w:val="23"/>
              </w:rPr>
              <w:t xml:space="preserve">Optimal Timing Insights</w:t>
            </w:r>
          </w:p>
        </w:tc>
      </w:tr>
    </w:tbl>
    <w:p>
      <w:pPr>
        <w:spacing w:before="80" w:after="80"/>
      </w:pPr>
      <w:r>
        <w:t xml:space="preserve"/>
      </w:r>
    </w:p>
    <w:p>
      <w:pPr>
        <w:spacing w:before="80" w:after="80"/>
      </w:pPr>
      <w:r>
        <w:rPr>
          <w:rFonts w:ascii="Arial" w:cs="Arial" w:eastAsia="Arial" w:hAnsi="Arial"/>
          <w:sz w:val="22"/>
          <w:szCs w:val="22"/>
        </w:rPr>
        <w:t xml:space="preserve">Identifies the best times to call borrowers, receive applications, and collect payments. Best Times for Collection Calls shows 100% answer rates between 09:00–14:00 IST when call volumes are low (under 35 calls), dropping to ~20–28% answer rates during peak afternoon/evening hours (500–626 calls). Peak Application Times confirm Tuesday (3.0k) and Friday (2.7k) as highest application days. Peak Payment Times show the strongest payment window is 16:00 IST (113 payments, ₹1.2M), with a secondary spike at 05:00 IST driven by automated payments.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5</w:t>
            </w:r>
          </w:p>
        </w:tc>
        <w:tc>
          <w:tcPr>
            <w:tcW w:type="dxa" w:w="87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B3A5C"/>
                <w:sz w:val="23"/>
                <w:szCs w:val="23"/>
              </w:rPr>
              <w:t xml:space="preserve">Conversion Funnel Insights</w:t>
            </w:r>
          </w:p>
        </w:tc>
      </w:tr>
    </w:tbl>
    <w:p>
      <w:pPr>
        <w:spacing w:before="80" w:after="80"/>
      </w:pPr>
      <w:r>
        <w:t xml:space="preserve"/>
      </w:r>
    </w:p>
    <w:p>
      <w:pPr>
        <w:spacing w:before="80" w:after="80"/>
      </w:pPr>
      <w:r>
        <w:rPr>
          <w:rFonts w:ascii="Arial" w:cs="Arial" w:eastAsia="Arial" w:hAnsi="Arial"/>
          <w:sz w:val="22"/>
          <w:szCs w:val="22"/>
        </w:rPr>
        <w:t xml:space="preserve">Tracks the full application-to-disbursement journey. Application-to-Disbursement by CIBIL shows the 700–750 band has the highest disbursals (143 loans) at an 11.3% conversion rate; the 0–500 band has 12,332 applications but only 0.9% conversion. User Journey Conversion shows 68,681 users started, 28,361 abandoned (29.21% abandon rate), only 30 converted, and 2 in-progress — a critically low end-to-end conversion. Payment Link Effectiveness shows 3,602 links sent, 264 paid (7.3% payment rate), with avg 3.04 days to pay and a maximum of 19.8 days.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6</w:t>
            </w:r>
          </w:p>
        </w:tc>
        <w:tc>
          <w:tcPr>
            <w:tcW w:type="dxa" w:w="87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B3A5C"/>
                <w:sz w:val="23"/>
                <w:szCs w:val="23"/>
              </w:rPr>
              <w:t xml:space="preserve">Repeat Customer Economics</w:t>
            </w:r>
          </w:p>
        </w:tc>
      </w:tr>
    </w:tbl>
    <w:p>
      <w:pPr>
        <w:spacing w:before="80" w:after="80"/>
      </w:pPr>
      <w:r>
        <w:t xml:space="preserve"/>
      </w:r>
    </w:p>
    <w:p>
      <w:pPr>
        <w:spacing w:before="80" w:after="80"/>
      </w:pPr>
      <w:r>
        <w:rPr>
          <w:rFonts w:ascii="Arial" w:cs="Arial" w:eastAsia="Arial" w:hAnsi="Arial"/>
          <w:sz w:val="22"/>
          <w:szCs w:val="22"/>
        </w:rPr>
        <w:t xml:space="preserve">Summarises the value and behaviour of returning borrowers. Currently shows 213 repeat customers with an average of 2.04 loans per customer, a maximum of 4 loans by a single customer, and average total disbursed per repeat customer of ₹25,253. This tab establishes the baseline for repeat borrower economics and will expand as more data accumulates — it is the foundation for building retention and re-engagement strategies.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7</w:t>
            </w:r>
          </w:p>
        </w:tc>
        <w:tc>
          <w:tcPr>
            <w:tcW w:type="dxa" w:w="87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B3A5C"/>
                <w:sz w:val="23"/>
                <w:szCs w:val="23"/>
              </w:rPr>
              <w:t xml:space="preserve">Vintage/Cohort Performance</w:t>
            </w:r>
          </w:p>
        </w:tc>
      </w:tr>
    </w:tbl>
    <w:p>
      <w:pPr>
        <w:spacing w:before="80" w:after="80"/>
      </w:pPr>
      <w:r>
        <w:t xml:space="preserve"/>
      </w:r>
    </w:p>
    <w:p>
      <w:pPr>
        <w:spacing w:before="80" w:after="80"/>
      </w:pPr>
      <w:r>
        <w:rPr>
          <w:rFonts w:ascii="Arial" w:cs="Arial" w:eastAsia="Arial" w:hAnsi="Arial"/>
          <w:sz w:val="22"/>
          <w:szCs w:val="22"/>
        </w:rPr>
        <w:t xml:space="preserve">A weekly cohort view of loan closures and overdue counts from January to February 2026. The February 9 week was the worst performing — 188 closed loans but 46 overdue, with avg DPD of 6.4. The January 12 week had a high avg DPD of 28.3 (53 overdue from 110 closed). By contrast, the February 23 week shows improvement with avg DPD falling to 3.1. The chart helps track whether each new batch of disbursals is performing better or worse than prior weeks.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8</w:t>
            </w:r>
          </w:p>
        </w:tc>
        <w:tc>
          <w:tcPr>
            <w:tcW w:type="dxa" w:w="87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B3A5C"/>
                <w:sz w:val="23"/>
                <w:szCs w:val="23"/>
              </w:rPr>
              <w:t xml:space="preserve">Balance Monitor (Account Aggregator)</w:t>
            </w:r>
          </w:p>
        </w:tc>
      </w:tr>
    </w:tbl>
    <w:p>
      <w:pPr>
        <w:spacing w:before="80" w:after="80"/>
      </w:pPr>
      <w:r>
        <w:t xml:space="preserve"/>
      </w:r>
    </w:p>
    <w:p>
      <w:pPr>
        <w:spacing w:before="80" w:after="80"/>
      </w:pPr>
      <w:r>
        <w:rPr>
          <w:rFonts w:ascii="Arial" w:cs="Arial" w:eastAsia="Arial" w:hAnsi="Arial"/>
          <w:sz w:val="22"/>
          <w:szCs w:val="22"/>
        </w:rPr>
        <w:t xml:space="preserve">Monitors the real-time account balances of active borrowers via Account Aggregator data. Key metrics: 108 total borrowers tracked, 81 with salary detected (75% salary detection rate), avg current balance of ₹5,012, avg outstanding of ₹14,370, balance-to-outstanding ratio of 0.34. Critical signals: 90 borrowers flagged with alerts (83.3% alert rate), 112 critical alerts raised, 18 borrowers with zero balance, and 97 borrowers whose balance is below their EMI amount — flagging them as high bounce risk before the due date.</w:t>
      </w:r>
    </w:p>
    <w:p>
      <w:pPr>
        <w:spacing w:before="80" w:after="80"/>
      </w:pPr>
      <w:r>
        <w:t xml:space="preserve"/>
      </w:r>
    </w:p>
    <w:p>
      <w:pPr>
        <w:pBdr>
          <w:bottom w:val="single" w:color="2E75B6" w:sz="4" w:space="1"/>
        </w:pBdr>
        <w:spacing w:before="120" w:after="120"/>
      </w:pPr>
      <w:r>
        <w:t xml:space="preserve"/>
      </w:r>
    </w:p>
    <w:p>
      <w:pPr>
        <w:pStyle w:val="Heading1"/>
        <w:spacing w:before="200" w:after="120"/>
      </w:pPr>
      <w:r>
        <w:rPr>
          <w:rFonts w:ascii="Arial" w:cs="Arial" w:eastAsia="Arial" w:hAnsi="Arial"/>
          <w:b/>
          <w:bCs/>
          <w:color w:val="1B3A5C"/>
          <w:sz w:val="30"/>
          <w:szCs w:val="30"/>
        </w:rPr>
        <w:t xml:space="preserve">How This Dashboard Helps Operations</w:t>
      </w:r>
    </w:p>
    <w:p>
      <w:pPr>
        <w:pStyle w:val="ListParagraph"/>
        <w:numPr>
          <w:ilvl w:val="0"/>
          <w:numId w:val="2"/>
        </w:numPr>
        <w:spacing w:before="60" w:after="60"/>
      </w:pPr>
      <w:r>
        <w:rPr>
          <w:rFonts w:ascii="Arial" w:cs="Arial" w:eastAsia="Arial" w:hAnsi="Arial"/>
          <w:sz w:val="21"/>
          <w:szCs w:val="21"/>
        </w:rPr>
        <w:t xml:space="preserve">The 77.09% Credit Bureau API failure rate flagged in Critical Business Alerts is an urgent technical issue — it means 3 out of 4 CIBIL checks are failing, directly blocking loan approvals and distorting risk decisions. This needs immediate escalation to the tech team.</w:t>
      </w:r>
    </w:p>
    <w:p>
      <w:pPr>
        <w:pStyle w:val="ListParagraph"/>
        <w:numPr>
          <w:ilvl w:val="0"/>
          <w:numId w:val="2"/>
        </w:numPr>
        <w:spacing w:before="60" w:after="60"/>
      </w:pPr>
      <w:r>
        <w:rPr>
          <w:rFonts w:ascii="Arial" w:cs="Arial" w:eastAsia="Arial" w:hAnsi="Arial"/>
          <w:sz w:val="21"/>
          <w:szCs w:val="21"/>
        </w:rPr>
        <w:t xml:space="preserve">Portfolio Health Snapshot gives leadership a single daily number: 302 overdue loans out of 1,182 total (₹7M outstanding) — no need to pull separate reports to understand portfolio stress.</w:t>
      </w:r>
    </w:p>
    <w:p>
      <w:pPr>
        <w:pStyle w:val="ListParagraph"/>
        <w:numPr>
          <w:ilvl w:val="0"/>
          <w:numId w:val="2"/>
        </w:numPr>
        <w:spacing w:before="60" w:after="60"/>
      </w:pPr>
      <w:r>
        <w:rPr>
          <w:rFonts w:ascii="Arial" w:cs="Arial" w:eastAsia="Arial" w:hAnsi="Arial"/>
          <w:sz w:val="21"/>
          <w:szCs w:val="21"/>
        </w:rPr>
        <w:t xml:space="preserve">Risk Stratification confirms 7-day loans are the riskiest product (VERY HIGH, 35.2% overdue) and should be reviewed for tighter eligibility criteria or higher pricing to reflect the risk.</w:t>
      </w:r>
    </w:p>
    <w:p>
      <w:pPr>
        <w:pStyle w:val="ListParagraph"/>
        <w:numPr>
          <w:ilvl w:val="0"/>
          <w:numId w:val="2"/>
        </w:numPr>
        <w:spacing w:before="60" w:after="60"/>
      </w:pPr>
      <w:r>
        <w:rPr>
          <w:rFonts w:ascii="Arial" w:cs="Arial" w:eastAsia="Arial" w:hAnsi="Arial"/>
          <w:sz w:val="21"/>
          <w:szCs w:val="21"/>
        </w:rPr>
        <w:t xml:space="preserve">Optimal Timing Insights gives collections teams a clear instruction: call between 09:00–14:00 IST for 100% answer rates, and schedule payment link campaigns to land by 16:00 IST for maximum payment conversion.</w:t>
      </w:r>
    </w:p>
    <w:p>
      <w:pPr>
        <w:pStyle w:val="ListParagraph"/>
        <w:numPr>
          <w:ilvl w:val="0"/>
          <w:numId w:val="2"/>
        </w:numPr>
        <w:spacing w:before="60" w:after="60"/>
      </w:pPr>
      <w:r>
        <w:rPr>
          <w:rFonts w:ascii="Arial" w:cs="Arial" w:eastAsia="Arial" w:hAnsi="Arial"/>
          <w:sz w:val="21"/>
          <w:szCs w:val="21"/>
        </w:rPr>
        <w:t xml:space="preserve">Conversion Funnel shows only 30 users out of 68,681 who started an application actually converted — an extremely low rate that points to a broken onboarding or KYC flow that needs immediate product investigation.</w:t>
      </w:r>
    </w:p>
    <w:p>
      <w:pPr>
        <w:pStyle w:val="ListParagraph"/>
        <w:numPr>
          <w:ilvl w:val="0"/>
          <w:numId w:val="2"/>
        </w:numPr>
        <w:spacing w:before="60" w:after="60"/>
      </w:pPr>
      <w:r>
        <w:rPr>
          <w:rFonts w:ascii="Arial" w:cs="Arial" w:eastAsia="Arial" w:hAnsi="Arial"/>
          <w:sz w:val="21"/>
          <w:szCs w:val="21"/>
        </w:rPr>
        <w:t xml:space="preserve">The AUTOPAY mandate data is compelling: mandated loans have just 1 overdue case vs 300 for manual loans — a strong operational case for pushing all new borrowers to set up e-mandates at onboarding.</w:t>
      </w:r>
    </w:p>
    <w:p>
      <w:pPr>
        <w:pStyle w:val="ListParagraph"/>
        <w:numPr>
          <w:ilvl w:val="0"/>
          <w:numId w:val="2"/>
        </w:numPr>
        <w:spacing w:before="60" w:after="60"/>
      </w:pPr>
      <w:r>
        <w:rPr>
          <w:rFonts w:ascii="Arial" w:cs="Arial" w:eastAsia="Arial" w:hAnsi="Arial"/>
          <w:sz w:val="21"/>
          <w:szCs w:val="21"/>
        </w:rPr>
        <w:t xml:space="preserve">Balance Monitor gives the collections team a pre-due-date warning list: 97 borrowers currently have balances below their EMI, allowing proactive outreach before bounces occur rather than after.</w:t>
      </w:r>
    </w:p>
    <w:p>
      <w:pPr>
        <w:pStyle w:val="ListParagraph"/>
        <w:numPr>
          <w:ilvl w:val="0"/>
          <w:numId w:val="2"/>
        </w:numPr>
        <w:spacing w:before="60" w:after="60"/>
      </w:pPr>
      <w:r>
        <w:rPr>
          <w:rFonts w:ascii="Arial" w:cs="Arial" w:eastAsia="Arial" w:hAnsi="Arial"/>
          <w:sz w:val="21"/>
          <w:szCs w:val="21"/>
        </w:rPr>
        <w:t xml:space="preserve">Repeat Customer Economics, while early-stage, confirms that returning borrowers take on average 2 loans and represent ₹25K in lifetime disbursals — justifying investment in a dedicated retention and re-engagement programme.</w:t>
      </w:r>
    </w:p>
    <w:p>
      <w:pPr>
        <w:spacing w:before="80" w:after="80"/>
      </w:pPr>
      <w:r>
        <w:t xml:space="preserve"/>
      </w:r>
    </w:p>
    <w:p>
      <w:pPr>
        <w:pBdr>
          <w:bottom w:val="single" w:color="2E75B6" w:sz="4" w:space="1"/>
        </w:pBdr>
        <w:spacing w:before="120" w:after="120"/>
      </w:pPr>
      <w:r>
        <w:t xml:space="preserve"/>
      </w:r>
    </w:p>
    <w:p>
      <w:pPr>
        <w:spacing w:before="120" w:after="60"/>
        <w:jc w:val="center"/>
      </w:pPr>
      <w:r>
        <w:rPr>
          <w:rFonts w:ascii="Arial" w:cs="Arial" w:eastAsia="Arial" w:hAnsi="Arial"/>
          <w:i/>
          <w:iCs/>
          <w:color w:val="AAAAAA"/>
          <w:sz w:val="18"/>
          <w:szCs w:val="18"/>
        </w:rPr>
        <w:t xml:space="preserve">Document prepared by the Technology Team  —  March 2026</w:t>
      </w:r>
    </w:p>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7"/>
        <w:szCs w:val="17"/>
      </w:rPr>
      <w:t xml:space="preserve">Data Insights &amp; Critical Findings Summary  |  Quikkred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B3A5C"/>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2026-03-21T05:21:59.967Z</dcterms:created>
  <dcterms:modified xsi:type="dcterms:W3CDTF">2026-03-21T05:21:59.968Z</dcterms:modified>
</cp:coreProperties>
</file>

<file path=docProps/custom.xml><?xml version="1.0" encoding="utf-8"?>
<Properties xmlns="http://schemas.openxmlformats.org/officeDocument/2006/custom-properties" xmlns:vt="http://schemas.openxmlformats.org/officeDocument/2006/docPropsVTypes"/>
</file>