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4"/>
                <w:szCs w:val="34"/>
              </w:rPr>
              <w:t xml:space="preserve">Geographic &amp; Demographic Intelligence</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Geographic &amp; Demographic Intelligence dashboard gives Quikkred a deep understanding of its borrower base from a ‘who and where’ perspective. Across four tabs it maps loan performance by state and region, breaks down risk by income bracket and employment type, analyses repayment behaviour by gender and age group, and detects salary cycle patterns to inform optimal payment scheduling. Together these tabs help the business tailor credit policy, collections timing, and product offerings to the actual profile of its borrowers.</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Geographic Performance</w:t>
            </w:r>
          </w:p>
        </w:tc>
      </w:tr>
    </w:tbl>
    <w:p>
      <w:pPr>
        <w:spacing w:before="80" w:after="80"/>
      </w:pPr>
      <w:r>
        <w:t xml:space="preserve"/>
      </w:r>
    </w:p>
    <w:p>
      <w:pPr>
        <w:spacing w:before="80" w:after="80"/>
      </w:pPr>
      <w:r>
        <w:rPr>
          <w:rFonts w:ascii="Arial" w:cs="Arial" w:eastAsia="Arial" w:hAnsi="Arial"/>
          <w:sz w:val="22"/>
          <w:szCs w:val="22"/>
        </w:rPr>
        <w:t xml:space="preserve">Provides state-level maps and charts showing where Quikkred’s customers and loans are concentrated, and which states are performing well or poorly. State-wise Customer Distribution map shows the darkest concentration (2,096+ customers) in central and southern Indian states, with Uttar Pradesh, Maharashtra, and Telangana leading. Lighter concentration in the north-east, west, and border states.</w:t>
      </w:r>
    </w:p>
    <w:p>
      <w:pPr>
        <w:spacing w:before="80" w:after="80"/>
      </w:pPr>
      <w:r>
        <w:t xml:space="preserve"/>
      </w:r>
    </w:p>
    <w:p>
      <w:pPr>
        <w:spacing w:before="80" w:after="80"/>
      </w:pPr>
      <w:r>
        <w:rPr>
          <w:rFonts w:ascii="Arial" w:cs="Arial" w:eastAsia="Arial" w:hAnsi="Arial"/>
          <w:sz w:val="22"/>
          <w:szCs w:val="22"/>
        </w:rPr>
        <w:t xml:space="preserve">State-wise Loan Performance (Overdue Rate) map shows the highest overdue loan counts (165+) concentrated in a small number of southern and central states, shown in deep blue. Several northern and eastern states show moderate overdue rates (41–56). This geographic risk heat map helps the risk team identify which regions need intensified collections activity.</w:t>
      </w:r>
    </w:p>
    <w:p>
      <w:pPr>
        <w:spacing w:before="80" w:after="80"/>
      </w:pPr>
      <w:r>
        <w:t xml:space="preserve"/>
      </w:r>
    </w:p>
    <w:p>
      <w:pPr>
        <w:spacing w:before="80" w:after="80"/>
      </w:pPr>
      <w:r>
        <w:rPr>
          <w:rFonts w:ascii="Arial" w:cs="Arial" w:eastAsia="Arial" w:hAnsi="Arial"/>
          <w:sz w:val="22"/>
          <w:szCs w:val="22"/>
        </w:rPr>
        <w:t xml:space="preserve">Regional Concentration Risk map (red-scale) highlights states where loan concentration is highest — with the deepest red (48+ loans) in Uttar Pradesh and Maharashtra, matching the customer distribution data. This confirms geographic concentration risk is real and needs monitoring.</w:t>
      </w:r>
    </w:p>
    <w:p>
      <w:pPr>
        <w:spacing w:before="80" w:after="80"/>
      </w:pPr>
      <w:r>
        <w:t xml:space="preserve"/>
      </w:r>
    </w:p>
    <w:p>
      <w:pPr>
        <w:spacing w:before="80" w:after="80"/>
      </w:pPr>
      <w:r>
        <w:rPr>
          <w:rFonts w:ascii="Arial" w:cs="Arial" w:eastAsia="Arial" w:hAnsi="Arial"/>
          <w:sz w:val="22"/>
          <w:szCs w:val="22"/>
        </w:rPr>
        <w:t xml:space="preserve">State-wise Gender Distribution of Customers map shows the highest concentration of customers (1,664+) in southern states like Telangana and Andhra Pradesh in teal, with moderate distribution across central and northern India. Top State by Applications is still loading in this export. State-wise Conversion Funnel is also still loading.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Income &amp; Employment Analytics</w:t>
            </w:r>
          </w:p>
        </w:tc>
      </w:tr>
    </w:tbl>
    <w:p>
      <w:pPr>
        <w:spacing w:before="80" w:after="80"/>
      </w:pPr>
      <w:r>
        <w:t xml:space="preserve"/>
      </w:r>
    </w:p>
    <w:p>
      <w:pPr>
        <w:spacing w:before="80" w:after="80"/>
      </w:pPr>
      <w:r>
        <w:rPr>
          <w:rFonts w:ascii="Arial" w:cs="Arial" w:eastAsia="Arial" w:hAnsi="Arial"/>
          <w:sz w:val="22"/>
          <w:szCs w:val="22"/>
        </w:rPr>
        <w:t xml:space="preserve">Breaks down loan performance by borrower income bracket, loan-to-income ratio, and salary mode. Income vs Loan Performance (Risk Matrix) shows four income buckets. The ₹50K+ income group has the highest loan volume (619 total, 136 overdue) with an avg LTI of 0.21 and avg loan amount of ₹15.6k — performing relatively well. The ₹25–35K group has 212 loans (58 overdue, avg DPD 8.3, avg amount ₹9.0k). The ₹15–25K group has just 41 loans but the highest avg DPD (12.9) and closure rate of 53.6%.</w:t>
      </w:r>
    </w:p>
    <w:p>
      <w:pPr>
        <w:spacing w:before="80" w:after="80"/>
      </w:pPr>
      <w:r>
        <w:t xml:space="preserve"/>
      </w:r>
    </w:p>
    <w:p>
      <w:pPr>
        <w:spacing w:before="80" w:after="80"/>
      </w:pPr>
      <w:r>
        <w:rPr>
          <w:rFonts w:ascii="Arial" w:cs="Arial" w:eastAsia="Arial" w:hAnsi="Arial"/>
          <w:sz w:val="22"/>
          <w:szCs w:val="22"/>
        </w:rPr>
        <w:t xml:space="preserve">Loan-to-Income Ratio (LTI) Distribution shows 507 loans in the Moderate bucket (LTI 20–35%), 434 in Safe (&lt;20%), 230 in Stretched (35–50%), and only 11 in High Risk (50%+). Overdue rates are broadly similar across Safe (25.3%), Moderate (25.2%), and Stretched (26%) buckets, with High Risk surprisingly showing the highest avg DPD (10.4). This suggests LTI alone is not a strong differentiator for default risk in the current portfolio.</w:t>
      </w:r>
    </w:p>
    <w:p>
      <w:pPr>
        <w:spacing w:before="80" w:after="80"/>
      </w:pPr>
      <w:r>
        <w:t xml:space="preserve"/>
      </w:r>
    </w:p>
    <w:p>
      <w:pPr>
        <w:spacing w:before="80" w:after="80"/>
      </w:pPr>
      <w:r>
        <w:rPr>
          <w:rFonts w:ascii="Arial" w:cs="Arial" w:eastAsia="Arial" w:hAnsi="Arial"/>
          <w:sz w:val="22"/>
          <w:szCs w:val="22"/>
        </w:rPr>
        <w:t xml:space="preserve">Salary Mode vs Loan Performance shows all 1,182 loans fall into the UNKNOWN salary mode category (avg amount ₹13.0k, 304 overdue, 25.7% overdue rate, avg DPD 8), confirming that salary mode data is entirely unpopulated — a significant underwriting data gap. Peak Payment Days line chart shows payment activity peaks on days 25–26 of the month (52 payments each), with a secondary peak around days 1–3, consistent with salary-cycle-driven repayment behaviour.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Age &amp; Gender Analytics</w:t>
            </w:r>
          </w:p>
        </w:tc>
      </w:tr>
    </w:tbl>
    <w:p>
      <w:pPr>
        <w:spacing w:before="80" w:after="80"/>
      </w:pPr>
      <w:r>
        <w:t xml:space="preserve"/>
      </w:r>
    </w:p>
    <w:p>
      <w:pPr>
        <w:spacing w:before="80" w:after="80"/>
      </w:pPr>
      <w:r>
        <w:rPr>
          <w:rFonts w:ascii="Arial" w:cs="Arial" w:eastAsia="Arial" w:hAnsi="Arial"/>
          <w:sz w:val="22"/>
          <w:szCs w:val="22"/>
        </w:rPr>
        <w:t xml:space="preserve">Analyses loan performance split by borrower gender and age group. Gender vs Loan Performance chart shows male borrowers dominate the portfolio with 1,100+ total loans and ₹12.2M disbursed, with an overdue rate of 65.5% and avg DPD of 8.2. Female borrowers have 102 total loans (₹1.1M disbursed), overdue rate of 21.5%, and avg DPD of 6.7 — significantly lower overdue rate and DPD than male borrowers. Other gender category has 5 loans with 40% overdue and avg DPD of 2.4. Unknown gender (2 loans) shows 50% overdue.</w:t>
      </w:r>
    </w:p>
    <w:p>
      <w:pPr>
        <w:spacing w:before="80" w:after="80"/>
      </w:pPr>
      <w:r>
        <w:t xml:space="preserve"/>
      </w:r>
    </w:p>
    <w:p>
      <w:pPr>
        <w:spacing w:before="80" w:after="80"/>
      </w:pPr>
      <w:r>
        <w:rPr>
          <w:rFonts w:ascii="Arial" w:cs="Arial" w:eastAsia="Arial" w:hAnsi="Arial"/>
          <w:sz w:val="22"/>
          <w:szCs w:val="22"/>
        </w:rPr>
        <w:t xml:space="preserve">The female borrower segment, while small in volume, shows substantially better repayment behaviour — 21.5% overdue vs 65.5% for male borrowers — which is an important credit policy signal worth exploring for portfolio quality improvement. Age Group vs Loan Performance chart is still loading in this export and will display age-band risk breakdowns once fully populated.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Salary Cycle Intelligence</w:t>
            </w:r>
          </w:p>
        </w:tc>
      </w:tr>
    </w:tbl>
    <w:p>
      <w:pPr>
        <w:spacing w:before="80" w:after="80"/>
      </w:pPr>
      <w:r>
        <w:t xml:space="preserve"/>
      </w:r>
    </w:p>
    <w:p>
      <w:pPr>
        <w:spacing w:before="80" w:after="80"/>
      </w:pPr>
      <w:r>
        <w:rPr>
          <w:rFonts w:ascii="Arial" w:cs="Arial" w:eastAsia="Arial" w:hAnsi="Arial"/>
          <w:sz w:val="22"/>
          <w:szCs w:val="22"/>
        </w:rPr>
        <w:t xml:space="preserve">Detects repayment and registration patterns aligned to borrowers’ salary cycles. Day-of-Month Payment Pattern (Salary Cycle Detection) shows total payment amounts and counts across each day of the month. Payment activity is lowest in the middle of the month (day 15: only ₹169.1k, 18 payments) and highest around days 25–26 (₹712.6k, 50–52 payments), with a secondary spike around days 1–2 (₹407.2k, 25 payments). This dual-peak pattern is a classic salary-cycle signal: borrowers receive salary at end/start of month and repay immediately.</w:t>
      </w:r>
    </w:p>
    <w:p>
      <w:pPr>
        <w:spacing w:before="80" w:after="80"/>
      </w:pPr>
      <w:r>
        <w:t xml:space="preserve"/>
      </w:r>
    </w:p>
    <w:p>
      <w:pPr>
        <w:spacing w:before="80" w:after="80"/>
      </w:pPr>
      <w:r>
        <w:rPr>
          <w:rFonts w:ascii="Arial" w:cs="Arial" w:eastAsia="Arial" w:hAnsi="Arial"/>
          <w:sz w:val="22"/>
          <w:szCs w:val="22"/>
        </w:rPr>
        <w:t xml:space="preserve">Highest Registration Day chart shows new borrower registrations also follow a clear monthly pattern: a sharp spike on day 2 (1,948 registrations) and days 25–26 (1,846 and 1,749), with troughs in the middle of the month (day 8: only 114 registrations). This confirms that Quikkred’s borrowers are most financially active and likely to seek credit just after salary receipt. Monthly Income Distribution of Borrowers chart is still loading in this export.</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salary cycle data is immediately actionable for collections: payment volumes peak on days 25–26 and days 1–2. Collections should schedule reminder calls and payment link sends 1–2 days before these peaks to maximise on-time repayment.</w:t>
      </w:r>
    </w:p>
    <w:p>
      <w:pPr>
        <w:pStyle w:val="ListParagraph"/>
        <w:numPr>
          <w:ilvl w:val="0"/>
          <w:numId w:val="2"/>
        </w:numPr>
        <w:spacing w:before="60" w:after="60"/>
      </w:pPr>
      <w:r>
        <w:rPr>
          <w:rFonts w:ascii="Arial" w:cs="Arial" w:eastAsia="Arial" w:hAnsi="Arial"/>
          <w:sz w:val="21"/>
          <w:szCs w:val="21"/>
        </w:rPr>
        <w:t xml:space="preserve">Registration spikes on days 2 and 25–26 tell the growth team exactly when borrowers are most likely to apply for loans. Marketing campaigns, app notifications, and disbursal capacity should be concentrated around these windows.</w:t>
      </w:r>
    </w:p>
    <w:p>
      <w:pPr>
        <w:pStyle w:val="ListParagraph"/>
        <w:numPr>
          <w:ilvl w:val="0"/>
          <w:numId w:val="2"/>
        </w:numPr>
        <w:spacing w:before="60" w:after="60"/>
      </w:pPr>
      <w:r>
        <w:rPr>
          <w:rFonts w:ascii="Arial" w:cs="Arial" w:eastAsia="Arial" w:hAnsi="Arial"/>
          <w:sz w:val="21"/>
          <w:szCs w:val="21"/>
        </w:rPr>
        <w:t xml:space="preserve">Female borrowers have a 21.5% overdue rate vs 65.5% for male borrowers — a dramatic difference. The credit and product teams should analyse whether this warrants differentiated loan products, pricing, or targeted acquisition to grow this lower-risk segment.</w:t>
      </w:r>
    </w:p>
    <w:p>
      <w:pPr>
        <w:pStyle w:val="ListParagraph"/>
        <w:numPr>
          <w:ilvl w:val="0"/>
          <w:numId w:val="2"/>
        </w:numPr>
        <w:spacing w:before="60" w:after="60"/>
      </w:pPr>
      <w:r>
        <w:rPr>
          <w:rFonts w:ascii="Arial" w:cs="Arial" w:eastAsia="Arial" w:hAnsi="Arial"/>
          <w:sz w:val="21"/>
          <w:szCs w:val="21"/>
        </w:rPr>
        <w:t xml:space="preserve">Geographic concentration in UP and Maharashtra (both 48+ loans and highest customer counts) represents a portfolio concentration risk. If either state faces an economic disruption, a significant portion of the portfolio could be affected simultaneously.</w:t>
      </w:r>
    </w:p>
    <w:p>
      <w:pPr>
        <w:pStyle w:val="ListParagraph"/>
        <w:numPr>
          <w:ilvl w:val="0"/>
          <w:numId w:val="2"/>
        </w:numPr>
        <w:spacing w:before="60" w:after="60"/>
      </w:pPr>
      <w:r>
        <w:rPr>
          <w:rFonts w:ascii="Arial" w:cs="Arial" w:eastAsia="Arial" w:hAnsi="Arial"/>
          <w:sz w:val="21"/>
          <w:szCs w:val="21"/>
        </w:rPr>
        <w:t xml:space="preserve">The Loan-to-Income ratio showing broadly similar overdue rates across Safe, Moderate, and Stretched buckets suggests the current LTI thresholds may not be the most predictive risk variable — the risk team should investigate whether other factors (tenure, CIBIL score, salary mode) are stronger predictors.</w:t>
      </w:r>
    </w:p>
    <w:p>
      <w:pPr>
        <w:pStyle w:val="ListParagraph"/>
        <w:numPr>
          <w:ilvl w:val="0"/>
          <w:numId w:val="2"/>
        </w:numPr>
        <w:spacing w:before="60" w:after="60"/>
      </w:pPr>
      <w:r>
        <w:rPr>
          <w:rFonts w:ascii="Arial" w:cs="Arial" w:eastAsia="Arial" w:hAnsi="Arial"/>
          <w:sz w:val="21"/>
          <w:szCs w:val="21"/>
        </w:rPr>
        <w:t xml:space="preserve">100% unknown salary mode across all 1,182 loans is a major underwriting data gap. The product team should add salary mode capture to the application flow, as it would significantly improve the accuracy of income-based risk assessment.</w:t>
      </w:r>
    </w:p>
    <w:p>
      <w:pPr>
        <w:pStyle w:val="ListParagraph"/>
        <w:numPr>
          <w:ilvl w:val="0"/>
          <w:numId w:val="2"/>
        </w:numPr>
        <w:spacing w:before="60" w:after="60"/>
      </w:pPr>
      <w:r>
        <w:rPr>
          <w:rFonts w:ascii="Arial" w:cs="Arial" w:eastAsia="Arial" w:hAnsi="Arial"/>
          <w:sz w:val="21"/>
          <w:szCs w:val="21"/>
        </w:rPr>
        <w:t xml:space="preserve">The geographic overdue rate maps give collections managers a visual prioritisation tool — states in deep blue on the overdue map should receive more intensive collections resources than lighter-shaded states.</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Geographic &amp; Demographic Intelligence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2026-03-21T05:39:37.418Z</dcterms:created>
  <dcterms:modified xsi:type="dcterms:W3CDTF">2026-03-21T05:39:37.418Z</dcterms:modified>
</cp:coreProperties>
</file>

<file path=docProps/custom.xml><?xml version="1.0" encoding="utf-8"?>
<Properties xmlns="http://schemas.openxmlformats.org/officeDocument/2006/custom-properties" xmlns:vt="http://schemas.openxmlformats.org/officeDocument/2006/docPropsVTypes"/>
</file>