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300"/>
              <w:left w:type="dxa" w:w="360"/>
              <w:bottom w:type="dxa" w:w="300"/>
              <w:right w:type="dxa" w:w="360"/>
            </w:tcMar>
          </w:tcPr>
          <w:p>
            <w:pPr>
              <w:jc w:val="center"/>
            </w:pPr>
            <w:r>
              <w:rPr>
                <w:rFonts w:ascii="Arial" w:cs="Arial" w:eastAsia="Arial" w:hAnsi="Arial"/>
                <w:b/>
                <w:bCs/>
                <w:color w:val="FFFFFF"/>
                <w:sz w:val="36"/>
                <w:szCs w:val="36"/>
              </w:rPr>
              <w:t xml:space="preserve">Fraud &amp; Security Intelligence</w:t>
            </w:r>
          </w:p>
          <w:p>
            <w:pPr>
              <w:spacing w:before="80"/>
              <w:jc w:val="center"/>
            </w:pPr>
            <w:r>
              <w:rPr>
                <w:rFonts w:ascii="Arial" w:cs="Arial" w:eastAsia="Arial" w:hAnsi="Arial"/>
                <w:i/>
                <w:iCs/>
                <w:color w:val="9DC3E6"/>
                <w:sz w:val="22"/>
                <w:szCs w:val="22"/>
              </w:rPr>
              <w:t xml:space="preserve">Dashboard Summary  —  Quikkred</w:t>
            </w:r>
          </w:p>
        </w:tc>
      </w:tr>
    </w:tbl>
    <w:p>
      <w:pPr>
        <w:spacing w:before="80" w:after="80"/>
      </w:pPr>
      <w:r>
        <w:t xml:space="preserve"/>
      </w:r>
    </w:p>
    <w:p>
      <w:pPr>
        <w:pStyle w:val="Heading1"/>
        <w:spacing w:before="160" w:after="100"/>
      </w:pPr>
      <w:r>
        <w:rPr>
          <w:rFonts w:ascii="Arial" w:cs="Arial" w:eastAsia="Arial" w:hAnsi="Arial"/>
          <w:b/>
          <w:bCs/>
          <w:color w:val="1B3A5C"/>
          <w:sz w:val="30"/>
          <w:szCs w:val="30"/>
        </w:rPr>
        <w:t xml:space="preserve">Dashboard Overview</w:t>
      </w:r>
    </w:p>
    <w:p>
      <w:pPr>
        <w:spacing w:before="80" w:after="80"/>
      </w:pPr>
      <w:r>
        <w:rPr>
          <w:rFonts w:ascii="Arial" w:cs="Arial" w:eastAsia="Arial" w:hAnsi="Arial"/>
          <w:sz w:val="22"/>
          <w:szCs w:val="22"/>
        </w:rPr>
        <w:t xml:space="preserve">The Fraud &amp; Security Intelligence dashboard is Quikkred’s dedicated risk and security monitoring layer. It tracks suspicious application behaviour, blacklisted entities attempting re-entry, device trust scores, and IP/session security patterns. Across four tabs it gives the risk, compliance, and technology teams a real-time view of fraud signals, unauthorised access attempts, and platform security posture. This dashboard is critical for protecting the business from financial fraud, identity abuse, and systemic platform exploitation.</w:t>
      </w:r>
    </w:p>
    <w:p>
      <w:pPr>
        <w:spacing w:before="80" w:after="80"/>
      </w:pPr>
      <w:r>
        <w:t xml:space="preserve"/>
      </w:r>
    </w:p>
    <w:p>
      <w:pPr>
        <w:pBdr>
          <w:bottom w:val="single" w:color="2E75B6" w:sz="4" w:space="1"/>
        </w:pBdr>
        <w:spacing w:before="120" w:after="120"/>
      </w:pPr>
      <w:r>
        <w:t xml:space="preserve"/>
      </w:r>
    </w:p>
    <w:p>
      <w:pPr>
        <w:pStyle w:val="Heading1"/>
        <w:spacing w:before="200" w:after="100"/>
      </w:pPr>
      <w:r>
        <w:rPr>
          <w:rFonts w:ascii="Arial" w:cs="Arial" w:eastAsia="Arial" w:hAnsi="Arial"/>
          <w:b/>
          <w:bCs/>
          <w:color w:val="1B3A5C"/>
          <w:sz w:val="30"/>
          <w:szCs w:val="30"/>
        </w:rPr>
        <w:t xml:space="preserve">Tab Summaries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1</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Blacklist &amp; Watchlist Analytics</w:t>
            </w:r>
          </w:p>
        </w:tc>
      </w:tr>
    </w:tbl>
    <w:p>
      <w:pPr>
        <w:spacing w:before="80" w:after="80"/>
      </w:pPr>
      <w:r>
        <w:t xml:space="preserve"/>
      </w:r>
    </w:p>
    <w:p>
      <w:pPr>
        <w:spacing w:before="80" w:after="80"/>
      </w:pPr>
      <w:r>
        <w:rPr>
          <w:rFonts w:ascii="Arial" w:cs="Arial" w:eastAsia="Arial" w:hAnsi="Arial"/>
          <w:sz w:val="22"/>
          <w:szCs w:val="22"/>
        </w:rPr>
        <w:t xml:space="preserve">Tracks all blacklisted entities on the platform and monitors for re-entry attempts. Total blacklisted entries: 1,449, evenly distributed across four identifier types — Mobile (25.1%), PAN (25.1%), Email (24.9%), and Aadhaar (24.9%). Every single blacklist entry (100%) was triggered by the same automated rule: DPD &gt;= 7, meaning all blacklistings are due to borrowers going 7 or more days overdue on repayment.</w:t>
      </w:r>
    </w:p>
    <w:p>
      <w:pPr>
        <w:spacing w:before="80" w:after="80"/>
      </w:pPr>
      <w:r>
        <w:t xml:space="preserve"/>
      </w:r>
    </w:p>
    <w:p>
      <w:pPr>
        <w:spacing w:before="80" w:after="80"/>
      </w:pPr>
      <w:r>
        <w:rPr>
          <w:rFonts w:ascii="Arial" w:cs="Arial" w:eastAsia="Arial" w:hAnsi="Arial"/>
          <w:sz w:val="22"/>
          <w:szCs w:val="22"/>
        </w:rPr>
        <w:t xml:space="preserve">Blacklist Trend Over Time (Sankey chart) shows blacklisting activity in February and March 2026, with roughly 160–200 entries per identifier type per month, indicating the blacklist is growing steadily as more borrowers breach the DPD threshold.</w:t>
      </w:r>
    </w:p>
    <w:p>
      <w:pPr>
        <w:spacing w:before="80" w:after="80"/>
      </w:pPr>
      <w:r>
        <w:t xml:space="preserve"/>
      </w:r>
    </w:p>
    <w:p>
      <w:pPr>
        <w:spacing w:before="80" w:after="80"/>
      </w:pPr>
      <w:r>
        <w:rPr>
          <w:rFonts w:ascii="Arial" w:cs="Arial" w:eastAsia="Arial" w:hAnsi="Arial"/>
          <w:sz w:val="22"/>
          <w:szCs w:val="22"/>
        </w:rPr>
        <w:t xml:space="preserve">Blacklisted Entities Attempting Re-entry is the most operationally critical table on this tab. It shows 50 individuals who are on the blacklist but have submitted new applications, some of whom have been DISBURSED to despite being blacklisted. This is a serious fraud control gap that requires immediate review by the risk team.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2</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Trusted Device &amp; Access Security</w:t>
            </w:r>
          </w:p>
        </w:tc>
      </w:tr>
    </w:tbl>
    <w:p>
      <w:pPr>
        <w:spacing w:before="80" w:after="80"/>
      </w:pPr>
      <w:r>
        <w:t xml:space="preserve"/>
      </w:r>
    </w:p>
    <w:p>
      <w:pPr>
        <w:spacing w:before="80" w:after="80"/>
      </w:pPr>
      <w:r>
        <w:rPr>
          <w:rFonts w:ascii="Arial" w:cs="Arial" w:eastAsia="Arial" w:hAnsi="Arial"/>
          <w:sz w:val="22"/>
          <w:szCs w:val="22"/>
        </w:rPr>
        <w:t xml:space="preserve">Monitors device-level trust scores and flags potentially compromised devices. Currently shows a small dataset of 4 registered trusted devices, all classified as ‘Very High Trust’ (100%), all on desktop device type. Device Type Distribution shows 4 desktop devices counted and 4 approved, with 0 rooted and 0 emulator detections.</w:t>
      </w:r>
    </w:p>
    <w:p>
      <w:pPr>
        <w:spacing w:before="80" w:after="80"/>
      </w:pPr>
      <w:r>
        <w:t xml:space="preserve"/>
      </w:r>
    </w:p>
    <w:p>
      <w:pPr>
        <w:spacing w:before="80" w:after="80"/>
      </w:pPr>
      <w:r>
        <w:rPr>
          <w:rFonts w:ascii="Arial" w:cs="Arial" w:eastAsia="Arial" w:hAnsi="Arial"/>
          <w:sz w:val="22"/>
          <w:szCs w:val="22"/>
        </w:rPr>
        <w:t xml:space="preserve">This tab is in an early stage — the device trust model appears to be tracking a limited set of admin or test devices rather than the full borrower device fleet. As mobile app adoption grows and more borrower devices are registered, this tab will become a critical tool for detecting rooted phones, emulators, and other high-risk device signals that are commonly used in lending fraud.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3</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Fraud Pattern Detection</w:t>
            </w:r>
          </w:p>
        </w:tc>
      </w:tr>
    </w:tbl>
    <w:p>
      <w:pPr>
        <w:spacing w:before="80" w:after="80"/>
      </w:pPr>
      <w:r>
        <w:t xml:space="preserve"/>
      </w:r>
    </w:p>
    <w:p>
      <w:pPr>
        <w:spacing w:before="80" w:after="80"/>
      </w:pPr>
      <w:r>
        <w:rPr>
          <w:rFonts w:ascii="Arial" w:cs="Arial" w:eastAsia="Arial" w:hAnsi="Arial"/>
          <w:sz w:val="22"/>
          <w:szCs w:val="22"/>
        </w:rPr>
        <w:t xml:space="preserve">Identifies coordinated fraud signals through velocity checks and application behaviour analysis. The Velocity Check — Rapid Applications from Same IP/Device table is the most data-rich section, showing 30 IP addresses that have generated unusually high application volumes. Top flagged IPs include 66.249.73.129 (197 total journeys, 118 unique visitors, 567.9-hour span), 66.249.73.130 (148 journeys, 101 visitors), and 183.83.155.143 (260 journeys but only 27 unique visitors — a high journey-to-visitor ratio suggesting automated bot activity). Most flagged IPs are active across both /apply/quick and /apply/quick-v2 landing pages.</w:t>
      </w:r>
    </w:p>
    <w:p>
      <w:pPr>
        <w:spacing w:before="80" w:after="80"/>
      </w:pPr>
      <w:r>
        <w:t xml:space="preserve"/>
      </w:r>
    </w:p>
    <w:p>
      <w:pPr>
        <w:spacing w:before="80" w:after="80"/>
      </w:pPr>
      <w:r>
        <w:rPr>
          <w:rFonts w:ascii="Arial" w:cs="Arial" w:eastAsia="Arial" w:hAnsi="Arial"/>
          <w:sz w:val="22"/>
          <w:szCs w:val="22"/>
        </w:rPr>
        <w:t xml:space="preserve">Application-to-Loan Fraud Funnel chart had a rendering error in the export (chart display problem) and Form Paste Detection (Copy-Paste Fraud Signal) shows no results currently. These sections are built and will produce data as the fraud detection models mature.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4</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IP &amp; Session Security</w:t>
            </w:r>
          </w:p>
        </w:tc>
      </w:tr>
    </w:tbl>
    <w:p>
      <w:pPr>
        <w:spacing w:before="80" w:after="80"/>
      </w:pPr>
      <w:r>
        <w:t xml:space="preserve"/>
      </w:r>
    </w:p>
    <w:p>
      <w:pPr>
        <w:spacing w:before="80" w:after="80"/>
      </w:pPr>
      <w:r>
        <w:rPr>
          <w:rFonts w:ascii="Arial" w:cs="Arial" w:eastAsia="Arial" w:hAnsi="Arial"/>
          <w:sz w:val="22"/>
          <w:szCs w:val="22"/>
        </w:rPr>
        <w:t xml:space="preserve">Monitors session-level activity and IP access controls. Session Analytics (daily chart, February–March 2026) shows total sessions spiking sharply on specific days — peak of 529 active sessions on a single day in mid-February, with most days ranging from 100–350 sessions. Average session length is a constant 167.9 hours across all dates, which is anomalously high and likely indicates a data model issue with session expiry tracking rather than genuine session durations.</w:t>
      </w:r>
    </w:p>
    <w:p>
      <w:pPr>
        <w:spacing w:before="80" w:after="80"/>
      </w:pPr>
      <w:r>
        <w:t xml:space="preserve"/>
      </w:r>
    </w:p>
    <w:p>
      <w:pPr>
        <w:spacing w:before="80" w:after="80"/>
      </w:pPr>
      <w:r>
        <w:rPr>
          <w:rFonts w:ascii="Arial" w:cs="Arial" w:eastAsia="Arial" w:hAnsi="Arial"/>
          <w:sz w:val="22"/>
          <w:szCs w:val="22"/>
        </w:rPr>
        <w:t xml:space="preserve">IP Whitelist Status shows only one entry: IP address 0.0.0.0 approved for ‘admin-all-devices’ with action APPROVED, added December 30, 2025. The presence of 0.0.0.0 (a wildcard/any IP) as the sole whitelisted entry suggests the whitelist is either in a default/unconfigured state or intentionally open — this should be reviewed by the security team to ensure it reflects intended access policy.</w:t>
      </w:r>
    </w:p>
    <w:p>
      <w:pPr>
        <w:spacing w:before="80" w:after="80"/>
      </w:pPr>
      <w:r>
        <w:t xml:space="preserve"/>
      </w:r>
    </w:p>
    <w:p>
      <w:pPr>
        <w:pBdr>
          <w:bottom w:val="single" w:color="2E75B6" w:sz="4" w:space="1"/>
        </w:pBdr>
        <w:spacing w:before="120" w:after="120"/>
      </w:pPr>
      <w:r>
        <w:t xml:space="preserve"/>
      </w:r>
    </w:p>
    <w:p>
      <w:pPr>
        <w:pStyle w:val="Heading1"/>
        <w:spacing w:before="200" w:after="120"/>
      </w:pPr>
      <w:r>
        <w:rPr>
          <w:rFonts w:ascii="Arial" w:cs="Arial" w:eastAsia="Arial" w:hAnsi="Arial"/>
          <w:b/>
          <w:bCs/>
          <w:color w:val="1B3A5C"/>
          <w:sz w:val="30"/>
          <w:szCs w:val="30"/>
        </w:rPr>
        <w:t xml:space="preserve">How This Dashboard Helps Operations</w:t>
      </w:r>
    </w:p>
    <w:p>
      <w:pPr>
        <w:pStyle w:val="ListParagraph"/>
        <w:numPr>
          <w:ilvl w:val="0"/>
          <w:numId w:val="2"/>
        </w:numPr>
        <w:spacing w:before="60" w:after="60"/>
      </w:pPr>
      <w:r>
        <w:rPr>
          <w:rFonts w:ascii="Arial" w:cs="Arial" w:eastAsia="Arial" w:hAnsi="Arial"/>
          <w:sz w:val="21"/>
          <w:szCs w:val="21"/>
        </w:rPr>
        <w:t xml:space="preserve">The 50 blacklisted entities who have re-applied and some of whom have been DISBURSED to despite blacklisting is a critical fraud control failure — the risk team must audit these cases immediately and determine whether disbursals were made in error or the blacklist check is not being enforced at the approval stage.</w:t>
      </w:r>
    </w:p>
    <w:p>
      <w:pPr>
        <w:pStyle w:val="ListParagraph"/>
        <w:numPr>
          <w:ilvl w:val="0"/>
          <w:numId w:val="2"/>
        </w:numPr>
        <w:spacing w:before="60" w:after="60"/>
      </w:pPr>
      <w:r>
        <w:rPr>
          <w:rFonts w:ascii="Arial" w:cs="Arial" w:eastAsia="Arial" w:hAnsi="Arial"/>
          <w:sz w:val="21"/>
          <w:szCs w:val="21"/>
        </w:rPr>
        <w:t xml:space="preserve">The 1,449 blacklist entries all triggered by DPD &gt;= 7 confirms the blacklisting engine is working automatically. However, the fact that re-entry is possible means the enforcement gate at application intake needs strengthening to prevent blacklisted identifiers from progressing past initial screening.</w:t>
      </w:r>
    </w:p>
    <w:p>
      <w:pPr>
        <w:pStyle w:val="ListParagraph"/>
        <w:numPr>
          <w:ilvl w:val="0"/>
          <w:numId w:val="2"/>
        </w:numPr>
        <w:spacing w:before="60" w:after="60"/>
      </w:pPr>
      <w:r>
        <w:rPr>
          <w:rFonts w:ascii="Arial" w:cs="Arial" w:eastAsia="Arial" w:hAnsi="Arial"/>
          <w:sz w:val="21"/>
          <w:szCs w:val="21"/>
        </w:rPr>
        <w:t xml:space="preserve">The velocity check table flagging IPs with 80–260 journeys (some with very low unique visitor counts like 27 unique visitors across 260 journeys) strongly suggests bot traffic or automated application farming, which can inflate application counts and distort conversion metrics.</w:t>
      </w:r>
    </w:p>
    <w:p>
      <w:pPr>
        <w:pStyle w:val="ListParagraph"/>
        <w:numPr>
          <w:ilvl w:val="0"/>
          <w:numId w:val="2"/>
        </w:numPr>
        <w:spacing w:before="60" w:after="60"/>
      </w:pPr>
      <w:r>
        <w:rPr>
          <w:rFonts w:ascii="Arial" w:cs="Arial" w:eastAsia="Arial" w:hAnsi="Arial"/>
          <w:sz w:val="21"/>
          <w:szCs w:val="21"/>
        </w:rPr>
        <w:t xml:space="preserve">IP 183.83.155.143 generating 260 journeys from only 27 unique visitors over 72 hours is the single most suspicious entry and should be investigated and blocked if confirmed as non-human traffic.</w:t>
      </w:r>
    </w:p>
    <w:p>
      <w:pPr>
        <w:pStyle w:val="ListParagraph"/>
        <w:numPr>
          <w:ilvl w:val="0"/>
          <w:numId w:val="2"/>
        </w:numPr>
        <w:spacing w:before="60" w:after="60"/>
      </w:pPr>
      <w:r>
        <w:rPr>
          <w:rFonts w:ascii="Arial" w:cs="Arial" w:eastAsia="Arial" w:hAnsi="Arial"/>
          <w:sz w:val="21"/>
          <w:szCs w:val="21"/>
        </w:rPr>
        <w:t xml:space="preserve">The 167.9-hour average session length anomaly in the IP &amp; Session Security tab should be escalated to the tech team as a potential data model defect — genuine sessions of that length would indicate permanently open user sessions, which itself is a security risk.</w:t>
      </w:r>
    </w:p>
    <w:p>
      <w:pPr>
        <w:pStyle w:val="ListParagraph"/>
        <w:numPr>
          <w:ilvl w:val="0"/>
          <w:numId w:val="2"/>
        </w:numPr>
        <w:spacing w:before="60" w:after="60"/>
      </w:pPr>
      <w:r>
        <w:rPr>
          <w:rFonts w:ascii="Arial" w:cs="Arial" w:eastAsia="Arial" w:hAnsi="Arial"/>
          <w:sz w:val="21"/>
          <w:szCs w:val="21"/>
        </w:rPr>
        <w:t xml:space="preserve">The IP whitelist containing only 0.0.0.0 (approved for all devices) should be reviewed by the security team — if this is unintentional, it means IP-based access controls are effectively open, posing an administrative security risk.</w:t>
      </w:r>
    </w:p>
    <w:p>
      <w:pPr>
        <w:pStyle w:val="ListParagraph"/>
        <w:numPr>
          <w:ilvl w:val="0"/>
          <w:numId w:val="2"/>
        </w:numPr>
        <w:spacing w:before="60" w:after="60"/>
      </w:pPr>
      <w:r>
        <w:rPr>
          <w:rFonts w:ascii="Arial" w:cs="Arial" w:eastAsia="Arial" w:hAnsi="Arial"/>
          <w:sz w:val="21"/>
          <w:szCs w:val="21"/>
        </w:rPr>
        <w:t xml:space="preserve">As the Trusted Device tab matures with more borrower device data, it will become a key fraud prevention signal — flagging rooted phones and emulators that are disproportionately used in identity fraud and synthetic application schemes.</w:t>
      </w:r>
    </w:p>
    <w:p>
      <w:pPr>
        <w:spacing w:before="80" w:after="80"/>
      </w:pPr>
      <w:r>
        <w:t xml:space="preserve"/>
      </w:r>
    </w:p>
    <w:p>
      <w:pPr>
        <w:pBdr>
          <w:bottom w:val="single" w:color="2E75B6" w:sz="4" w:space="1"/>
        </w:pBdr>
        <w:spacing w:before="120" w:after="120"/>
      </w:pPr>
      <w:r>
        <w:t xml:space="preserve"/>
      </w:r>
    </w:p>
    <w:p>
      <w:pPr>
        <w:spacing w:before="120" w:after="60"/>
        <w:jc w:val="center"/>
      </w:pPr>
      <w:r>
        <w:rPr>
          <w:rFonts w:ascii="Arial" w:cs="Arial" w:eastAsia="Arial" w:hAnsi="Arial"/>
          <w:i/>
          <w:iCs/>
          <w:color w:val="AAAAAA"/>
          <w:sz w:val="18"/>
          <w:szCs w:val="18"/>
        </w:rPr>
        <w:t xml:space="preserve">Document prepared by the Technology Team  —  March 2026</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7"/>
        <w:szCs w:val="17"/>
      </w:rPr>
      <w:t xml:space="preserve">Fraud &amp; Security Intelligence  |  Quikkred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B3A5C"/>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2026-03-21T05:37:41.181Z</dcterms:created>
  <dcterms:modified xsi:type="dcterms:W3CDTF">2026-03-21T05:37:41.182Z</dcterms:modified>
</cp:coreProperties>
</file>

<file path=docProps/custom.xml><?xml version="1.0" encoding="utf-8"?>
<Properties xmlns="http://schemas.openxmlformats.org/officeDocument/2006/custom-properties" xmlns:vt="http://schemas.openxmlformats.org/officeDocument/2006/docPropsVTypes"/>
</file>