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4"/>
                <w:szCs w:val="34"/>
              </w:rPr>
              <w:t xml:space="preserve">Forecasting &amp; Cash Flow Projections</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Forecasting &amp; Cash Flow Projections dashboard is Quikkred’s forward-looking planning tool. Across four tabs it covers the upcoming loan maturity pipeline, expected vs actual cash flow projections, portfolio growth trajectory, and risk-adjusted loss forecasting. Unlike operational dashboards that look backwards, this dashboard answers the question: what is coming next, and are we financially prepared for it? It is essential for treasury planning, risk provisioning, and strategic decision-making.</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Loan Maturity Pipeline</w:t>
            </w:r>
          </w:p>
        </w:tc>
      </w:tr>
    </w:tbl>
    <w:p>
      <w:pPr>
        <w:spacing w:before="80" w:after="80"/>
      </w:pPr>
      <w:r>
        <w:t xml:space="preserve"/>
      </w:r>
    </w:p>
    <w:p>
      <w:pPr>
        <w:spacing w:before="80" w:after="80"/>
      </w:pPr>
      <w:r>
        <w:rPr>
          <w:rFonts w:ascii="Arial" w:cs="Arial" w:eastAsia="Arial" w:hAnsi="Arial"/>
          <w:sz w:val="22"/>
          <w:szCs w:val="22"/>
        </w:rPr>
        <w:t xml:space="preserve">Provides a forward calendar of all loans approaching maturity across the next 7, 15, and 30 days, alongside a historical view of already-overdue loans by aging bucket. The Loans Maturing table shows 385 loans in the pipeline, with several already in ‘Already Past Due’ status — including loans with maturity dates as far back as January 16–19, 2026, still unresolved and carrying negative days-to-maturity figures up to −60.8 days.</w:t>
      </w:r>
    </w:p>
    <w:p>
      <w:pPr>
        <w:spacing w:before="80" w:after="80"/>
      </w:pPr>
      <w:r>
        <w:t xml:space="preserve"/>
      </w:r>
    </w:p>
    <w:p>
      <w:pPr>
        <w:spacing w:before="80" w:after="80"/>
      </w:pPr>
      <w:r>
        <w:rPr>
          <w:rFonts w:ascii="Arial" w:cs="Arial" w:eastAsia="Arial" w:hAnsi="Arial"/>
          <w:sz w:val="22"/>
          <w:szCs w:val="22"/>
        </w:rPr>
        <w:t xml:space="preserve">Daily Maturity Calendar (Next 30 Days) charts loan counts and due amounts day-by-day from February through May 2026. Peak maturity days show up to 24 loans due on a single day (₹203.6k), with several ₹200k+ due dates clustered in February and March. This gives collections and operations teams a forward workload view to plan capacity.</w:t>
      </w:r>
    </w:p>
    <w:p>
      <w:pPr>
        <w:spacing w:before="80" w:after="80"/>
      </w:pPr>
      <w:r>
        <w:t xml:space="preserve"/>
      </w:r>
    </w:p>
    <w:p>
      <w:pPr>
        <w:spacing w:before="80" w:after="80"/>
      </w:pPr>
      <w:r>
        <w:rPr>
          <w:rFonts w:ascii="Arial" w:cs="Arial" w:eastAsia="Arial" w:hAnsi="Arial"/>
          <w:sz w:val="22"/>
          <w:szCs w:val="22"/>
        </w:rPr>
        <w:t xml:space="preserve">Past Due Aging (Already Overdue Breakdown) shows the 31–60 DPD bucket is the largest by both count (138 loans, ₹2.6M outstanding) and outstanding value. 16–30 DPD has 99 loans (₹1.7M), and 61–90 DPD has 2 loans (₹64.5k) with avg DPD of 62.5 — a small but serious delinquency tail.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Cash Flow Projections</w:t>
            </w:r>
          </w:p>
        </w:tc>
      </w:tr>
    </w:tbl>
    <w:p>
      <w:pPr>
        <w:spacing w:before="80" w:after="80"/>
      </w:pPr>
      <w:r>
        <w:t xml:space="preserve"/>
      </w:r>
    </w:p>
    <w:p>
      <w:pPr>
        <w:spacing w:before="80" w:after="80"/>
      </w:pPr>
      <w:r>
        <w:rPr>
          <w:rFonts w:ascii="Arial" w:cs="Arial" w:eastAsia="Arial" w:hAnsi="Arial"/>
          <w:sz w:val="22"/>
          <w:szCs w:val="22"/>
        </w:rPr>
        <w:t xml:space="preserve">Tracks expected vs actual collections on a monthly basis and projects net cash flow from disbursements and collections. Expected vs Actual Collections shows: January 2026 — expected ₹2.7M, actual ₹1.7M (62.4% collection rate, 155 loans, 71 closed on time, 37 closed late); February 2026 — expected ₹9.3M, actual ₹6.2M (67.2% rate, 574 loans, 291 closed on time, 165 closed late); March 2026 — expected ₹7.2M, actual ₹4.4M (61.2% rate, 435 loans so far). April and May 2026 show forward projections with only ₹320k and ₹20.9k expected — very early pipeline stage.</w:t>
      </w:r>
    </w:p>
    <w:p>
      <w:pPr>
        <w:spacing w:before="80" w:after="80"/>
      </w:pPr>
      <w:r>
        <w:t xml:space="preserve"/>
      </w:r>
    </w:p>
    <w:p>
      <w:pPr>
        <w:spacing w:before="80" w:after="80"/>
      </w:pPr>
      <w:r>
        <w:rPr>
          <w:rFonts w:ascii="Arial" w:cs="Arial" w:eastAsia="Arial" w:hAnsi="Arial"/>
          <w:sz w:val="22"/>
          <w:szCs w:val="22"/>
        </w:rPr>
        <w:t xml:space="preserve">Net Cash Flow Projection (Disbursements) shows loan disbursements growing from ₹5.1M (450 loans) in January to ₹8.3M (732 loans) in February. Net Cash Flow Projection (Collections) shows ₹95,010 collected in February (393 closed loans) and ₹26,950 in March (403 closed loans) — these appear to be partial/residual collection figures rather than total monthly collections. Collection Efficiency Trend (daily chart) shows peak collection days reaching ₹1.1M (52 payments) in early February, with the daily pattern showing sharp spikes every 7–15 days, matching the tenure cycle of short-term loans.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Portfolio Growth Trajectory</w:t>
            </w:r>
          </w:p>
        </w:tc>
      </w:tr>
    </w:tbl>
    <w:p>
      <w:pPr>
        <w:spacing w:before="80" w:after="80"/>
      </w:pPr>
      <w:r>
        <w:t xml:space="preserve"/>
      </w:r>
    </w:p>
    <w:p>
      <w:pPr>
        <w:spacing w:before="80" w:after="80"/>
      </w:pPr>
      <w:r>
        <w:rPr>
          <w:rFonts w:ascii="Arial" w:cs="Arial" w:eastAsia="Arial" w:hAnsi="Arial"/>
          <w:sz w:val="22"/>
          <w:szCs w:val="22"/>
        </w:rPr>
        <w:t xml:space="preserve">Tracks how the portfolio is growing in terms of AUM, loan counts, disbursements, and customer acquisition over time. Cumulative AUM Growth (daily chart, January–February 2026) shows daily loan counts and disbursements with peak activity around January 28 (63 loans, ₹540.4k) and February 4 (74 loans, ₹577.9k).</w:t>
      </w:r>
    </w:p>
    <w:p>
      <w:pPr>
        <w:spacing w:before="80" w:after="80"/>
      </w:pPr>
      <w:r>
        <w:t xml:space="preserve"/>
      </w:r>
    </w:p>
    <w:p>
      <w:pPr>
        <w:spacing w:before="80" w:after="80"/>
      </w:pPr>
      <w:r>
        <w:rPr>
          <w:rFonts w:ascii="Arial" w:cs="Arial" w:eastAsia="Arial" w:hAnsi="Arial"/>
          <w:sz w:val="22"/>
          <w:szCs w:val="22"/>
        </w:rPr>
        <w:t xml:space="preserve">Week-over-Week Growth Metrics shows new loan counts per week ranging from a low of 4 (week of January 7) to a high of 42 (week of January 28), with disbursed amounts spanning ₹18.7k to ₹1.1M. Notably, the average CIBIL score has remained remarkably stable across all weeks at approximately 699–725 — meaning borrower quality has not deteriorated despite volume growth.</w:t>
      </w:r>
    </w:p>
    <w:p>
      <w:pPr>
        <w:spacing w:before="80" w:after="80"/>
      </w:pPr>
      <w:r>
        <w:t xml:space="preserve"/>
      </w:r>
    </w:p>
    <w:p>
      <w:pPr>
        <w:spacing w:before="80" w:after="80"/>
      </w:pPr>
      <w:r>
        <w:rPr>
          <w:rFonts w:ascii="Arial" w:cs="Arial" w:eastAsia="Arial" w:hAnsi="Arial"/>
          <w:sz w:val="22"/>
          <w:szCs w:val="22"/>
        </w:rPr>
        <w:t xml:space="preserve">Customer Acquisition Velocity (daily, January–March 2026) shows a sharp acquisition spike in late January–early February (peaking at 1,974 new customers on a single day), followed by sustained but declining daily acquisition through February (400–1,590 per day) and a rapid taper in March (down to 2–52 per day). This pattern is characteristic of a paid campaign that has ended rather than organic growth taking hold.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Risk-Adjusted Projections</w:t>
            </w:r>
          </w:p>
        </w:tc>
      </w:tr>
    </w:tbl>
    <w:p>
      <w:pPr>
        <w:spacing w:before="80" w:after="80"/>
      </w:pPr>
      <w:r>
        <w:t xml:space="preserve"/>
      </w:r>
    </w:p>
    <w:p>
      <w:pPr>
        <w:spacing w:before="80" w:after="80"/>
      </w:pPr>
      <w:r>
        <w:rPr>
          <w:rFonts w:ascii="Arial" w:cs="Arial" w:eastAsia="Arial" w:hAnsi="Arial"/>
          <w:sz w:val="22"/>
          <w:szCs w:val="22"/>
        </w:rPr>
        <w:t xml:space="preserve">Combines PAR trend data, expected loss modelling, and geographic and product concentration risk into one forward-looking risk view. PAR Trend table shows January 2026 had ₹2.96M outstanding with very high PAR ratios (PAR1: 95.7%, PAR30: 87.5%, PAR60: 7.4%), while February improved significantly to ₹4.13M outstanding with PAR1 down to 66.8% and PAR30 falling sharply to 6.8% — indicating collections improved substantially month-on-month.</w:t>
      </w:r>
    </w:p>
    <w:p>
      <w:pPr>
        <w:spacing w:before="80" w:after="80"/>
      </w:pPr>
      <w:r>
        <w:t xml:space="preserve"/>
      </w:r>
    </w:p>
    <w:p>
      <w:pPr>
        <w:spacing w:before="80" w:after="80"/>
      </w:pPr>
      <w:r>
        <w:rPr>
          <w:rFonts w:ascii="Arial" w:cs="Arial" w:eastAsia="Arial" w:hAnsi="Arial"/>
          <w:sz w:val="22"/>
          <w:szCs w:val="22"/>
        </w:rPr>
        <w:t xml:space="preserve">Expected Loss by Product Segment is the most critical table in this tab. It estimates potential loss exposure by tenure and amount range. Highest estimated losses: 15-day / ₹10–20K loans (₹1,087,242 estimated loss, 99% overdue rate, avg DPD 25.8); 15-day / ₹0–10K (₹754,842, 94.6% overdue); 15-day / ₹20–30K (₹334,335, 100% overdue). Total estimated loss exposure across all high-risk segments exceeds ₹2.7M. 60+ day tenure loans show 0% overdue and ₹0 estimated loss, performing cleanly.</w:t>
      </w:r>
    </w:p>
    <w:p>
      <w:pPr>
        <w:spacing w:before="80" w:after="80"/>
      </w:pPr>
      <w:r>
        <w:t xml:space="preserve"/>
      </w:r>
    </w:p>
    <w:p>
      <w:pPr>
        <w:spacing w:before="80" w:after="80"/>
      </w:pPr>
      <w:r>
        <w:rPr>
          <w:rFonts w:ascii="Arial" w:cs="Arial" w:eastAsia="Arial" w:hAnsi="Arial"/>
          <w:sz w:val="22"/>
          <w:szCs w:val="22"/>
        </w:rPr>
        <w:t xml:space="preserve">Concentration Risk Monitor By Tenure shows 15-day loans dominate the outstanding portfolio at ₹4.5M (270+ loans), with 30-day loans at ₹1.4M. By Amount Range: ₹10–15K bucket has the most loans (160 loans, ₹2.1M) followed by ₹5–10K (107 loans, ₹2.1M). By State: Uttar Pradesh and Maharashtra lead with ~₹847–845k outstanding each (48–51 loans), followed by Maharashtra, Rajasthan, and West Bengal. Geographic concentration in these five states represents a key risk if economic conditions in those regions deteriorate.</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Loan Maturity Pipeline’s 385-loan upcoming maturity list with several loans already 57–61 days past their maturity date is an immediate collections escalation signal — these accounts need priority follow-up today.</w:t>
      </w:r>
    </w:p>
    <w:p>
      <w:pPr>
        <w:pStyle w:val="ListParagraph"/>
        <w:numPr>
          <w:ilvl w:val="0"/>
          <w:numId w:val="2"/>
        </w:numPr>
        <w:spacing w:before="60" w:after="60"/>
      </w:pPr>
      <w:r>
        <w:rPr>
          <w:rFonts w:ascii="Arial" w:cs="Arial" w:eastAsia="Arial" w:hAnsi="Arial"/>
          <w:sz w:val="21"/>
          <w:szCs w:val="21"/>
        </w:rPr>
        <w:t xml:space="preserve">The Daily Maturity Calendar gives the collections team a 30-day forward workload plan, allowing them to staff up on high-volume due dates and prepare outreach campaigns before loans fall overdue.</w:t>
      </w:r>
    </w:p>
    <w:p>
      <w:pPr>
        <w:pStyle w:val="ListParagraph"/>
        <w:numPr>
          <w:ilvl w:val="0"/>
          <w:numId w:val="2"/>
        </w:numPr>
        <w:spacing w:before="60" w:after="60"/>
      </w:pPr>
      <w:r>
        <w:rPr>
          <w:rFonts w:ascii="Arial" w:cs="Arial" w:eastAsia="Arial" w:hAnsi="Arial"/>
          <w:sz w:val="21"/>
          <w:szCs w:val="21"/>
        </w:rPr>
        <w:t xml:space="preserve">Collection efficiency trending at 61–67% across all three months (vs a target of 80%+) confirms the business is consistently under-collecting. The forward projection tabs allow finance to quantify the resulting cash shortfall for treasury planning.</w:t>
      </w:r>
    </w:p>
    <w:p>
      <w:pPr>
        <w:pStyle w:val="ListParagraph"/>
        <w:numPr>
          <w:ilvl w:val="0"/>
          <w:numId w:val="2"/>
        </w:numPr>
        <w:spacing w:before="60" w:after="60"/>
      </w:pPr>
      <w:r>
        <w:rPr>
          <w:rFonts w:ascii="Arial" w:cs="Arial" w:eastAsia="Arial" w:hAnsi="Arial"/>
          <w:sz w:val="21"/>
          <w:szCs w:val="21"/>
        </w:rPr>
        <w:t xml:space="preserve">The Expected Loss table is critical for provisioning — with over ₹2.7M in estimated losses concentrated in 15-day loan segments, the risk and finance teams should begin setting aside provisions against these exposures immediately.</w:t>
      </w:r>
    </w:p>
    <w:p>
      <w:pPr>
        <w:pStyle w:val="ListParagraph"/>
        <w:numPr>
          <w:ilvl w:val="0"/>
          <w:numId w:val="2"/>
        </w:numPr>
        <w:spacing w:before="60" w:after="60"/>
      </w:pPr>
      <w:r>
        <w:rPr>
          <w:rFonts w:ascii="Arial" w:cs="Arial" w:eastAsia="Arial" w:hAnsi="Arial"/>
          <w:sz w:val="21"/>
          <w:szCs w:val="21"/>
        </w:rPr>
        <w:t xml:space="preserve">PAR improvement from January (PAR1: 95.7%, PAR30: 87.5%) to February (PAR1: 66.8%, PAR30: 6.8%) shows collections activity made a significant impact month-on-month. Sustaining this trend into March should be the collections team’s primary KPI.</w:t>
      </w:r>
    </w:p>
    <w:p>
      <w:pPr>
        <w:pStyle w:val="ListParagraph"/>
        <w:numPr>
          <w:ilvl w:val="0"/>
          <w:numId w:val="2"/>
        </w:numPr>
        <w:spacing w:before="60" w:after="60"/>
      </w:pPr>
      <w:r>
        <w:rPr>
          <w:rFonts w:ascii="Arial" w:cs="Arial" w:eastAsia="Arial" w:hAnsi="Arial"/>
          <w:sz w:val="21"/>
          <w:szCs w:val="21"/>
        </w:rPr>
        <w:t xml:space="preserve">Geographic concentration in Uttar Pradesh and Maharashtra (₹847–845k each) means any localised economic stress or regulatory change in these states would have an outsized impact on portfolio quality — risk needs to monitor these markets closely.</w:t>
      </w:r>
    </w:p>
    <w:p>
      <w:pPr>
        <w:pStyle w:val="ListParagraph"/>
        <w:numPr>
          <w:ilvl w:val="0"/>
          <w:numId w:val="2"/>
        </w:numPr>
        <w:spacing w:before="60" w:after="60"/>
      </w:pPr>
      <w:r>
        <w:rPr>
          <w:rFonts w:ascii="Arial" w:cs="Arial" w:eastAsia="Arial" w:hAnsi="Arial"/>
          <w:sz w:val="21"/>
          <w:szCs w:val="21"/>
        </w:rPr>
        <w:t xml:space="preserve">Customer acquisition velocity dropping from 1,974 new customers per day in early February to 2–52 per day in March tells the growth team that current acquisition channels are not self-sustaining, and the AUM growth trajectory will flatten unless new campaigns are activated.</w:t>
      </w:r>
    </w:p>
    <w:p>
      <w:pPr>
        <w:pStyle w:val="ListParagraph"/>
        <w:numPr>
          <w:ilvl w:val="0"/>
          <w:numId w:val="2"/>
        </w:numPr>
        <w:spacing w:before="60" w:after="60"/>
      </w:pPr>
      <w:r>
        <w:rPr>
          <w:rFonts w:ascii="Arial" w:cs="Arial" w:eastAsia="Arial" w:hAnsi="Arial"/>
          <w:sz w:val="21"/>
          <w:szCs w:val="21"/>
        </w:rPr>
        <w:t xml:space="preserve">Average CIBIL score staying stable at ~700–725 across all disbursement weeks is a positive signal — it means volume growth has not come at the expense of borrower quality.</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Forecasting &amp; Cash Flow Projections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2026-03-21T05:35:21.444Z</dcterms:created>
  <dcterms:modified xsi:type="dcterms:W3CDTF">2026-03-21T05:35:21.445Z</dcterms:modified>
</cp:coreProperties>
</file>

<file path=docProps/custom.xml><?xml version="1.0" encoding="utf-8"?>
<Properties xmlns="http://schemas.openxmlformats.org/officeDocument/2006/custom-properties" xmlns:vt="http://schemas.openxmlformats.org/officeDocument/2006/docPropsVTypes"/>
</file>