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Closure, Recovery &amp; Legal Analytics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2"/>
                <w:szCs w:val="22"/>
              </w:rPr>
              <w:t xml:space="preserve">Dashboard Summary  —  Quikkred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16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Dashboard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Closure, Recovery &amp; Legal Analytics dashboard tracks how loans are being closed across Quikkred’s portfolio — whether on time, early, or after going overdue — and monitors foreclosure trends over time. It gives operations and collections teams a clear picture of loan lifecycle completion, helping identify product segments with slow closure rates, rising foreclosures, and overall portfolio health from a recovery standpoint. Currently one tab is active; remaining tabs will be populated as data models are built out.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Tab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Closure Pattern Analysis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Provides a full breakdown of how loans in the portfolio are being closed, across three dimensions: closure type, weekly trends, product segment, and foreclosure movement.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Closure Type Distribution shows 363 loans closed on time (₹4.2M disbursed, avg DPD 0, avg 30.3 days to close), 242 closed early (₹2.7M, avg 17 days to close), and 202 that closed late after being overdue (₹2.3M, avg DPD 8.7, avg 36.1 days to close). This split immediately tells operations how much of the portfolio is recovering cleanly versus after stress.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Closure Rate Trend by Week tracks weekly closure rates from January to February 2026. The rate fluctuates significantly — touching 100% in the week of January 7 and January 28, but dipping to 35.7% in late February — indicating inconsistency in collections follow-through across weeks.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Days to Close by Product Segment breaks this down by tenure: 7-day loans average 14.4 days to close (25% early closure rate); 15-day loans have the highest volume (447 closed, avg 15.2 days, 59.9% early closure rate); 30-day loans average 17.8 days (69.1% early closure); and 60+ day loans show a 100% early closure rate from just 1 loan.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Foreclosure Analysis tracks monthly foreclosure counts and amounts: January 2026 had 58 foreclosures (₹862.3k), February peaked at 103 (₹1.5M), and March has dropped back to 60 (₹822.3k). Average days to closure is rising (12 → 15 → 22 days), suggesting foreclosure cases are taking longer to resolve over time.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How This Dashboard Helps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closure type breakdown instantly shows what proportion of loans are closing cleanly vs. after going overdue, giving management a daily read on collections efficiency without manual reconciliation.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Weekly closure rate trends help identify specific weeks where collections performance dropped, enabling the team to investigate causes — whether staffing, system issues, or borrower behaviour.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Product segment closure data reveals that 30-day loans have the highest early closure rate (69.1%), which can inform product design decisions and borrower incentive structures.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Foreclosure trends (peaking at 103 cases in February) give the legal and recovery team advance notice to scale up capacity during high-foreclosure months and track resolution speed.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rising average days-to-foreclosure-closure (12 → 22 days) signals a slowdown in the legal/recovery process that operations can flag and address before it compounds further.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Once remaining tabs are populated with data, the dashboard will also cover recovery rates, legal case tracking, and settlement analytics — making it a full end-to-end closure intelligence tool.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prepared by the Technology Team  —  March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Closure, Recovery &amp; Legal Analytics  |  Quikkred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2026-03-21T05:12:20.542Z</dcterms:created>
  <dcterms:modified xsi:type="dcterms:W3CDTF">2026-03-21T05:12:20.543Z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