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spacing w:before="0" w:after="16" w:line="288"/>
              <w:jc w:val="left"/>
            </w:pPr>
            <w:r>
              <w:rPr>
                <w:rFonts w:ascii="Arial" w:cs="Arial" w:eastAsia="Arial" w:hAnsi="Arial"/>
                <w:b/>
                <w:bCs/>
                <w:color w:val="FFFFFF"/>
                <w:sz w:val="30"/>
                <w:szCs w:val="30"/>
              </w:rPr>
              <w:t xml:space="preserve">Notification &amp; Communication</w:t>
            </w:r>
          </w:p>
          <w:p>
            <w:pPr>
              <w:spacing w:before="0" w:after="80" w:line="288"/>
              <w:jc w:val="left"/>
            </w:pPr>
            <w:r>
              <w:rPr>
                <w:rFonts w:ascii="Arial" w:cs="Arial" w:eastAsia="Arial" w:hAnsi="Arial"/>
                <w:i/>
                <w:iCs/>
                <w:color w:val="BFD4F5"/>
                <w:sz w:val="19"/>
                <w:szCs w:val="19"/>
              </w:rPr>
              <w:t xml:space="preserve">Effectiveness  —  Dashboard Summary  |  Quikkred</w:t>
            </w:r>
          </w:p>
        </w:tc>
      </w:tr>
    </w:tbl>
    <w:p>
      <w:pPr>
        <w:spacing w:before="56" w:after="80" w:line="288"/>
        <w:jc w:val="left"/>
      </w:pPr>
      <w:r>
        <w:rPr>
          <w:rFonts w:ascii="Arial" w:cs="Arial" w:eastAsia="Arial" w:hAnsi="Arial"/>
          <w:color w:val="1B3A6B"/>
          <w:sz w:val="20"/>
          <w:szCs w:val="20"/>
        </w:rPr>
        <w:t xml:space="preserve"/>
      </w:r>
    </w:p>
    <w:p>
      <w:pPr>
        <w:spacing w:before="0" w:after="80" w:line="300"/>
        <w:jc w:val="left"/>
      </w:pPr>
      <w:r>
        <w:rPr>
          <w:rFonts w:ascii="Arial" w:cs="Arial" w:eastAsia="Arial" w:hAnsi="Arial"/>
          <w:color w:val="475569"/>
          <w:sz w:val="19"/>
          <w:szCs w:val="19"/>
        </w:rPr>
        <w:t xml:space="preserve">The Notification &amp; Communication Effectiveness dashboard tracks how Quikkred reaches its borrowers across every communication channel — push notifications, email, EMI reminders, and outbound calls. Across five tabs, it measures delivery rates, read rates, reminder-to-payment correlations, and optimal timing windows, giving the collections and communications teams the data to maximise borrower response and repayment.</w:t>
      </w:r>
    </w:p>
    <w:p>
      <w:pPr>
        <w:pBdr>
          <w:bottom w:val="single" w:color="2563EB" w:sz="6" w:space="1"/>
        </w:pBdr>
        <w:spacing w:before="0" w:after="56" w:line="288"/>
        <w:jc w:val="left"/>
      </w:pPr>
    </w:p>
    <w:p>
      <w:pPr>
        <w:spacing w:before="0" w:after="56" w:line="288"/>
        <w:jc w:val="left"/>
      </w:pPr>
      <w:r>
        <w:rPr>
          <w:rFonts w:ascii="Arial" w:cs="Arial" w:eastAsia="Arial" w:hAnsi="Arial"/>
          <w:b/>
          <w:bCs/>
          <w:color w:val="1B3A6B"/>
          <w:sz w:val="24"/>
          <w:szCs w:val="24"/>
        </w:rPr>
        <w:t xml:space="preserve">Dashboard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2563EB"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1</w:t>
            </w:r>
          </w:p>
          <w:p>
            <w:pPr>
              <w:spacing w:before="0" w:after="80" w:line="288"/>
              <w:jc w:val="center"/>
            </w:pPr>
            <w:r>
              <w:rPr>
                <w:rFonts w:ascii="Arial" w:cs="Arial" w:eastAsia="Arial" w:hAnsi="Arial"/>
                <w:b/>
                <w:bCs/>
                <w:color w:val="FFFFFF"/>
                <w:sz w:val="17"/>
                <w:szCs w:val="17"/>
              </w:rPr>
              <w:t xml:space="preserve">Email
Analytics</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Tracks all outbound email communications sent by the platform. A single email type — "Your Loan Application Is Under Credit Review" — accounts for the entire email volume: 5,025 emails sent with 5,025 delivered, 0 failures, 0 bounces, and a 100% delivery rate. This is a strong deliverability baseline, though only one template is currently active.</w:t>
            </w:r>
          </w:p>
          <w:p>
            <w:pPr>
              <w:spacing w:before="40" w:after="80" w:line="300"/>
              <w:jc w:val="left"/>
            </w:pPr>
            <w:r>
              <w:rPr>
                <w:rFonts w:ascii="Arial" w:cs="Arial" w:eastAsia="Arial" w:hAnsi="Arial"/>
                <w:color w:val="475569"/>
                <w:sz w:val="19"/>
                <w:szCs w:val="19"/>
              </w:rPr>
              <w:t xml:space="preserve">The Email Delivery Trend (late January to late February 2026) shows daily volumes ranging from near-zero to a peak of ~540 emails, with bursts tied to application processing activity. The Email Failure Analysis section shows no results — meaning no delivery failures have been recorded in the tracked period, which is a positive signal for email infrastructure health.</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4338CA"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2</w:t>
            </w:r>
          </w:p>
          <w:p>
            <w:pPr>
              <w:spacing w:before="0" w:after="80" w:line="288"/>
              <w:jc w:val="center"/>
            </w:pPr>
            <w:r>
              <w:rPr>
                <w:rFonts w:ascii="Arial" w:cs="Arial" w:eastAsia="Arial" w:hAnsi="Arial"/>
                <w:b/>
                <w:bCs/>
                <w:color w:val="FFFFFF"/>
                <w:sz w:val="17"/>
                <w:szCs w:val="17"/>
              </w:rPr>
              <w:t xml:space="preserve">Push Notification
Engagement</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Measures the reach and engagement of push notifications sent to borrowers. Of 76,987 total push notifications sent, 76,934 were delivered (99.9% delivery rate), 14,813 were deleted without being read, and only 5,300 were opened — giving an open rate of just 0.06%. Read rate is effectively 0%, indicating notifications are arriving but not being actioned by borrowers.</w:t>
            </w:r>
          </w:p>
          <w:p>
            <w:pPr>
              <w:spacing w:before="40" w:after="80" w:line="300"/>
              <w:jc w:val="left"/>
            </w:pPr>
            <w:r>
              <w:rPr>
                <w:rFonts w:ascii="Arial" w:cs="Arial" w:eastAsia="Arial" w:hAnsi="Arial"/>
                <w:color w:val="475569"/>
                <w:sz w:val="19"/>
                <w:szCs w:val="19"/>
              </w:rPr>
              <w:t xml:space="preserve">Two notification types are tracked: ACCOUNT_CREATED (69,899 sent) and APPLICATION_UPDATE (7,088 sent). The Notification Volume Trend shows peak activity in early February 2026 (8,390 sent on the busiest day), with a secondary cluster in early March (3,339). Volumes have since tapered. The near-zero read rate across both types signals that notification content or timing needs significant optimisation.</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6D28D9"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3</w:t>
            </w:r>
          </w:p>
          <w:p>
            <w:pPr>
              <w:spacing w:before="0" w:after="80" w:line="288"/>
              <w:jc w:val="center"/>
            </w:pPr>
            <w:r>
              <w:rPr>
                <w:rFonts w:ascii="Arial" w:cs="Arial" w:eastAsia="Arial" w:hAnsi="Arial"/>
                <w:b/>
                <w:bCs/>
                <w:color w:val="FFFFFF"/>
                <w:sz w:val="17"/>
                <w:szCs w:val="17"/>
              </w:rPr>
              <w:t xml:space="preserve">EMI Reminder
Effectiveness</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Analyses how EMI reminders translate into actual payments. The Reminder-to-Payment Correlation chart shows the 3–7 day window before due date drives the highest payment volume: 76 payments totalling ₹942.9k, with an average ticket of ₹14.7k. Within-1-hour reminders generate 57 payments (₹942.9k total) and 1–3 day reminders generate 49 payments (₹800k). The 7+ day and within-1-day windows show the lowest response (11–32 payments).</w:t>
            </w:r>
          </w:p>
          <w:p>
            <w:pPr>
              <w:spacing w:before="40" w:after="80" w:line="300"/>
              <w:jc w:val="left"/>
            </w:pPr>
            <w:r>
              <w:rPr>
                <w:rFonts w:ascii="Arial" w:cs="Arial" w:eastAsia="Arial" w:hAnsi="Arial"/>
                <w:color w:val="475569"/>
                <w:sz w:val="19"/>
                <w:szCs w:val="19"/>
              </w:rPr>
              <w:t xml:space="preserve">The Reminder Type Impact on Collection section currently shows no data, indicating that reminder categorisation by type (SMS, push, email) is not yet mapped. This is a gap — once populated, it will allow the team to identify which reminder channel drives the fastest payment response.</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0F766E"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4</w:t>
            </w:r>
          </w:p>
          <w:p>
            <w:pPr>
              <w:spacing w:before="0" w:after="80" w:line="288"/>
              <w:jc w:val="center"/>
            </w:pPr>
            <w:r>
              <w:rPr>
                <w:rFonts w:ascii="Arial" w:cs="Arial" w:eastAsia="Arial" w:hAnsi="Arial"/>
                <w:b/>
                <w:bCs/>
                <w:color w:val="FFFFFF"/>
                <w:sz w:val="17"/>
                <w:szCs w:val="17"/>
              </w:rPr>
              <w:t xml:space="preserve">Channel Performance
Comparison</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Compares the effectiveness of different outreach channels for collections. Currently, only the PAYMENT_PROOF_UPLOAD channel has recorded activity: 2 total attempts, 0% reach rate, 0 PTP (Promise to Pay) conversions, ₹46,000 amount collected, and 0 refusals. The AI Call vs Human Call Effectiveness section shows no results — this comparison is either not yet live or data is not being captured.</w:t>
            </w:r>
          </w:p>
          <w:p>
            <w:pPr>
              <w:spacing w:before="40" w:after="80" w:line="300"/>
              <w:jc w:val="left"/>
            </w:pPr>
            <w:r>
              <w:rPr>
                <w:rFonts w:ascii="Arial" w:cs="Arial" w:eastAsia="Arial" w:hAnsi="Arial"/>
                <w:color w:val="475569"/>
                <w:sz w:val="19"/>
                <w:szCs w:val="19"/>
              </w:rPr>
              <w:t xml:space="preserve">The limited data in this tab suggests the channel comparison framework is newly built and has not yet accumulated sufficient volume across SMS, WhatsApp, AI calls, and human calls to draw conclusions. As collections volume increases, this tab will become the primary tool for deciding where to direct outreach effort and budget.</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B45309"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5</w:t>
            </w:r>
          </w:p>
          <w:p>
            <w:pPr>
              <w:spacing w:before="0" w:after="80" w:line="288"/>
              <w:jc w:val="center"/>
            </w:pPr>
            <w:r>
              <w:rPr>
                <w:rFonts w:ascii="Arial" w:cs="Arial" w:eastAsia="Arial" w:hAnsi="Arial"/>
                <w:b/>
                <w:bCs/>
                <w:color w:val="FFFFFF"/>
                <w:sz w:val="17"/>
                <w:szCs w:val="17"/>
              </w:rPr>
              <w:t xml:space="preserve">Communication
Timing Optimization</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Identifies the best times and days to contact borrowers. The Best Time to Reach Customers chart shows PAYMENT_PROOF_UPLOAD as the only active channel — 30 attempts at one hour and 2 at another, both recording 0% answer rate and 0% PTP rate. Wednesday and Thursday are the only days with recorded contact attempts (1 attempt each, ₹23,000 collected per day).</w:t>
            </w:r>
          </w:p>
          <w:p>
            <w:pPr>
              <w:spacing w:before="40" w:after="80" w:line="300"/>
              <w:jc w:val="left"/>
            </w:pPr>
            <w:r>
              <w:rPr>
                <w:rFonts w:ascii="Arial" w:cs="Arial" w:eastAsia="Arial" w:hAnsi="Arial"/>
                <w:color w:val="475569"/>
                <w:sz w:val="19"/>
                <w:szCs w:val="19"/>
              </w:rPr>
              <w:t xml:space="preserve">The Optimal Communication Cadence table shows that a single touch (1 contact attempt) on 2 loans collected ₹46,000 total (₹23,000 per loan average) at 0% PTP rate — meaning payment was received without a formal promise-to-pay commitment. While data is nascent, the framework is in place to surface hour-by-hour and day-by-day response rates once call and message volumes scale.</w:t>
            </w:r>
          </w:p>
        </w:tc>
      </w:tr>
    </w:tbl>
    <w:p>
      <w:pPr>
        <w:spacing w:before="36" w:after="80" w:line="288"/>
        <w:jc w:val="left"/>
      </w:pPr>
      <w:r>
        <w:rPr>
          <w:rFonts w:ascii="Arial" w:cs="Arial" w:eastAsia="Arial" w:hAnsi="Arial"/>
          <w:color w:val="1B3A6B"/>
          <w:sz w:val="20"/>
          <w:szCs w:val="20"/>
        </w:rPr>
        <w:t xml:space="preserve"/>
      </w:r>
    </w:p>
    <w:p>
      <w:pPr>
        <w:spacing w:before="56" w:after="80" w:line="288"/>
        <w:jc w:val="left"/>
      </w:pPr>
      <w:r>
        <w:rPr>
          <w:rFonts w:ascii="Arial" w:cs="Arial" w:eastAsia="Arial" w:hAnsi="Arial"/>
          <w:color w:val="1B3A6B"/>
          <w:sz w:val="20"/>
          <w:szCs w:val="20"/>
        </w:rPr>
        <w:t xml:space="preserve"/>
      </w:r>
    </w:p>
    <w:p>
      <w:pPr>
        <w:pBdr>
          <w:bottom w:val="single" w:color="2563EB" w:sz="6" w:space="1"/>
        </w:pBdr>
        <w:spacing w:before="0" w:after="56" w:line="288"/>
        <w:jc w:val="left"/>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60"/>
              <w:left w:type="dxa" w:w="280"/>
              <w:bottom w:type="dxa" w:w="160"/>
              <w:right w:type="dxa" w:w="160"/>
            </w:tcMar>
          </w:tcPr>
          <w:p>
            <w:pPr>
              <w:spacing w:before="0" w:after="80" w:line="288"/>
              <w:jc w:val="left"/>
            </w:pPr>
            <w:r>
              <w:rPr>
                <w:rFonts w:ascii="Arial" w:cs="Arial" w:eastAsia="Arial" w:hAnsi="Arial"/>
                <w:b/>
                <w:bCs/>
                <w:color w:val="FFFFFF"/>
                <w:sz w:val="24"/>
                <w:szCs w:val="24"/>
              </w:rPr>
              <w:t xml:space="preserve">How This Dashboard Helps Operations</w:t>
            </w:r>
          </w:p>
        </w:tc>
      </w:tr>
    </w:tbl>
    <w:p>
      <w:pPr>
        <w:spacing w:before="48" w:after="80" w:line="288"/>
        <w:jc w:val="left"/>
      </w:pPr>
      <w:r>
        <w:rPr>
          <w:rFonts w:ascii="Arial" w:cs="Arial" w:eastAsia="Arial" w:hAnsi="Arial"/>
          <w:color w:val="1B3A6B"/>
          <w:sz w:val="20"/>
          <w:szCs w:val="20"/>
        </w:rPr>
        <w:t xml:space="preserve"/>
      </w:r>
    </w:p>
    <w:p>
      <w:pPr>
        <w:spacing w:before="0" w:after="56" w:line="300"/>
        <w:jc w:val="left"/>
      </w:pPr>
      <w:r>
        <w:rPr>
          <w:rFonts w:ascii="Arial" w:cs="Arial" w:eastAsia="Arial" w:hAnsi="Arial"/>
          <w:color w:val="475569"/>
          <w:sz w:val="19"/>
          <w:szCs w:val="19"/>
        </w:rPr>
        <w:t xml:space="preserve">This dashboard connects communication activity to repayment outcomes, giving collections and product teams the evidence they need to improve borrower contact strategies and reminder scheduling.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2563EB"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Email Analytics</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100% delivery rate on the single active email template is a strong baseline. The next step is expanding the email library — add EMI reminder, overdue notice, and payment confirmation templates to activate email as a multi-stage collections channel.</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4338CA"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Push Notifications</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A 0.06% open rate on 76,987 push notifications is a critical failure signal. Content, timing, and personalisation of both ACCOUNT_CREATED and APPLICATION_UPDATE notifications must be reviewed. A/B testing notification copy and scheduling sends during peak activity hours (07:00–09:00 and 20:00–22:00 IST) should be the immediate priority.</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6D28D9"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EMI Reminders</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The 3–7 day pre-due window drives the highest payment volume (76 payments, ₹942.9k). Collections should schedule primary EMI reminders 4–5 days before due date, with a follow-up reminder within 1 hour of due time for non-payers. Once Reminder Type data is populated, the team can identify which channel to use for each reminder window.</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0F766E"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Channel Comparison</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The AI Call vs Human Call comparison is currently empty — this is a data capture gap that needs to be fixed urgently. Without channel-level PTP and collection data, the team cannot make evidence-based decisions on where to invest outreach effort. Ensure all call dispositions are being logged against the correct channel in the LOS.</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B45309"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Timing Optimization</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Wednesday and Thursday contact attempts both yielded ₹23,000 collected — a positive early signal. As volume grows, use the Day-of-Week and Hour-of-Day charts to schedule automated reminders and AI calls during the windows with the highest answer and PTP rates. The Optimal Communication Cadence table will guide how many touches are needed before collection plateaus.</w:t>
            </w:r>
          </w:p>
        </w:tc>
      </w:tr>
    </w:tbl>
    <w:p>
      <w:pPr>
        <w:spacing w:before="24" w:after="80" w:line="288"/>
        <w:jc w:val="left"/>
      </w:pPr>
      <w:r>
        <w:rPr>
          <w:rFonts w:ascii="Arial" w:cs="Arial" w:eastAsia="Arial" w:hAnsi="Arial"/>
          <w:color w:val="1B3A6B"/>
          <w:sz w:val="20"/>
          <w:szCs w:val="20"/>
        </w:rPr>
        <w:t xml:space="preserve"/>
      </w:r>
    </w:p>
    <w:p>
      <w:pPr>
        <w:spacing w:before="48" w:after="80" w:line="288"/>
        <w:jc w:val="left"/>
      </w:pPr>
      <w:r>
        <w:rPr>
          <w:rFonts w:ascii="Arial" w:cs="Arial" w:eastAsia="Arial" w:hAnsi="Arial"/>
          <w:color w:val="1B3A6B"/>
          <w:sz w:val="20"/>
          <w:szCs w:val="20"/>
        </w:rPr>
        <w:t xml:space="preserve"/>
      </w:r>
    </w:p>
    <w:p>
      <w:pPr>
        <w:pBdr>
          <w:bottom w:val="single" w:color="2563EB" w:sz="6" w:space="1"/>
        </w:pBdr>
        <w:spacing w:before="0" w:after="40" w:line="288"/>
        <w:jc w:val="left"/>
      </w:pPr>
    </w:p>
    <w:p>
      <w:pPr>
        <w:spacing w:before="0" w:after="80" w:line="300"/>
        <w:jc w:val="left"/>
      </w:pPr>
      <w:r>
        <w:rPr>
          <w:rFonts w:ascii="Arial" w:cs="Arial" w:eastAsia="Arial" w:hAnsi="Arial"/>
          <w:i/>
          <w:iCs/>
          <w:color w:val="475569"/>
          <w:sz w:val="19"/>
          <w:szCs w:val="19"/>
        </w:rPr>
        <w:t xml:space="preserve">Several tabs currently show limited or no data — Channel Performance and Timing Optimization in particular need higher communication volumes to become actionable. The infrastructure is in place; scaling outreach activity will make this dashboard the collections team's most valuable daily tool.</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80" w:line="288"/>
      <w:jc w:val="center"/>
    </w:pPr>
    <w:r>
      <w:rPr>
        <w:rFonts w:ascii="Arial" w:cs="Arial" w:eastAsia="Arial" w:hAnsi="Arial"/>
        <w:i/>
        <w:iCs/>
        <w:color w:val="475569"/>
        <w:sz w:val="16"/>
        <w:szCs w:val="16"/>
      </w:rPr>
      <w:t xml:space="preserve">Notification &amp; Communication Effectiveness  —  Dashboard Summary  |  Quikkred Technology Team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3A6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2026-03-21T05:59:20.735Z</dcterms:created>
  <dcterms:modified xsi:type="dcterms:W3CDTF">2026-03-21T05:59:20.736Z</dcterms:modified>
</cp:coreProperties>
</file>

<file path=docProps/custom.xml><?xml version="1.0" encoding="utf-8"?>
<Properties xmlns="http://schemas.openxmlformats.org/officeDocument/2006/custom-properties" xmlns:vt="http://schemas.openxmlformats.org/officeDocument/2006/docPropsVTypes"/>
</file>