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before="0" w:after="20" w:line="288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LOS Analytics</w:t>
            </w:r>
          </w:p>
          <w:p>
            <w:pPr>
              <w:spacing w:before="0" w:after="80" w:line="288"/>
              <w:jc w:val="left"/>
            </w:pPr>
            <w:r>
              <w:rPr>
                <w:rFonts w:ascii="Arial" w:cs="Arial" w:eastAsia="Arial" w:hAnsi="Arial"/>
                <w:i/>
                <w:iCs/>
                <w:color w:val="BFD4F5"/>
                <w:sz w:val="20"/>
                <w:szCs w:val="20"/>
              </w:rPr>
              <w:t xml:space="preserve">Dashboard Summary  —  Quikkred</w:t>
            </w:r>
          </w:p>
        </w:tc>
      </w:tr>
    </w:tbl>
    <w:p>
      <w:pPr>
        <w:spacing w:before="60" w:after="80" w:line="288"/>
        <w:jc w:val="left"/>
      </w:pPr>
      <w:r>
        <w:rPr>
          <w:rFonts w:ascii="Arial" w:cs="Arial" w:eastAsia="Arial" w:hAnsi="Arial"/>
          <w:color w:val="1B3A6B"/>
          <w:sz w:val="20"/>
          <w:szCs w:val="20"/>
        </w:rPr>
        <w:t xml:space="preserve"/>
      </w:r>
    </w:p>
    <w:p>
      <w:pPr>
        <w:spacing w:before="0" w:after="80" w:line="300"/>
        <w:jc w:val="left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The LOS Analytics dashboard is Quikkred's intelligence layer for monitoring the end-to-end loan origination journey. Organised across five focused tabs, it gives operations, credit, and growth teams a single source of truth — from the moment a borrower registers to the point of disbursement.</w:t>
      </w:r>
    </w:p>
    <w:p>
      <w:pPr>
        <w:pBdr>
          <w:bottom w:val="single" w:color="2563EB" w:sz="6" w:space="1"/>
        </w:pBdr>
        <w:spacing w:before="0" w:after="60" w:line="288"/>
        <w:jc w:val="left"/>
      </w:pPr>
    </w:p>
    <w:p>
      <w:pPr>
        <w:spacing w:before="0" w:after="60" w:line="288"/>
        <w:jc w:val="left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Dashboard Tabs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88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before="0" w:after="80" w:line="288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TAB 1</w:t>
            </w:r>
          </w:p>
          <w:p>
            <w:pPr>
              <w:spacing w:before="0" w:after="80" w:line="288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Application
Pipeline</w:t>
            </w:r>
          </w:p>
        </w:tc>
        <w:tc>
          <w:tcPr>
            <w:tcW w:type="dxa" w:w="8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 w:line="300"/>
              <w:jc w:val="left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Tracks all loan applications by status — Rejected, Pending, Hold, Disbursed, and more — as of 17 March 2026. Daily and weekly volume charts show how application inflow has evolved since January 2026, peaking at 1,094 in a single day.</w:t>
            </w:r>
          </w:p>
          <w:p>
            <w:pPr>
              <w:spacing w:before="40" w:after="80" w:line="300"/>
              <w:jc w:val="left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A weekly Approval Rate Trend reveals how underwriting decisions are shifting over time (from ~5% in Week 4 to ~28% by Week 11). The Loan Amount Distribution confirms this is a micro-ticket platform, with most applications in the ₹20K–₹30K band. An Applications Pending &gt; 24 Hours table flags cases that have breached the basic response SLA.</w:t>
            </w:r>
          </w:p>
        </w:tc>
      </w:tr>
    </w:tbl>
    <w:p>
      <w:pPr>
        <w:spacing w:before="40" w:after="80" w:line="288"/>
        <w:jc w:val="left"/>
      </w:pPr>
      <w:r>
        <w:rPr>
          <w:rFonts w:ascii="Arial" w:cs="Arial" w:eastAsia="Arial" w:hAnsi="Arial"/>
          <w:color w:val="1B3A6B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88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D28D9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before="0" w:after="80" w:line="288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TAB 2</w:t>
            </w:r>
          </w:p>
          <w:p>
            <w:pPr>
              <w:spacing w:before="0" w:after="80" w:line="288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BRE Decision
Analytics</w:t>
            </w:r>
          </w:p>
        </w:tc>
        <w:tc>
          <w:tcPr>
            <w:tcW w:type="dxa" w:w="8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 w:line="300"/>
              <w:jc w:val="left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Measures how the Business Rule Engine processes applications through BSA (Bank Statement Analysis) and credit scoring. Of 16,364 applications created, only 54.8% reached BRE Pull stage — and just 3.2% resulted in a disbursement.</w:t>
            </w:r>
          </w:p>
          <w:p>
            <w:pPr>
              <w:spacing w:before="40" w:after="80" w:line="300"/>
              <w:jc w:val="left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The CIBIL Score Distribution identifies 700–749 as the approval sweet spot. Fraud Score and Risk Score charts surface portfolio-level risk concentration — the majority of applicants cluster in the 50–69 fraud score band, signalling elevated risk in the applicant pool. BRE Status Breakdown shows 38.9% rejected and 29.4% null/pending at the BRE stage.</w:t>
            </w:r>
          </w:p>
        </w:tc>
      </w:tr>
    </w:tbl>
    <w:p>
      <w:pPr>
        <w:spacing w:before="40" w:after="80" w:line="288"/>
        <w:jc w:val="left"/>
      </w:pPr>
      <w:r>
        <w:rPr>
          <w:rFonts w:ascii="Arial" w:cs="Arial" w:eastAsia="Arial" w:hAnsi="Arial"/>
          <w:color w:val="1B3A6B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88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766E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before="0" w:after="80" w:line="288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TAB 3</w:t>
            </w:r>
          </w:p>
          <w:p>
            <w:pPr>
              <w:spacing w:before="0" w:after="80" w:line="288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KYC Verification
Analytics</w:t>
            </w:r>
          </w:p>
        </w:tc>
        <w:tc>
          <w:tcPr>
            <w:tcW w:type="dxa" w:w="8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 w:line="300"/>
              <w:jc w:val="left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Maps the identity verification funnel for all 26,046 registered users — from PAN Verified (50.1%) through Aadhaar, Bank, and KYC Complete (31.6%) to Submitted (3.0%). The largest single drop-off happens at the very first step: half of all registrants never verify their PAN.</w:t>
            </w:r>
          </w:p>
          <w:p>
            <w:pPr>
              <w:spacing w:before="40" w:after="80" w:line="300"/>
              <w:jc w:val="left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Manual vs API Verification charts confirm that PAN and Aadhaar checks are almost entirely API-driven, while face verification remains fully manual. Document Upload and Verification Status sections highlight that Photo uploads dominate (9,658) and Loan Agreement has the highest pending verification rate (~14%).</w:t>
            </w:r>
          </w:p>
        </w:tc>
      </w:tr>
    </w:tbl>
    <w:p>
      <w:pPr>
        <w:spacing w:before="40" w:after="80" w:line="288"/>
        <w:jc w:val="left"/>
      </w:pPr>
      <w:r>
        <w:rPr>
          <w:rFonts w:ascii="Arial" w:cs="Arial" w:eastAsia="Arial" w:hAnsi="Arial"/>
          <w:color w:val="1B3A6B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88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803D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before="0" w:after="80" w:line="288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TAB 4</w:t>
            </w:r>
          </w:p>
          <w:p>
            <w:pPr>
              <w:spacing w:before="0" w:after="80" w:line="288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Customer Acquisition
Funnel</w:t>
            </w:r>
          </w:p>
        </w:tc>
        <w:tc>
          <w:tcPr>
            <w:tcW w:type="dxa" w:w="8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 w:line="300"/>
              <w:jc w:val="left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Shows the complete borrower journey from Registration (26,046) to Active Loan (101) — an end-to-end conversion rate of just 0.39%. The steepest funnel cliff is between KYC Complete and Submitted, where thousands of users drop off despite finishing all verification steps.</w:t>
            </w:r>
          </w:p>
          <w:p>
            <w:pPr>
              <w:spacing w:before="40" w:after="80" w:line="300"/>
              <w:jc w:val="left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Customer breakdown reveals an 86.7% salaried and 89.3% male user base. Monthly trends show February 2026 as the peak acquisition month (18,644 registrations, 8,200 KYC completions). Customer Tier and Risk Category fields are currently unset — the tiering and risk segmentation frameworks are not yet live.</w:t>
            </w:r>
          </w:p>
        </w:tc>
      </w:tr>
    </w:tbl>
    <w:p>
      <w:pPr>
        <w:spacing w:before="40" w:after="80" w:line="288"/>
        <w:jc w:val="left"/>
      </w:pPr>
      <w:r>
        <w:rPr>
          <w:rFonts w:ascii="Arial" w:cs="Arial" w:eastAsia="Arial" w:hAnsi="Arial"/>
          <w:color w:val="1B3A6B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88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2410C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before="0" w:after="80" w:line="288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TAB 5</w:t>
            </w:r>
          </w:p>
          <w:p>
            <w:pPr>
              <w:spacing w:before="0" w:after="80" w:line="288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Approval &amp;
TAT Analytics</w:t>
            </w:r>
          </w:p>
        </w:tc>
        <w:tc>
          <w:tcPr>
            <w:tcW w:type="dxa" w:w="8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 w:line="300"/>
              <w:jc w:val="left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Measures processing speed across the origination pipeline. End-to-End TAT (Application to Disbursal) averages 55.11 hours, driven primarily by the Approval-to-Disbursement leg at 47.53 hours. The Application-to-Approval TAT reads 0 hours, suggesting near-instant automated decisioning — though this metric warrants data validation.</w:t>
            </w:r>
          </w:p>
          <w:p>
            <w:pPr>
              <w:spacing w:before="40" w:after="80" w:line="300"/>
              <w:jc w:val="left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A TAT Distribution Histogram shows 314 applications processed within 1 hour, but 120 cases exceeding 168 hours (&gt;7 days). A weekly TAT trend shows dramatic improvement — from 106.9 hours in Week 2 down to under 5 hours by Week 9. The Applications Breaching SLA table lists 50 cases, the oldest pending for over 1,697 hours.</w:t>
            </w:r>
          </w:p>
        </w:tc>
      </w:tr>
    </w:tbl>
    <w:p>
      <w:pPr>
        <w:spacing w:before="40" w:after="80" w:line="288"/>
        <w:jc w:val="left"/>
      </w:pPr>
      <w:r>
        <w:rPr>
          <w:rFonts w:ascii="Arial" w:cs="Arial" w:eastAsia="Arial" w:hAnsi="Arial"/>
          <w:color w:val="1B3A6B"/>
          <w:sz w:val="20"/>
          <w:szCs w:val="20"/>
        </w:rPr>
        <w:t xml:space="preserve"/>
      </w:r>
    </w:p>
    <w:p>
      <w:pPr>
        <w:spacing w:before="0" w:after="80" w:line="288"/>
        <w:jc w:val="left"/>
      </w:pPr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80"/>
              <w:left w:type="dxa" w:w="280"/>
              <w:bottom w:type="dxa" w:w="180"/>
              <w:right w:type="dxa" w:w="160"/>
            </w:tcMar>
          </w:tcPr>
          <w:p>
            <w:pPr>
              <w:spacing w:before="0" w:after="80" w:line="288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How This Dashboard Helps Operations</w:t>
            </w:r>
          </w:p>
        </w:tc>
      </w:tr>
    </w:tbl>
    <w:p>
      <w:pPr>
        <w:spacing w:before="60" w:after="80" w:line="288"/>
        <w:jc w:val="left"/>
      </w:pPr>
      <w:r>
        <w:rPr>
          <w:rFonts w:ascii="Arial" w:cs="Arial" w:eastAsia="Arial" w:hAnsi="Arial"/>
          <w:color w:val="1B3A6B"/>
          <w:sz w:val="20"/>
          <w:szCs w:val="20"/>
        </w:rPr>
        <w:t xml:space="preserve"/>
      </w:r>
    </w:p>
    <w:p>
      <w:pPr>
        <w:spacing w:before="0" w:after="60" w:line="300"/>
        <w:jc w:val="left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Each tab is designed to answer a specific operational question. Together, they give teams a daily decision-making framework that replaces manual tracking with automated intelligence.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9800"/>
      </w:tblGrid>
      <w:t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80" w:line="288"/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›</w:t>
            </w:r>
          </w:p>
        </w:tc>
        <w:tc>
          <w:tcPr>
            <w:tcW w:type="dxa" w:w="9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80" w:line="300"/>
              <w:jc w:val="left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Application Pipeline gives operations a live queue view. The Pending &gt; 24 Hours table acts as a daily task list for agents — any application appearing here needs same-day action to prevent SLA escalation.</w:t>
            </w:r>
          </w:p>
        </w:tc>
      </w:tr>
    </w:tbl>
    <w:p>
      <w:pPr>
        <w:spacing w:before="20" w:after="80" w:line="288"/>
        <w:jc w:val="left"/>
      </w:pPr>
      <w:r>
        <w:rPr>
          <w:rFonts w:ascii="Arial" w:cs="Arial" w:eastAsia="Arial" w:hAnsi="Arial"/>
          <w:color w:val="1B3A6B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9800"/>
      </w:tblGrid>
      <w:t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80" w:line="288"/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›</w:t>
            </w:r>
          </w:p>
        </w:tc>
        <w:tc>
          <w:tcPr>
            <w:tcW w:type="dxa" w:w="9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80" w:line="300"/>
              <w:jc w:val="left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BRE Analytics helps the credit team tune underwriting policy. The CIBIL breakdown shows exactly which score bands to target or exclude, and the high null/pending BRE rate (29.4%) flags data quality issues in bureau fetches that inflate processing load.</w:t>
            </w:r>
          </w:p>
        </w:tc>
      </w:tr>
    </w:tbl>
    <w:p>
      <w:pPr>
        <w:spacing w:before="20" w:after="80" w:line="288"/>
        <w:jc w:val="left"/>
      </w:pPr>
      <w:r>
        <w:rPr>
          <w:rFonts w:ascii="Arial" w:cs="Arial" w:eastAsia="Arial" w:hAnsi="Arial"/>
          <w:color w:val="1B3A6B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9800"/>
      </w:tblGrid>
      <w:t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80" w:line="288"/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›</w:t>
            </w:r>
          </w:p>
        </w:tc>
        <w:tc>
          <w:tcPr>
            <w:tcW w:type="dxa" w:w="9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80" w:line="300"/>
              <w:jc w:val="left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KYC Analytics pinpoints exactly where borrowers drop off during identity verification. The PAN step is the highest-priority intervention point — fixing friction here directly unlocks conversion across every downstream stage.</w:t>
            </w:r>
          </w:p>
        </w:tc>
      </w:tr>
    </w:tbl>
    <w:p>
      <w:pPr>
        <w:spacing w:before="20" w:after="80" w:line="288"/>
        <w:jc w:val="left"/>
      </w:pPr>
      <w:r>
        <w:rPr>
          <w:rFonts w:ascii="Arial" w:cs="Arial" w:eastAsia="Arial" w:hAnsi="Arial"/>
          <w:color w:val="1B3A6B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9800"/>
      </w:tblGrid>
      <w:t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80" w:line="288"/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›</w:t>
            </w:r>
          </w:p>
        </w:tc>
        <w:tc>
          <w:tcPr>
            <w:tcW w:type="dxa" w:w="9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80" w:line="300"/>
              <w:jc w:val="left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Customer Acquisition Funnel tells growth and product teams where campaigns are working and where the funnel leaks. The 8,000+ users who completed KYC but never submitted represent the highest-intent, lowest-effort retargeting pool on the platform.</w:t>
            </w:r>
          </w:p>
        </w:tc>
      </w:tr>
    </w:tbl>
    <w:p>
      <w:pPr>
        <w:spacing w:before="20" w:after="80" w:line="288"/>
        <w:jc w:val="left"/>
      </w:pPr>
      <w:r>
        <w:rPr>
          <w:rFonts w:ascii="Arial" w:cs="Arial" w:eastAsia="Arial" w:hAnsi="Arial"/>
          <w:color w:val="1B3A6B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9800"/>
      </w:tblGrid>
      <w:t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80" w:line="288"/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›</w:t>
            </w:r>
          </w:p>
        </w:tc>
        <w:tc>
          <w:tcPr>
            <w:tcW w:type="dxa" w:w="9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80" w:line="300"/>
              <w:jc w:val="left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TAT Analytics enables SLA management at scale. The weekly TAT trend proves that process improvements are working — teams should document and standardise the changes made between Week 2 and Week 9 that drove TAT from 107 hours to under 5 hours.</w:t>
            </w:r>
          </w:p>
        </w:tc>
      </w:tr>
    </w:tbl>
    <w:p>
      <w:pPr>
        <w:spacing w:before="20" w:after="80" w:line="288"/>
        <w:jc w:val="left"/>
      </w:pPr>
      <w:r>
        <w:rPr>
          <w:rFonts w:ascii="Arial" w:cs="Arial" w:eastAsia="Arial" w:hAnsi="Arial"/>
          <w:color w:val="1B3A6B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9800"/>
      </w:tblGrid>
      <w:t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80" w:line="288"/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›</w:t>
            </w:r>
          </w:p>
        </w:tc>
        <w:tc>
          <w:tcPr>
            <w:tcW w:type="dxa" w:w="9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80" w:line="300"/>
              <w:jc w:val="left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The SLA breach table (50 applications, oldest at 1,697 hours) requires immediate triage. Establishing a maximum age policy and automated alerts will prevent this list from growing and protect borrower trust.</w:t>
            </w:r>
          </w:p>
        </w:tc>
      </w:tr>
    </w:tbl>
    <w:p>
      <w:pPr>
        <w:spacing w:before="60" w:after="80" w:line="288"/>
        <w:jc w:val="left"/>
      </w:pPr>
      <w:r>
        <w:rPr>
          <w:rFonts w:ascii="Arial" w:cs="Arial" w:eastAsia="Arial" w:hAnsi="Arial"/>
          <w:color w:val="1B3A6B"/>
          <w:sz w:val="20"/>
          <w:szCs w:val="20"/>
        </w:rPr>
        <w:t xml:space="preserve"/>
      </w:r>
    </w:p>
    <w:p>
      <w:pPr>
        <w:pBdr>
          <w:bottom w:val="single" w:color="2563EB" w:sz="6" w:space="1"/>
        </w:pBdr>
        <w:spacing w:before="0" w:after="40" w:line="288"/>
        <w:jc w:val="left"/>
      </w:pPr>
    </w:p>
    <w:p>
      <w:pPr>
        <w:spacing w:before="0" w:after="80" w:line="300"/>
        <w:jc w:val="left"/>
      </w:pPr>
      <w:r>
        <w:rPr>
          <w:rFonts w:ascii="Arial" w:cs="Arial" w:eastAsia="Arial" w:hAnsi="Arial"/>
          <w:i/>
          <w:iCs/>
          <w:color w:val="475569"/>
          <w:sz w:val="19"/>
          <w:szCs w:val="19"/>
        </w:rPr>
        <w:t xml:space="preserve">Used consistently, this dashboard shifts Quikkred's operations from reactive firefighting to proactive pipeline management — giving every team the data they need to act faster and smarter at every stage of the loan journey.</w:t>
      </w:r>
    </w:p>
    <w:sectPr>
      <w:foot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 w:after="80" w:line="288"/>
      <w:jc w:val="center"/>
    </w:pPr>
    <w:r>
      <w:rPr>
        <w:rFonts w:ascii="Arial" w:cs="Arial" w:eastAsia="Arial" w:hAnsi="Arial"/>
        <w:i/>
        <w:iCs/>
        <w:color w:val="475569"/>
        <w:sz w:val="16"/>
        <w:szCs w:val="16"/>
      </w:rPr>
      <w:t xml:space="preserve">LOS Analytics  —  Dashboard Summary  |  Quikkred Technology Team  |  March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B3A6B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2026-03-21T05:53:35.697Z</dcterms:created>
  <dcterms:modified xsi:type="dcterms:W3CDTF">2026-03-21T05:53:35.698Z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