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20" w:line="288"/>
              <w:jc w:val="left"/>
            </w:pPr>
            <w:r>
              <w:rPr>
                <w:rFonts w:ascii="Arial" w:cs="Arial" w:eastAsia="Arial" w:hAnsi="Arial"/>
                <w:b/>
                <w:bCs/>
                <w:color w:val="FFFFFF"/>
                <w:sz w:val="34"/>
                <w:szCs w:val="34"/>
              </w:rPr>
              <w:t xml:space="preserve">Marketing Team Analytics</w:t>
            </w:r>
          </w:p>
          <w:p>
            <w:pPr>
              <w:spacing w:before="0" w:after="80" w:line="288"/>
              <w:jc w:val="left"/>
            </w:pPr>
            <w:r>
              <w:rPr>
                <w:rFonts w:ascii="Arial" w:cs="Arial" w:eastAsia="Arial" w:hAnsi="Arial"/>
                <w:i/>
                <w:iCs/>
                <w:color w:val="BFD4F5"/>
                <w:sz w:val="20"/>
                <w:szCs w:val="20"/>
              </w:rPr>
              <w:t xml:space="preserve">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Marketing Team Analytics dashboard gives Quikkred's growth and marketing teams a unified view of how traffic is acquired, how leads behave, what channels convert, and when borrowers are most likely to engage. Across six tabs, it connects campaign spend to funnel outcomes — enabling smarter budget decisions, better-timed outreach, and higher-quality lead sourcing.</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2563EB"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Acquisition
Funnel</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the top-level customer journey from registration to disbursement. Of 26,118 registered customers, 12,954 started KYC, 15,581 applied, 578 were approved, and 960 were disbursed. Daily new customer registration peaked at 1,974 in a single day during February 2026.</w:t>
            </w:r>
          </w:p>
          <w:p>
            <w:pPr>
              <w:spacing w:before="40" w:after="80" w:line="300"/>
              <w:jc w:val="left"/>
            </w:pPr>
            <w:r>
              <w:rPr>
                <w:rFonts w:ascii="Arial" w:cs="Arial" w:eastAsia="Arial" w:hAnsi="Arial"/>
                <w:color w:val="475569"/>
                <w:sz w:val="19"/>
                <w:szCs w:val="19"/>
              </w:rPr>
              <w:t xml:space="preserve">Weekly Acquisition Trend shows conversion rates spiking at 14.54% and 15.63% on the strongest weeks, dropping to near 0% on most others — confirming that overall funnel efficiency is heavily campaign-dependent rather than consistent.</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4338CA"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Landing Page &amp;
UTM Attribution</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Compares performance across landing pages and paid channels. The /apply/quick page drew 87,530 visitors but converted at just 0.01%, while /apply/quick-v2 converted at 2.19% from only 821 visitors — making v2 the clear winner despite minimal traffic share. Meta is the dominant UTM source (47,885 visitors) but converts at near 0%, while fb (4,414 visitors) shows a 0.02% conversion rate.</w:t>
            </w:r>
          </w:p>
          <w:p>
            <w:pPr>
              <w:spacing w:before="40" w:after="80" w:line="300"/>
              <w:jc w:val="left"/>
            </w:pPr>
            <w:r>
              <w:rPr>
                <w:rFonts w:ascii="Arial" w:cs="Arial" w:eastAsia="Arial" w:hAnsi="Arial"/>
                <w:color w:val="475569"/>
                <w:sz w:val="19"/>
                <w:szCs w:val="19"/>
              </w:rPr>
              <w:t xml:space="preserve">69.1% of all traffic arrives via the "Ads" medium. Across 45 tracked campaigns, the highest-converting are Need_Extra_Funds (0.07%, 3,901 visitors) and the fb campaign 120238289772260003 (0.07%, 1,370 visitors). Entry source data confirms Referral brings the most traffic (63,857 visitors) but converts at 0%, while Direct and Organic convert at 0.07–0.08%.</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7C3AED"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3</w:t>
            </w:r>
          </w:p>
          <w:p>
            <w:pPr>
              <w:spacing w:before="0" w:after="80" w:line="288"/>
              <w:jc w:val="center"/>
            </w:pPr>
            <w:r>
              <w:rPr>
                <w:rFonts w:ascii="Arial" w:cs="Arial" w:eastAsia="Arial" w:hAnsi="Arial"/>
                <w:b/>
                <w:bCs/>
                <w:color w:val="FFFFFF"/>
                <w:sz w:val="17"/>
                <w:szCs w:val="17"/>
              </w:rPr>
              <w:t xml:space="preserve">Lead Quality
&amp; Scoring</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Segments the applicant pool by CIBIL score to identify lead quality across channels. The 650–700 band is the best converter, the 700–750 and 750–800 bands produce the most disbursals (143 and 802 respectively), and the 0–500 band is flagged as WASTE with a 40.9% waste rate. The No CIBIL segment has a 1.1% conversion rate despite high volume.</w:t>
            </w:r>
          </w:p>
          <w:p>
            <w:pPr>
              <w:spacing w:before="40" w:after="80" w:line="300"/>
              <w:jc w:val="left"/>
            </w:pPr>
            <w:r>
              <w:rPr>
                <w:rFonts w:ascii="Arial" w:cs="Arial" w:eastAsia="Arial" w:hAnsi="Arial"/>
                <w:color w:val="475569"/>
                <w:sz w:val="19"/>
                <w:szCs w:val="19"/>
              </w:rPr>
              <w:t xml:space="preserve">Cost Per Acquisition by channel shows Referral brings 63,857 visitors but 0 loans originated, while Direct (20,139 visitors, 15 form conversions) and Organic (8,023 visitors, 7 conversions) are the most efficient channels. The Instant Form / Quick Apply Lead Funnel shows 17,538 total leads with 0% conversion — indicating a broken or unmapped lead-to-loan journey.</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4</w:t>
            </w:r>
          </w:p>
          <w:p>
            <w:pPr>
              <w:spacing w:before="0" w:after="80" w:line="288"/>
              <w:jc w:val="center"/>
            </w:pPr>
            <w:r>
              <w:rPr>
                <w:rFonts w:ascii="Arial" w:cs="Arial" w:eastAsia="Arial" w:hAnsi="Arial"/>
                <w:b/>
                <w:bCs/>
                <w:color w:val="FFFFFF"/>
                <w:sz w:val="17"/>
                <w:szCs w:val="17"/>
              </w:rPr>
              <w:t xml:space="preserve">Timing &amp; Scheduling
Optimization</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Identifies the best days and hours to run campaigns. Tuesday leads on visitor volume (18,547) and Monday shows the highest conversion rate (0.11%), while Wednesday and Thursday see near-zero conversions despite reasonable traffic. By hour, traffic is broadly distributed from 07:00–20:00 IST, with peaks at 00:00 (5,440) and 23:00 (5,785) suggesting significant night-time browsing activity.</w:t>
            </w:r>
          </w:p>
          <w:p>
            <w:pPr>
              <w:spacing w:before="40" w:after="80" w:line="300"/>
              <w:jc w:val="left"/>
            </w:pPr>
            <w:r>
              <w:rPr>
                <w:rFonts w:ascii="Arial" w:cs="Arial" w:eastAsia="Arial" w:hAnsi="Arial"/>
                <w:color w:val="475569"/>
                <w:sz w:val="19"/>
                <w:szCs w:val="19"/>
              </w:rPr>
              <w:t xml:space="preserve">Device Type Distribution shows 97,074 visitors on a single device type (likely mobile), with the "Unknown" category recording 0 conversions — suggesting tracking gaps on certain devices or browsers. Chrome accounts for 81,212 visitors and 28 conversions (0.03%), making it the dominant and most conversion-friendly browser.</w:t>
            </w:r>
          </w:p>
        </w:tc>
      </w:tr>
    </w:tbl>
    <w:p>
      <w:pPr>
        <w:spacing w:before="36" w:after="80" w:line="288"/>
        <w:jc w:val="left"/>
      </w:pPr>
      <w:r>
        <w:rPr>
          <w:rFonts w:ascii="Arial" w:cs="Arial" w:eastAsia="Arial" w:hAnsi="Arial"/>
          <w:color w:val="1B3A6B"/>
          <w:sz w:val="20"/>
          <w:szCs w:val="20"/>
        </w:rPr>
        <w:t xml:space="preserve"/>
      </w:r>
    </w:p>
    <w:p>
      <w:pPr>
        <w:spacing w:before="0" w:after="80" w:line="288"/>
        <w:jc w:val="left"/>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5</w:t>
            </w:r>
          </w:p>
          <w:p>
            <w:pPr>
              <w:spacing w:before="0" w:after="80" w:line="288"/>
              <w:jc w:val="center"/>
            </w:pPr>
            <w:r>
              <w:rPr>
                <w:rFonts w:ascii="Arial" w:cs="Arial" w:eastAsia="Arial" w:hAnsi="Arial"/>
                <w:b/>
                <w:bCs/>
                <w:color w:val="FFFFFF"/>
                <w:sz w:val="17"/>
                <w:szCs w:val="17"/>
              </w:rPr>
              <w:t xml:space="preserve">Referrer &amp;
Traffic Analysis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Maps where traffic is physically and digitally coming from. The geographic distribution (India heatmap) shows the highest traffic concentration in northern and central states. Top referrers are Instagram (31,152 visitors, 0% conversion) and Facebook mobile (23,290 visitors, 0.01% conversion). Google.com sends 6,869 visitors at 0.1% conversion — the highest referrer conversion rate in the table.</w:t>
            </w:r>
          </w:p>
          <w:p>
            <w:pPr>
              <w:spacing w:before="40" w:after="80" w:line="300"/>
              <w:jc w:val="left"/>
            </w:pPr>
            <w:r>
              <w:rPr>
                <w:rFonts w:ascii="Arial" w:cs="Arial" w:eastAsia="Arial" w:hAnsi="Arial"/>
                <w:color w:val="475569"/>
                <w:sz w:val="19"/>
                <w:szCs w:val="19"/>
              </w:rPr>
              <w:t xml:space="preserve">The DigiLocker SDK referrer (6,200 visitors, 0% conversion) represents users arriving mid-KYC via DigiLocker integration. Android Gmail and Google Search apps each convert at 0.1–0.15%, outperforming all social referrers. Browser breakdown confirms Chrome dominance (81,212 visitors) with Safari a distant second (14,613 visitors, 0.01%).</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BE185D"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6</w:t>
            </w:r>
          </w:p>
          <w:p>
            <w:pPr>
              <w:spacing w:before="0" w:after="80" w:line="288"/>
              <w:jc w:val="center"/>
            </w:pPr>
            <w:r>
              <w:rPr>
                <w:rFonts w:ascii="Arial" w:cs="Arial" w:eastAsia="Arial" w:hAnsi="Arial"/>
                <w:b/>
                <w:bCs/>
                <w:color w:val="FFFFFF"/>
                <w:sz w:val="17"/>
                <w:szCs w:val="17"/>
              </w:rPr>
              <w:t xml:space="preserve">Retargeting &amp;
Remarketing
Intelligence</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Surfaces high-intent abandonment data for retargeting. The Abandoned Users Who Spent 10+ Minutes table lists 500 users who spent significant time on the platform without converting — the top user spent over 13,831 minutes across sessions. All are currently stuck at Step 1, primarily on /apply/quick and /login pages, with no phone or email captured.</w:t>
            </w:r>
          </w:p>
          <w:p>
            <w:pPr>
              <w:spacing w:before="40" w:after="80" w:line="300"/>
              <w:jc w:val="left"/>
            </w:pPr>
            <w:r>
              <w:rPr>
                <w:rFonts w:ascii="Arial" w:cs="Arial" w:eastAsia="Arial" w:hAnsi="Arial"/>
                <w:color w:val="475569"/>
                <w:sz w:val="19"/>
                <w:szCs w:val="19"/>
              </w:rPr>
              <w:t xml:space="preserve">Drop-off Step Analysis confirms 28,440 users abandoned at Step 1, spending an average of 629 seconds before leaving. The Returning Visitors chart shows 26,895 users with 2 visits, 5,017 with 4–5 visits, and 4,901 with 3 visits — all with 0 conversions recorded, indicating that repeated visits alone are not driving applications and retargeting messaging needs to be stronger.</w:t>
            </w:r>
          </w:p>
        </w:tc>
      </w:tr>
    </w:tbl>
    <w:p>
      <w:pPr>
        <w:spacing w:before="36" w:after="80" w:line="288"/>
        <w:jc w:val="left"/>
      </w:pPr>
      <w:r>
        <w:rPr>
          <w:rFonts w:ascii="Arial" w:cs="Arial" w:eastAsia="Arial" w:hAnsi="Arial"/>
          <w:color w:val="1B3A6B"/>
          <w:sz w:val="20"/>
          <w:szCs w:val="20"/>
        </w:rPr>
        <w:t xml:space="preserve"/>
      </w:r>
    </w:p>
    <w:p>
      <w:pPr>
        <w:spacing w:before="56"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Marketing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Each tab answers a specific question the marketing team needs to act on. Together, they form a decision loop — from knowing where traffic comes from, to how to spend budget, when to send campaigns, and who to retarget.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Acquisition Funnel</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Use the daily registration chart to correlate campaign launches with registration spikes. The consistent gap between KYC Started (12,954) and Applied (15,581) signals that many users skip KYC but still apply — the team should investigate whether this is a tracking issue or a broken onboarding flow.</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4338CA"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Landing Page &amp; UTM</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/apply/quick-v2 converts 219× better than /apply/quick — all paid traffic should be routed to v2 immediately. UTM campaign tracking shows most Meta campaigns converting at 0%; the Need_Extra_Funds campaign (0.07%) should be scaled while zero-conversion campaigns are paused.</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7C3AED"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Lead Quality</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0–500 CIBIL WASTE band represents budget being spent on ineligible borrowers. Adding a CIBIL pre-check at ad targeting or landing page level would reduce wasted acquisition cost. The 17,538 Quick Apply leads with 0% conversion indicates a broken handoff between the lead form and the LOS — fix this before scaling spend.</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Timing &amp; Scheduling</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Run performance campaigns on Tuesday and Monday when visitor-to-conversion rates are highest. Night-time traffic (23:00 and 00:00) is significant — push notifications and WhatsApp reminders scheduled for 22:00–23:00 IST are likely to find an active audience.</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0F766E"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Referrer &amp; Traffic</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Google (search and apps) converts at 0.1–0.15% — the best referrer conversion rate. Shifting budget from Instagram/Facebook (0–0.01%) toward Google Search and App campaigns would improve cost per acquisition. The DigiLocker referrer should be monitored as it represents mid-journey users who may need a tailored re-entry experience.</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BE185D"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Retargeting</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500 high-intent abandoners (10+ minutes, Step 1) are the warmest retargeting pool on the platform. Since phone and email are not yet captured for most, cookie-based retargeting on Meta and Google is the primary channel. The 26,895 two-visit users with 0 conversions need a stronger call-to-action on their return visit — consider a personalised offer or pre-filled form to reduce drop-off friction.</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Used together, these six tabs give the marketing team a closed-loop analytics system — connecting campaign input to funnel output, and turning behavioural data into actionable targeting and scheduling decisions.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Marketing Team Analytics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2026-03-21T05:56:11.928Z</dcterms:created>
  <dcterms:modified xsi:type="dcterms:W3CDTF">2026-03-21T05:56:11.929Z</dcterms:modified>
</cp:coreProperties>
</file>

<file path=docProps/custom.xml><?xml version="1.0" encoding="utf-8"?>
<Properties xmlns="http://schemas.openxmlformats.org/officeDocument/2006/custom-properties" xmlns:vt="http://schemas.openxmlformats.org/officeDocument/2006/docPropsVTypes"/>
</file>