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5C" w:val="clear"/>
            <w:tcMar>
              <w:top w:type="dxa" w:w="300"/>
              <w:left w:type="dxa" w:w="360"/>
              <w:bottom w:type="dxa" w:w="300"/>
              <w:right w:type="dxa" w:w="360"/>
            </w:tcMar>
          </w:tcPr>
          <w:p>
            <w:pPr>
              <w:jc w:val="center"/>
            </w:pPr>
            <w:r>
              <w:rPr>
                <w:rFonts w:ascii="Arial" w:cs="Arial" w:eastAsia="Arial" w:hAnsi="Arial"/>
                <w:b/>
                <w:bCs/>
                <w:color w:val="FFFFFF"/>
                <w:sz w:val="36"/>
                <w:szCs w:val="36"/>
              </w:rPr>
              <w:t xml:space="preserve">Due Analysis</w:t>
            </w:r>
          </w:p>
          <w:p>
            <w:pPr>
              <w:spacing w:before="80"/>
              <w:jc w:val="center"/>
            </w:pPr>
            <w:r>
              <w:rPr>
                <w:rFonts w:ascii="Arial" w:cs="Arial" w:eastAsia="Arial" w:hAnsi="Arial"/>
                <w:i/>
                <w:iCs/>
                <w:color w:val="9DC3E6"/>
                <w:sz w:val="22"/>
                <w:szCs w:val="22"/>
              </w:rPr>
              <w:t xml:space="preserve">Dashboard Summary  —  Quikkred</w:t>
            </w:r>
          </w:p>
        </w:tc>
      </w:tr>
    </w:tbl>
    <w:p>
      <w:pPr>
        <w:spacing w:before="80" w:after="80"/>
      </w:pPr>
      <w:r>
        <w:t xml:space="preserve"/>
      </w:r>
    </w:p>
    <w:p>
      <w:pPr>
        <w:pStyle w:val="Heading1"/>
        <w:spacing w:before="160" w:after="100"/>
      </w:pPr>
      <w:r>
        <w:rPr>
          <w:rFonts w:ascii="Arial" w:cs="Arial" w:eastAsia="Arial" w:hAnsi="Arial"/>
          <w:b/>
          <w:bCs/>
          <w:color w:val="1B3A5C"/>
          <w:sz w:val="30"/>
          <w:szCs w:val="30"/>
        </w:rPr>
        <w:t xml:space="preserve">Dashboard Overview</w:t>
      </w:r>
    </w:p>
    <w:p>
      <w:pPr>
        <w:spacing w:before="80" w:after="80"/>
      </w:pPr>
      <w:r>
        <w:rPr>
          <w:rFonts w:ascii="Arial" w:cs="Arial" w:eastAsia="Arial" w:hAnsi="Arial"/>
          <w:sz w:val="22"/>
          <w:szCs w:val="22"/>
        </w:rPr>
        <w:t xml:space="preserve">The Due Analysis dashboard is Quikkred’s most comprehensive operational tool, covering the full payment lifecycle across 12 tabs. It tracks what is due today, what was collected this month and last month, how capital is rotating across tenures, how foreclosures and closures are performing, what late charges are accruing, where data quality issues exist in outstanding balances, the health of the PAR/DPD position, partial payment behaviour, Razorpay payment gateway performance, payment link conversion, and a deep-dive into all payment records. It is the go-to dashboard for the collections, finance, and operations teams.</w:t>
      </w:r>
    </w:p>
    <w:p>
      <w:pPr>
        <w:spacing w:before="80" w:after="80"/>
      </w:pPr>
      <w:r>
        <w:t xml:space="preserve"/>
      </w:r>
    </w:p>
    <w:p>
      <w:pPr>
        <w:pBdr>
          <w:bottom w:val="single" w:color="2E75B6" w:sz="4" w:space="1"/>
        </w:pBdr>
        <w:spacing w:before="120" w:after="120"/>
      </w:pPr>
      <w:r>
        <w:t xml:space="preserve"/>
      </w:r>
    </w:p>
    <w:p>
      <w:pPr>
        <w:pStyle w:val="Heading1"/>
        <w:spacing w:before="200" w:after="100"/>
      </w:pPr>
      <w:r>
        <w:rPr>
          <w:rFonts w:ascii="Arial" w:cs="Arial" w:eastAsia="Arial" w:hAnsi="Arial"/>
          <w:b/>
          <w:bCs/>
          <w:color w:val="1B3A5C"/>
          <w:sz w:val="30"/>
          <w:szCs w:val="30"/>
        </w:rPr>
        <w:t xml:space="preserve">Tab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Due Today</w:t>
            </w:r>
          </w:p>
        </w:tc>
      </w:tr>
    </w:tbl>
    <w:p>
      <w:pPr>
        <w:spacing w:before="80" w:after="80"/>
      </w:pPr>
      <w:r>
        <w:t xml:space="preserve"/>
      </w:r>
    </w:p>
    <w:p>
      <w:pPr>
        <w:spacing w:before="80" w:after="80"/>
      </w:pPr>
      <w:r>
        <w:rPr>
          <w:rFonts w:ascii="Arial" w:cs="Arial" w:eastAsia="Arial" w:hAnsi="Arial"/>
          <w:sz w:val="22"/>
          <w:szCs w:val="22"/>
        </w:rPr>
        <w:t xml:space="preserve">A daily snapshot of all loans due on a specific date (shown: March 14, 2026). Total due: ₹306,300 across 13 loans, with 8 paid and a shortfall of ₹116,500. Shows ₹74,750 paid before due date and ₹231,550 still outstanding as of today. Includes a per-loan table with status, due amount, principal, and interest breakdown, plus a list of borrowers who paid early (EMI type). Also shows transaction-level detail for every payment collected on the day, including Razorpay payment IDs.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Current Month Due &amp; Collected</w:t>
            </w:r>
          </w:p>
        </w:tc>
      </w:tr>
    </w:tbl>
    <w:p>
      <w:pPr>
        <w:spacing w:before="80" w:after="80"/>
      </w:pPr>
      <w:r>
        <w:t xml:space="preserve"/>
      </w:r>
    </w:p>
    <w:p>
      <w:pPr>
        <w:spacing w:before="80" w:after="80"/>
      </w:pPr>
      <w:r>
        <w:rPr>
          <w:rFonts w:ascii="Arial" w:cs="Arial" w:eastAsia="Arial" w:hAnsi="Arial"/>
          <w:sz w:val="22"/>
          <w:szCs w:val="22"/>
        </w:rPr>
        <w:t xml:space="preserve">Tracks repayment performance for the current month (February 28 – March 31, 2026). Total due: ₹6,746,717.50; total collected: ₹3,951,686.50; collection rate: 57.65%; shortfall: ₹2,901,955; 90 overdue loans out of 420. A daily breakdown table shows due vs collected per day. DPD Bucket Distribution shows current loans (DPD 0) collecting at 81.44%, 1–30 DPD at 48.1%, and 31–60 DPD at just 11.43%. Schedule-Level Due Analysis shows 235 PAID, 94 OVERDUE (1.5% paid), 87 PENDING, and 18 PARTIALLY_PAID. Payment Scenario chart covers January to March 2026 monthly totals.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3</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Previous Month Due &amp; Collected</w:t>
            </w:r>
          </w:p>
        </w:tc>
      </w:tr>
    </w:tbl>
    <w:p>
      <w:pPr>
        <w:spacing w:before="80" w:after="80"/>
      </w:pPr>
      <w:r>
        <w:t xml:space="preserve"/>
      </w:r>
    </w:p>
    <w:p>
      <w:pPr>
        <w:spacing w:before="80" w:after="80"/>
      </w:pPr>
      <w:r>
        <w:rPr>
          <w:rFonts w:ascii="Arial" w:cs="Arial" w:eastAsia="Arial" w:hAnsi="Arial"/>
          <w:sz w:val="22"/>
          <w:szCs w:val="22"/>
        </w:rPr>
        <w:t xml:space="preserve">Same structure as Current Month but for the prior period (January 31 – February 28, 2026). Total due: ₹8,357,657.50; total collected: ₹6,138,126.50; collection rate: 67.43%; shortfall: ₹2,963,710; 161 overdue loans out of 574. Schedule-Level Due Analysis shows 380 PAID (98.3% paid), 164 OVERDUE (3.1% paid), 22 PARTIALLY_PAID (126.5%), and 9 PENDING (0%). February was a stronger collection month than March, with the drop in collection rate (67.43% → 57.65%) signalling deterioration in the current month.</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Capital Rotation Advantage by Tenure</w:t>
            </w:r>
          </w:p>
        </w:tc>
      </w:tr>
    </w:tbl>
    <w:p>
      <w:pPr>
        <w:spacing w:before="80" w:after="80"/>
      </w:pPr>
      <w:r>
        <w:t xml:space="preserve"/>
      </w:r>
    </w:p>
    <w:p>
      <w:pPr>
        <w:spacing w:before="80" w:after="80"/>
      </w:pPr>
      <w:r>
        <w:rPr>
          <w:rFonts w:ascii="Arial" w:cs="Arial" w:eastAsia="Arial" w:hAnsi="Arial"/>
          <w:sz w:val="22"/>
          <w:szCs w:val="22"/>
        </w:rPr>
        <w:t xml:space="preserve">Analyses how efficiently capital is being rotated across loan tenures, with a focus on fee revenue generated per tenure cycle. 15-day loans dominate the portfolio (630 loans, ₹7.1M disbursed, net fee revenue ₹808,953 — by far the highest revenue generator). 7-day loans have 33 loans, ₹373k disbursed, net fee ₹42,350. The Tenure Mix Distribution bar chart shows 15-day loans are the clear volume and revenue leader. This tab helps the product and finance team identify which tenure products deliver the best capital rotation economics.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5</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Foreclosure &amp; Closure Analysis</w:t>
            </w:r>
          </w:p>
        </w:tc>
      </w:tr>
    </w:tbl>
    <w:p>
      <w:pPr>
        <w:spacing w:before="80" w:after="80"/>
      </w:pPr>
      <w:r>
        <w:t xml:space="preserve"/>
      </w:r>
    </w:p>
    <w:p>
      <w:pPr>
        <w:spacing w:before="80" w:after="80"/>
      </w:pPr>
      <w:r>
        <w:rPr>
          <w:rFonts w:ascii="Arial" w:cs="Arial" w:eastAsia="Arial" w:hAnsi="Arial"/>
          <w:sz w:val="22"/>
          <w:szCs w:val="22"/>
        </w:rPr>
        <w:t xml:space="preserve">Tracks how loans are being closed — on time, early, or late (after going overdue). Closure breakdown across 776 total loans: 46.1% on-time, 29.1% early, 24.7% late (was overdue). By disbursed amount (₹8,960,065 total): 47% on-time, 28.6% early, 24.4% late. Avg days to close: late closures take the longest (43.6% share of avg 75 days). Foreclosure analysis from payment records shows February 2026 as the peak (102 foreclosures, ₹1.5M total), falling to 33 in March (₹473k). A data issue tracker shows 50 closed loans that still have outstanding principal balances, flagging a reconciliation problem.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6</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Late Charges &amp; Penalty Analysis</w:t>
            </w:r>
          </w:p>
        </w:tc>
      </w:tr>
    </w:tbl>
    <w:p>
      <w:pPr>
        <w:spacing w:before="80" w:after="80"/>
      </w:pPr>
      <w:r>
        <w:t xml:space="preserve"/>
      </w:r>
    </w:p>
    <w:p>
      <w:pPr>
        <w:spacing w:before="80" w:after="80"/>
      </w:pPr>
      <w:r>
        <w:rPr>
          <w:rFonts w:ascii="Arial" w:cs="Arial" w:eastAsia="Arial" w:hAnsi="Arial"/>
          <w:sz w:val="22"/>
          <w:szCs w:val="22"/>
        </w:rPr>
        <w:t xml:space="preserve">Tracks all accrued and recovered late charges across the portfolio. Total late charges accrued: ₹1,325,573.75 (₹343,050 penalty + ₹982,523.75 late interest), across 296 loans with penalty and 442 loans with late interest. By DPD bucket: 31–60 DPD bucket carries ₹773,633.75 in combined late charges (126 loans); 1–30 bucket has ₹420,505.50 (177 loans). Total recovered so far: only ₹23,050 across 60 payments — a very low recovery rate. Foreclosure payments recovered ₹19,550 (2.6% of payment amount); EMI payments recovered ₹3,500 (5.1%).</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7</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Outstanding Integrity Check</w:t>
            </w:r>
          </w:p>
        </w:tc>
      </w:tr>
    </w:tbl>
    <w:p>
      <w:pPr>
        <w:spacing w:before="80" w:after="80"/>
      </w:pPr>
      <w:r>
        <w:t xml:space="preserve"/>
      </w:r>
    </w:p>
    <w:p>
      <w:pPr>
        <w:spacing w:before="80" w:after="80"/>
      </w:pPr>
      <w:r>
        <w:rPr>
          <w:rFonts w:ascii="Arial" w:cs="Arial" w:eastAsia="Arial" w:hAnsi="Arial"/>
          <w:sz w:val="22"/>
          <w:szCs w:val="22"/>
        </w:rPr>
        <w:t xml:space="preserve">A data quality monitoring tab that flags loans where the outstanding balance calculations do not reconcile correctly. Three trackers: (1) Total Outstanding Mismatch — 38 loans where the sum of principal + interest + late charges does not match the stored totalOutstanding figure, mostly overdue loans with DPD 11–21. (2) Schedule vs Loan Outstanding Mismatch — 17 loans where the schedule balance does not match the loan outstanding, all with ₹0 paid despite being overdue. (3) Negative Paid Amounts in Schedule — 50 loans showing ‒₹200 as schedule paid amount, indicating a payment reversal or system bug in the 31–60 DPD bucket.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8</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PAR &amp; DPD Corrected Analysis</w:t>
            </w:r>
          </w:p>
        </w:tc>
      </w:tr>
    </w:tbl>
    <w:p>
      <w:pPr>
        <w:spacing w:before="80" w:after="80"/>
      </w:pPr>
      <w:r>
        <w:t xml:space="preserve"/>
      </w:r>
    </w:p>
    <w:p>
      <w:pPr>
        <w:spacing w:before="80" w:after="80"/>
      </w:pPr>
      <w:r>
        <w:rPr>
          <w:rFonts w:ascii="Arial" w:cs="Arial" w:eastAsia="Arial" w:hAnsi="Arial"/>
          <w:sz w:val="22"/>
          <w:szCs w:val="22"/>
        </w:rPr>
        <w:t xml:space="preserve">Provides a corrected, full-detail view of Portfolio at Risk (PAR) and DPD positions. Headline metrics: ₹7,151,675.50 total outstanding, 406 total loans, 103 current loans (₹1.72M), PAR1 loans: 303 (₹5,431,600.75, PAR1 PCT: 75.94%), PAR31 loans: 126 (₹2,418,428.25). DPD Bucket with Full Outstanding Breakdown shows DPD 0: 103 loans (₹1.7M), DPD 1–30: 177 loans (₹3.0M — the largest bucket by count), DPD 31–60: 126 loans (₹1.5M). An Overdue Loans Detail table lists 300 overdue borrowers with loan number, mobile, principal, and total outstanding for direct collections action.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9</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Partial Payment Intelligence</w:t>
            </w:r>
          </w:p>
        </w:tc>
      </w:tr>
    </w:tbl>
    <w:p>
      <w:pPr>
        <w:spacing w:before="80" w:after="80"/>
      </w:pPr>
      <w:r>
        <w:t xml:space="preserve"/>
      </w:r>
    </w:p>
    <w:p>
      <w:pPr>
        <w:spacing w:before="80" w:after="80"/>
      </w:pPr>
      <w:r>
        <w:rPr>
          <w:rFonts w:ascii="Arial" w:cs="Arial" w:eastAsia="Arial" w:hAnsi="Arial"/>
          <w:sz w:val="22"/>
          <w:szCs w:val="22"/>
        </w:rPr>
        <w:t xml:space="preserve">Tracks loans where borrowers have paid only a portion of what is due. Currently 2 total partial payments recorded (₹6,500 total, avg ₹3,250), recovering ₹3,500 principal and ₹3,000 interest. A 54-row Partially Paid Schedule Items table lists all loans with partial payments by status, DPD, and schedule due date — covering both overdue and active loans. Payment Link Partial Payment Tracking shows one active partial payment link (56.5% paid, ₹3,900 of ₹6,900). Loans With Multiple Payments chart shows 647 loans had exactly 1 payment; 55 had 2 payments; payments per loan go up to 7, with avg total paid rising from ₹14.9k to ₹23.4k as frequency increases.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10</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Payin &amp; Razorpay Analytics</w:t>
            </w:r>
          </w:p>
        </w:tc>
      </w:tr>
    </w:tbl>
    <w:p>
      <w:pPr>
        <w:spacing w:before="80" w:after="80"/>
      </w:pPr>
      <w:r>
        <w:t xml:space="preserve"/>
      </w:r>
    </w:p>
    <w:p>
      <w:pPr>
        <w:spacing w:before="80" w:after="80"/>
      </w:pPr>
      <w:r>
        <w:rPr>
          <w:rFonts w:ascii="Arial" w:cs="Arial" w:eastAsia="Arial" w:hAnsi="Arial"/>
          <w:sz w:val="22"/>
          <w:szCs w:val="22"/>
        </w:rPr>
        <w:t xml:space="preserve">Monitors the Razorpay payment gateway pipeline. Payin Status Summary shows 739 PENDING transactions (₹10.8M), 395 SUCCESS (₹5.0M), and 79 FAILED (₹1.1M). This means 61.7% of payin volume by count is still pending — a significant backlog. Payment Proof Verification Pipeline shows 162 proofs all stuck at 100% PENDING, meaning no payment proofs have been verified yet. This tab is critical for the finance team to ensure Razorpay settlements are being reconciled and pending transactions are not leaking revenue.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11</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Payment Link Due Analysis</w:t>
            </w:r>
          </w:p>
        </w:tc>
      </w:tr>
    </w:tbl>
    <w:p>
      <w:pPr>
        <w:spacing w:before="80" w:after="80"/>
      </w:pPr>
      <w:r>
        <w:t xml:space="preserve"/>
      </w:r>
    </w:p>
    <w:p>
      <w:pPr>
        <w:spacing w:before="80" w:after="80"/>
      </w:pPr>
      <w:r>
        <w:rPr>
          <w:rFonts w:ascii="Arial" w:cs="Arial" w:eastAsia="Arial" w:hAnsi="Arial"/>
          <w:sz w:val="22"/>
          <w:szCs w:val="22"/>
        </w:rPr>
        <w:t xml:space="preserve">Full lifecycle view of all payment links sent for dues. Total: 3,602 links, ₹55,277,836.70 total amount, 8% collection rate, 7.5% conversion rate. ₹4,441,231 total paid across 271 paid links. Of 3,602 links: 603 created, 1,996 cancelled, 731 expired, 288 have payments attached. February 2026 was peak month: 2.1k links sent (₹31.3M), with ₹2.8M paid. March has 1.2k links (₹19.5M), ₹997k paid so far. Expired links with partial payments table shows 14 links that expired before being fully paid, some with 96–100% paid, indicating borrowers who nearly completed payment but ran out of 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12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B3A5C"/>
                <w:sz w:val="23"/>
                <w:szCs w:val="23"/>
              </w:rPr>
              <w:t xml:space="preserve">Payment Records Deep Dive</w:t>
            </w:r>
          </w:p>
        </w:tc>
      </w:tr>
    </w:tbl>
    <w:p>
      <w:pPr>
        <w:spacing w:before="80" w:after="80"/>
      </w:pPr>
      <w:r>
        <w:t xml:space="preserve"/>
      </w:r>
    </w:p>
    <w:p>
      <w:pPr>
        <w:spacing w:before="80" w:after="80"/>
      </w:pPr>
      <w:r>
        <w:rPr>
          <w:rFonts w:ascii="Arial" w:cs="Arial" w:eastAsia="Arial" w:hAnsi="Arial"/>
          <w:sz w:val="22"/>
          <w:szCs w:val="22"/>
        </w:rPr>
        <w:t xml:space="preserve">A granular view of all 804 payment records totalling ₹11.0M. Daily Collection Trend by Payment Type shows EMI and Foreclosure as the two dominant payment streams, with the February 25 peak at ₹532k. Payment Allocation Breakdown shows EMI payments total ₹8.1M (604 records) but ₹7.5M is unallocated — a major data concern. Foreclosure payments total ₹2.8M (193 records) with ₹402.3k principal allocated and –₹120k in negative interest allocation (reversal). Payment Mode: 64.55% UPI by count (₹6.7M), 32.59% Online. Payment Source: 68.53% OTHER, 28.36% Manual Reconciliation, 3.11% Razorpay Payment.</w:t>
      </w:r>
    </w:p>
    <w:p>
      <w:pPr>
        <w:spacing w:before="80" w:after="80"/>
      </w:pPr>
      <w:r>
        <w:t xml:space="preserve"/>
      </w:r>
    </w:p>
    <w:p>
      <w:pPr>
        <w:pBdr>
          <w:bottom w:val="single" w:color="2E75B6" w:sz="4" w:space="1"/>
        </w:pBdr>
        <w:spacing w:before="120" w:after="120"/>
      </w:pPr>
      <w:r>
        <w:t xml:space="preserve"/>
      </w:r>
    </w:p>
    <w:p>
      <w:pPr>
        <w:pStyle w:val="Heading1"/>
        <w:spacing w:before="200" w:after="120"/>
      </w:pPr>
      <w:r>
        <w:rPr>
          <w:rFonts w:ascii="Arial" w:cs="Arial" w:eastAsia="Arial" w:hAnsi="Arial"/>
          <w:b/>
          <w:bCs/>
          <w:color w:val="1B3A5C"/>
          <w:sz w:val="30"/>
          <w:szCs w:val="30"/>
        </w:rPr>
        <w:t xml:space="preserve">How This Dashboard Helps Operations</w:t>
      </w:r>
    </w:p>
    <w:p>
      <w:pPr>
        <w:pStyle w:val="ListParagraph"/>
        <w:numPr>
          <w:ilvl w:val="0"/>
          <w:numId w:val="2"/>
        </w:numPr>
        <w:spacing w:before="60" w:after="60"/>
      </w:pPr>
      <w:r>
        <w:rPr>
          <w:rFonts w:ascii="Arial" w:cs="Arial" w:eastAsia="Arial" w:hAnsi="Arial"/>
          <w:sz w:val="21"/>
          <w:szCs w:val="21"/>
        </w:rPr>
        <w:t xml:space="preserve">Due Today gives the collections team a real-time list of every loan due on a given day, who has paid early, and what the outstanding shortfall is — enabling same-day follow-up before the day ends.</w:t>
      </w:r>
    </w:p>
    <w:p>
      <w:pPr>
        <w:pStyle w:val="ListParagraph"/>
        <w:numPr>
          <w:ilvl w:val="0"/>
          <w:numId w:val="2"/>
        </w:numPr>
        <w:spacing w:before="60" w:after="60"/>
      </w:pPr>
      <w:r>
        <w:rPr>
          <w:rFonts w:ascii="Arial" w:cs="Arial" w:eastAsia="Arial" w:hAnsi="Arial"/>
          <w:sz w:val="21"/>
          <w:szCs w:val="21"/>
        </w:rPr>
        <w:t xml:space="preserve">The month-on-month comparison (67.43% collection rate in Feb vs 57.65% in March so far) gives management an early warning that collections efficiency is declining and intervention is needed.</w:t>
      </w:r>
    </w:p>
    <w:p>
      <w:pPr>
        <w:pStyle w:val="ListParagraph"/>
        <w:numPr>
          <w:ilvl w:val="0"/>
          <w:numId w:val="2"/>
        </w:numPr>
        <w:spacing w:before="60" w:after="60"/>
      </w:pPr>
      <w:r>
        <w:rPr>
          <w:rFonts w:ascii="Arial" w:cs="Arial" w:eastAsia="Arial" w:hAnsi="Arial"/>
          <w:sz w:val="21"/>
          <w:szCs w:val="21"/>
        </w:rPr>
        <w:t xml:space="preserve">Capital Rotation confirms 15-day loans generate the most fee revenue (₹808,953) — this directly informs product mix strategy and where to focus disbursement capacity.</w:t>
      </w:r>
    </w:p>
    <w:p>
      <w:pPr>
        <w:pStyle w:val="ListParagraph"/>
        <w:numPr>
          <w:ilvl w:val="0"/>
          <w:numId w:val="2"/>
        </w:numPr>
        <w:spacing w:before="60" w:after="60"/>
      </w:pPr>
      <w:r>
        <w:rPr>
          <w:rFonts w:ascii="Arial" w:cs="Arial" w:eastAsia="Arial" w:hAnsi="Arial"/>
          <w:sz w:val="21"/>
          <w:szCs w:val="21"/>
        </w:rPr>
        <w:t xml:space="preserve">The Outstanding Integrity Check’s three trackers (38 mismatch loans, 17 schedule mismatches, 50 negative paid amounts) are actionable data quality bugs that the tech team must fix to ensure accurate PAR reporting and borrower statements.</w:t>
      </w:r>
    </w:p>
    <w:p>
      <w:pPr>
        <w:pStyle w:val="ListParagraph"/>
        <w:numPr>
          <w:ilvl w:val="0"/>
          <w:numId w:val="2"/>
        </w:numPr>
        <w:spacing w:before="60" w:after="60"/>
      </w:pPr>
      <w:r>
        <w:rPr>
          <w:rFonts w:ascii="Arial" w:cs="Arial" w:eastAsia="Arial" w:hAnsi="Arial"/>
          <w:sz w:val="21"/>
          <w:szCs w:val="21"/>
        </w:rPr>
        <w:t xml:space="preserve">PAR &amp; DPD Corrected Analysis confirms 75.94% of outstanding loans are already in PAR1 — meaning nearly the entire active portfolio is at risk of default. This requires urgent escalation.</w:t>
      </w:r>
    </w:p>
    <w:p>
      <w:pPr>
        <w:pStyle w:val="ListParagraph"/>
        <w:numPr>
          <w:ilvl w:val="0"/>
          <w:numId w:val="2"/>
        </w:numPr>
        <w:spacing w:before="60" w:after="60"/>
      </w:pPr>
      <w:r>
        <w:rPr>
          <w:rFonts w:ascii="Arial" w:cs="Arial" w:eastAsia="Arial" w:hAnsi="Arial"/>
          <w:sz w:val="21"/>
          <w:szCs w:val="21"/>
        </w:rPr>
        <w:t xml:space="preserve">Late Charges Accrued vs Recovered gap (₹1.3M accrued, only ₹23k recovered) shows the collections team is not actively pursuing penalty recovery — a significant revenue leakage opportunity.</w:t>
      </w:r>
    </w:p>
    <w:p>
      <w:pPr>
        <w:pStyle w:val="ListParagraph"/>
        <w:numPr>
          <w:ilvl w:val="0"/>
          <w:numId w:val="2"/>
        </w:numPr>
        <w:spacing w:before="60" w:after="60"/>
      </w:pPr>
      <w:r>
        <w:rPr>
          <w:rFonts w:ascii="Arial" w:cs="Arial" w:eastAsia="Arial" w:hAnsi="Arial"/>
          <w:sz w:val="21"/>
          <w:szCs w:val="21"/>
        </w:rPr>
        <w:t xml:space="preserve">Razorpay Payin showing 739 PENDING transactions and 162 payment proofs all stuck in pending is a critical gateway issue that the finance team must resolve to prevent revenue from being unrecognised.</w:t>
      </w:r>
    </w:p>
    <w:p>
      <w:pPr>
        <w:pStyle w:val="ListParagraph"/>
        <w:numPr>
          <w:ilvl w:val="0"/>
          <w:numId w:val="2"/>
        </w:numPr>
        <w:spacing w:before="60" w:after="60"/>
      </w:pPr>
      <w:r>
        <w:rPr>
          <w:rFonts w:ascii="Arial" w:cs="Arial" w:eastAsia="Arial" w:hAnsi="Arial"/>
          <w:sz w:val="21"/>
          <w:szCs w:val="21"/>
        </w:rPr>
        <w:t xml:space="preserve">Payment Link Due Analysis showing 1,996 cancelled and 731 expired links out of 3,602 total is an operational failure — over 75% of links are not converting, and the expiry tracker helps identify near-miss payments that need re-sending.</w:t>
      </w:r>
    </w:p>
    <w:p>
      <w:pPr>
        <w:pStyle w:val="ListParagraph"/>
        <w:numPr>
          <w:ilvl w:val="0"/>
          <w:numId w:val="2"/>
        </w:numPr>
        <w:spacing w:before="60" w:after="60"/>
      </w:pPr>
      <w:r>
        <w:rPr>
          <w:rFonts w:ascii="Arial" w:cs="Arial" w:eastAsia="Arial" w:hAnsi="Arial"/>
          <w:sz w:val="21"/>
          <w:szCs w:val="21"/>
        </w:rPr>
        <w:t xml:space="preserve">Payment Records Deep Dive’s ₹7.5M unallocated EMI amount is a major reconciliation gap that could be distorting the true collection rate and needs immediate attention from the finance team.</w:t>
      </w:r>
    </w:p>
    <w:p>
      <w:pPr>
        <w:spacing w:before="80" w:after="80"/>
      </w:pPr>
      <w:r>
        <w:t xml:space="preserve"/>
      </w:r>
    </w:p>
    <w:p>
      <w:pPr>
        <w:pBdr>
          <w:bottom w:val="single" w:color="2E75B6" w:sz="4" w:space="1"/>
        </w:pBdr>
        <w:spacing w:before="120" w:after="120"/>
      </w:pPr>
      <w:r>
        <w:t xml:space="preserve"/>
      </w:r>
    </w:p>
    <w:p>
      <w:pPr>
        <w:spacing w:before="120" w:after="60"/>
        <w:jc w:val="center"/>
      </w:pPr>
      <w:r>
        <w:rPr>
          <w:rFonts w:ascii="Arial" w:cs="Arial" w:eastAsia="Arial" w:hAnsi="Arial"/>
          <w:i/>
          <w:iCs/>
          <w:color w:val="AAAAAA"/>
          <w:sz w:val="18"/>
          <w:szCs w:val="18"/>
        </w:rPr>
        <w:t xml:space="preserve">Document prepared by the Technology Team  —  March 2026</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7"/>
        <w:szCs w:val="17"/>
      </w:rPr>
      <w:t xml:space="preserve">Due Analysis Dashboard  |  Quikkred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5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2026-03-21T05:27:27.772Z</dcterms:created>
  <dcterms:modified xsi:type="dcterms:W3CDTF">2026-03-21T05:27:27.773Z</dcterms:modified>
</cp:coreProperties>
</file>

<file path=docProps/custom.xml><?xml version="1.0" encoding="utf-8"?>
<Properties xmlns="http://schemas.openxmlformats.org/officeDocument/2006/custom-properties" xmlns:vt="http://schemas.openxmlformats.org/officeDocument/2006/docPropsVTypes"/>
</file>