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300"/>
              <w:left w:type="dxa" w:w="360"/>
              <w:bottom w:type="dxa" w:w="300"/>
              <w:right w:type="dxa" w:w="360"/>
            </w:tcMar>
          </w:tcPr>
          <w:p>
            <w:pPr>
              <w:jc w:val="center"/>
            </w:pPr>
            <w:r>
              <w:rPr>
                <w:rFonts w:ascii="Arial" w:cs="Arial" w:eastAsia="Arial" w:hAnsi="Arial"/>
                <w:b/>
                <w:bCs/>
                <w:color w:val="FFFFFF"/>
                <w:sz w:val="36"/>
                <w:szCs w:val="36"/>
              </w:rPr>
              <w:t xml:space="preserve">LMS Analytics</w:t>
            </w:r>
          </w:p>
          <w:p>
            <w:pPr>
              <w:spacing w:before="80"/>
              <w:jc w:val="center"/>
            </w:pPr>
            <w:r>
              <w:rPr>
                <w:rFonts w:ascii="Arial" w:cs="Arial" w:eastAsia="Arial" w:hAnsi="Arial"/>
                <w:i/>
                <w:iCs/>
                <w:color w:val="9DC3E6"/>
                <w:sz w:val="22"/>
                <w:szCs w:val="22"/>
              </w:rPr>
              <w:t xml:space="preserve">Dashboard Summary  —  Quikkred</w:t>
            </w:r>
          </w:p>
        </w:tc>
      </w:tr>
    </w:tbl>
    <w:p>
      <w:pPr>
        <w:spacing w:before="80" w:after="80"/>
      </w:pPr>
      <w:r>
        <w:t xml:space="preserve"/>
      </w:r>
    </w:p>
    <w:p>
      <w:pPr>
        <w:pStyle w:val="Heading1"/>
        <w:spacing w:before="160" w:after="100"/>
      </w:pPr>
      <w:r>
        <w:rPr>
          <w:rFonts w:ascii="Arial" w:cs="Arial" w:eastAsia="Arial" w:hAnsi="Arial"/>
          <w:b/>
          <w:bCs/>
          <w:color w:val="1B3A5C"/>
          <w:sz w:val="30"/>
          <w:szCs w:val="30"/>
        </w:rPr>
        <w:t xml:space="preserve">Dashboard Overview</w:t>
      </w:r>
    </w:p>
    <w:p>
      <w:pPr>
        <w:spacing w:before="80" w:after="80"/>
      </w:pPr>
      <w:r>
        <w:rPr>
          <w:rFonts w:ascii="Arial" w:cs="Arial" w:eastAsia="Arial" w:hAnsi="Arial"/>
          <w:sz w:val="22"/>
          <w:szCs w:val="22"/>
        </w:rPr>
        <w:t xml:space="preserve">The LMS Analytics dashboard is Quikkred’s Loan Management System intelligence hub. It provides a comprehensive view of the entire active loan portfolio across six tabs: portfolio quality and loan health, DPD and NPA analysis, AI-powered collections performance, payment analytics and gateway tracking, settlement and write-off status, and EMI reminder effectiveness. This is the primary operational dashboard used daily by the collections, risk, and finance teams to manage loan performance and drive repayment outcomes.</w:t>
      </w:r>
    </w:p>
    <w:p>
      <w:pPr>
        <w:spacing w:before="80" w:after="80"/>
      </w:pPr>
      <w:r>
        <w:t xml:space="preserve"/>
      </w:r>
    </w:p>
    <w:p>
      <w:pPr>
        <w:pBdr>
          <w:bottom w:val="single" w:color="2E75B6" w:sz="4" w:space="1"/>
        </w:pBdr>
        <w:spacing w:before="120" w:after="120"/>
      </w:pPr>
      <w:r>
        <w:t xml:space="preserve"/>
      </w:r>
    </w:p>
    <w:p>
      <w:pPr>
        <w:pStyle w:val="Heading1"/>
        <w:spacing w:before="200" w:after="100"/>
      </w:pPr>
      <w:r>
        <w:rPr>
          <w:rFonts w:ascii="Arial" w:cs="Arial" w:eastAsia="Arial" w:hAnsi="Arial"/>
          <w:b/>
          <w:bCs/>
          <w:color w:val="1B3A5C"/>
          <w:sz w:val="30"/>
          <w:szCs w:val="30"/>
        </w:rPr>
        <w:t xml:space="preserve">Tab Summaries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1</w:t>
            </w:r>
          </w:p>
        </w:tc>
        <w:tc>
          <w:tcPr>
            <w:tcW w:type="dxa" w:w="8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3"/>
                <w:szCs w:val="23"/>
              </w:rPr>
              <w:t xml:space="preserve">Portfolio Quality</w:t>
            </w:r>
          </w:p>
        </w:tc>
      </w:tr>
    </w:tbl>
    <w:p>
      <w:pPr>
        <w:spacing w:before="80" w:after="80"/>
      </w:pPr>
      <w:r>
        <w:t xml:space="preserve"/>
      </w:r>
    </w:p>
    <w:p>
      <w:pPr>
        <w:spacing w:before="80" w:after="80"/>
      </w:pPr>
      <w:r>
        <w:rPr>
          <w:rFonts w:ascii="Arial" w:cs="Arial" w:eastAsia="Arial" w:hAnsi="Arial"/>
          <w:sz w:val="22"/>
          <w:szCs w:val="22"/>
        </w:rPr>
        <w:t xml:space="preserve">A complete snapshot of the loan portfolio health with key metrics: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1"/>
                <w:szCs w:val="21"/>
              </w:rPr>
              <w:t xml:space="preserve">Total Loans</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1,182</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1"/>
                <w:szCs w:val="21"/>
              </w:rPr>
              <w:t xml:space="preserve">Active / Overdue / Closed / NPA</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99 / 305 / 778 / 0</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1"/>
                <w:szCs w:val="21"/>
              </w:rPr>
              <w:t xml:space="preserve">Total Disbursed</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₹13,432,440.15</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1"/>
                <w:szCs w:val="21"/>
              </w:rPr>
              <w:t xml:space="preserve">Total Outstanding</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₹7,144,897.75</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1"/>
                <w:szCs w:val="21"/>
              </w:rPr>
              <w:t xml:space="preserve">Avg Principal</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₹12,969.71</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1"/>
                <w:szCs w:val="21"/>
              </w:rPr>
              <w:t xml:space="preserve">Avg Tenure</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17.78 days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1"/>
                <w:szCs w:val="21"/>
              </w:rPr>
              <w:t xml:space="preserve">PAR1 (Portfolio at Risk)</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76.43% — 304 loans, ₹5,461,223</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sz w:val="21"/>
                <w:szCs w:val="21"/>
              </w:rPr>
              <w:t xml:space="preserve">PAR31</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1"/>
                <w:szCs w:val="21"/>
              </w:rPr>
              <w:t xml:space="preserve">134 loans, ₹2,559,353.50</w:t>
            </w:r>
          </w:p>
        </w:tc>
      </w:tr>
    </w:tbl>
    <w:p>
      <w:pPr>
        <w:spacing w:before="80" w:after="80"/>
      </w:pPr>
      <w:r>
        <w:t xml:space="preserve"/>
      </w:r>
    </w:p>
    <w:p>
      <w:pPr>
        <w:spacing w:before="80" w:after="80"/>
      </w:pPr>
      <w:r>
        <w:rPr>
          <w:rFonts w:ascii="Arial" w:cs="Arial" w:eastAsia="Arial" w:hAnsi="Arial"/>
          <w:sz w:val="22"/>
          <w:szCs w:val="22"/>
        </w:rPr>
        <w:t xml:space="preserve">Loan Status Distribution shows 65.82% closed, 25.80% overdue, and 8.38% active by count. By disbursed value: 66.9% closed, 24.9% overdue, 8.2% active. The ₹10–15K loan bracket is the largest with 318 loans (₹3.1M disbursed). Tenure Distribution shows 15-day loans dominate at 75.13% by count (73.66% by amount). Collection Mode: 76.06% manual, 17.77% AUTOPAY, 6.18% not set. Monthly New Loans shows growth from 450 loans in January to 732 in February 2026.</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2</w:t>
            </w:r>
          </w:p>
        </w:tc>
        <w:tc>
          <w:tcPr>
            <w:tcW w:type="dxa" w:w="8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3"/>
                <w:szCs w:val="23"/>
              </w:rPr>
              <w:t xml:space="preserve">DPD &amp; NPA Analytics</w:t>
            </w:r>
          </w:p>
        </w:tc>
      </w:tr>
    </w:tbl>
    <w:p>
      <w:pPr>
        <w:spacing w:before="80" w:after="80"/>
      </w:pPr>
      <w:r>
        <w:t xml:space="preserve"/>
      </w:r>
    </w:p>
    <w:p>
      <w:pPr>
        <w:spacing w:before="80" w:after="80"/>
      </w:pPr>
      <w:r>
        <w:rPr>
          <w:rFonts w:ascii="Arial" w:cs="Arial" w:eastAsia="Arial" w:hAnsi="Arial"/>
          <w:sz w:val="22"/>
          <w:szCs w:val="22"/>
        </w:rPr>
        <w:t xml:space="preserve">Provides a deep-dive into the distribution of overdue loans by DPD bucket, with late charges breakdown and a 300-row overdue borrower table. DPD Bucket Distribution shows 100 current loans (DPD 0, ₹1.7M total outstanding, ₹1.3M principal), 170 loans in DPD 1–30 (₹2.9M total, ₹2.2M principal, avg DPD 15.52), and 134 loans in DPD 31–60 (₹2.5M total, ₹1.6M principal, avg DPD 41.96).</w:t>
      </w:r>
    </w:p>
    <w:p>
      <w:pPr>
        <w:spacing w:before="80" w:after="80"/>
      </w:pPr>
      <w:r>
        <w:t xml:space="preserve"/>
      </w:r>
    </w:p>
    <w:p>
      <w:pPr>
        <w:spacing w:before="80" w:after="80"/>
      </w:pPr>
      <w:r>
        <w:rPr>
          <w:rFonts w:ascii="Arial" w:cs="Arial" w:eastAsia="Arial" w:hAnsi="Arial"/>
          <w:sz w:val="22"/>
          <w:szCs w:val="22"/>
        </w:rPr>
        <w:t xml:space="preserve">DPD Bucket Weekly Trend compares January vs February 2026: the 1–30 DPD bucket grew from 134 to 170 loans month-on-month, while DPD 0 (current loans) stayed at 100. No loans have crossed into DPD 61+ yet, which is a positive containment signal. Loans Currently Overdue breakdown: 305 total, with 27 in DPD 1–7, 64 in DPD 8–15, 79 in DPD 16–30, 134 in DPD 31–60, and 0 in DPD 61+. Total Overdue Outstanding: ₹5,473,901.75.</w:t>
      </w:r>
    </w:p>
    <w:p>
      <w:pPr>
        <w:spacing w:before="80" w:after="80"/>
      </w:pPr>
      <w:r>
        <w:t xml:space="preserve"/>
      </w:r>
    </w:p>
    <w:p>
      <w:pPr>
        <w:spacing w:before="80" w:after="80"/>
      </w:pPr>
      <w:r>
        <w:rPr>
          <w:rFonts w:ascii="Arial" w:cs="Arial" w:eastAsia="Arial" w:hAnsi="Arial"/>
          <w:sz w:val="22"/>
          <w:szCs w:val="22"/>
        </w:rPr>
        <w:t xml:space="preserve">Average DPD by Loan Amount shows the ₹25–30K bracket has the highest overdue rate (79.3%, 6 NPA loans) and avg DPD of 23. Late Charges Summary confirms the 31–60 DPD bucket carries the most penalty: ₹259,950 in total penalty + ₹571,584 in late interest = ₹831,534 combined late charges (avg ₹1,939 penalty and ₹4,xxx interest per loan). Overdue Loans Detail Table lists all 300 overdue borrowers with contact details for collections action.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3</w:t>
            </w:r>
          </w:p>
        </w:tc>
        <w:tc>
          <w:tcPr>
            <w:tcW w:type="dxa" w:w="8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3"/>
                <w:szCs w:val="23"/>
              </w:rPr>
              <w:t xml:space="preserve">Collections Performance</w:t>
            </w:r>
          </w:p>
        </w:tc>
      </w:tr>
    </w:tbl>
    <w:p>
      <w:pPr>
        <w:spacing w:before="80" w:after="80"/>
      </w:pPr>
      <w:r>
        <w:t xml:space="preserve"/>
      </w:r>
    </w:p>
    <w:p>
      <w:pPr>
        <w:spacing w:before="80" w:after="80"/>
      </w:pPr>
      <w:r>
        <w:rPr>
          <w:rFonts w:ascii="Arial" w:cs="Arial" w:eastAsia="Arial" w:hAnsi="Arial"/>
          <w:sz w:val="22"/>
          <w:szCs w:val="22"/>
        </w:rPr>
        <w:t xml:space="preserve">Tracks the performance of the AI-driven collections call system. Headline metrics: 8,479 total calls made, 1,801 answered (21.24% answer rate), 6,630 no answer, 23 failed, avg duration 9.52 seconds. The very low average duration of 9.52 seconds suggests most answered calls are very brief — possibly auto-answered voicemail or short ring-outs rather than genuine conversations.</w:t>
      </w:r>
    </w:p>
    <w:p>
      <w:pPr>
        <w:spacing w:before="80" w:after="80"/>
      </w:pPr>
      <w:r>
        <w:t xml:space="preserve"/>
      </w:r>
    </w:p>
    <w:p>
      <w:pPr>
        <w:spacing w:before="80" w:after="80"/>
      </w:pPr>
      <w:r>
        <w:rPr>
          <w:rFonts w:ascii="Arial" w:cs="Arial" w:eastAsia="Arial" w:hAnsi="Arial"/>
          <w:sz w:val="22"/>
          <w:szCs w:val="22"/>
        </w:rPr>
        <w:t xml:space="preserve">AI Calls by DPD Category shows Soft Reminder calls are the highest volume (3,952 calls, 841 answered, ~21% answer rate). Professional category has 2,619 calls (343 answered, 13.1%). Pre-Due Reminder: 406 calls, 168 answered, 41.38% answer rate — the best performing category, suggesting borrowers are more responsive before their due date than after. Inbound Callback: 274 calls, 100% answer rate (all inbound calls answered). Escalation Urgent: 180 calls, 12.22% answer rate.</w:t>
      </w:r>
    </w:p>
    <w:p>
      <w:pPr>
        <w:spacing w:before="80" w:after="80"/>
      </w:pPr>
      <w:r>
        <w:t xml:space="preserve"/>
      </w:r>
    </w:p>
    <w:p>
      <w:pPr>
        <w:spacing w:before="80" w:after="80"/>
      </w:pPr>
      <w:r>
        <w:rPr>
          <w:rFonts w:ascii="Arial" w:cs="Arial" w:eastAsia="Arial" w:hAnsi="Arial"/>
          <w:sz w:val="22"/>
          <w:szCs w:val="22"/>
        </w:rPr>
        <w:t xml:space="preserve">AI Call Daily Trend shows peaks of 11,944 calls on February 21 (avg duration 9 seconds) and 5,551 on February 28. Activity has settled to ~2,275–2,551 calls per day in March. PTP (Promise to Pay) Summary shows no results yet, indicating PTP tracking is not yet functional. Payment Behavior Summary shows Closed loans average 0.55 on-time payments; Active loans and Overdue loans show 0 across all payment behaviour metrics — suggesting this model needs further data population.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4</w:t>
            </w:r>
          </w:p>
        </w:tc>
        <w:tc>
          <w:tcPr>
            <w:tcW w:type="dxa" w:w="8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3"/>
                <w:szCs w:val="23"/>
              </w:rPr>
              <w:t xml:space="preserve">Payment Analytics</w:t>
            </w:r>
          </w:p>
        </w:tc>
      </w:tr>
    </w:tbl>
    <w:p>
      <w:pPr>
        <w:spacing w:before="80" w:after="80"/>
      </w:pPr>
      <w:r>
        <w:t xml:space="preserve"/>
      </w:r>
    </w:p>
    <w:p>
      <w:pPr>
        <w:spacing w:before="80" w:after="80"/>
      </w:pPr>
      <w:r>
        <w:rPr>
          <w:rFonts w:ascii="Arial" w:cs="Arial" w:eastAsia="Arial" w:hAnsi="Arial"/>
          <w:sz w:val="22"/>
          <w:szCs w:val="22"/>
        </w:rPr>
        <w:t xml:space="preserve">A full view of all payment transactions flowing through the LMS. Headline metrics: 814 total payments, ₹11,073,239.50 total collected, avg payment ₹13,603.49, ₹3,013,169 principal recovered, ₹519,253 interest recovered, ₹23,850 late charges recovered, 194 foreclosure payments, 2 part payments, 4 repayments, 613 EMI payments.</w:t>
      </w:r>
    </w:p>
    <w:p>
      <w:pPr>
        <w:spacing w:before="80" w:after="80"/>
      </w:pPr>
      <w:r>
        <w:t xml:space="preserve"/>
      </w:r>
    </w:p>
    <w:p>
      <w:pPr>
        <w:spacing w:before="80" w:after="80"/>
      </w:pPr>
      <w:r>
        <w:rPr>
          <w:rFonts w:ascii="Arial" w:cs="Arial" w:eastAsia="Arial" w:hAnsi="Arial"/>
          <w:sz w:val="22"/>
          <w:szCs w:val="22"/>
        </w:rPr>
        <w:t xml:space="preserve">Payment Mode Distribution: 64.86% UPI by count (61.2% by amount), 32.31% Online (35.6% by amount). Payment Type Distribution shows EMI is the dominant type (₹8.2M, 613 payments) followed by Foreclosure (₹2.8M, 194 payments). Foreclosure late charges allocation is ₹19.6k. Daily Collection Trend shows a peak of ₹534k on approximately February 25–26, with consistent daily collections ranging from ₹100–300k through March.</w:t>
      </w:r>
    </w:p>
    <w:p>
      <w:pPr>
        <w:spacing w:before="80" w:after="80"/>
      </w:pPr>
      <w:r>
        <w:t xml:space="preserve"/>
      </w:r>
    </w:p>
    <w:p>
      <w:pPr>
        <w:spacing w:before="80" w:after="80"/>
      </w:pPr>
      <w:r>
        <w:rPr>
          <w:rFonts w:ascii="Arial" w:cs="Arial" w:eastAsia="Arial" w:hAnsi="Arial"/>
          <w:sz w:val="22"/>
          <w:szCs w:val="22"/>
        </w:rPr>
        <w:t xml:space="preserve">Payment Success Rate: 96.9% successful across 2,030 gateway transactions. Payment Link Conversion Rate: 7.58% (272 paid out of 3,602 total links). Payment Link Analytics shows 55.4% cancelled, 21.6% expired, 15.5% created, and only 7.55% paid — confirming the majority of payment links never result in payment. Payin (Razorpay) Status: 60.92% pending (740 orders, ₹10.8M), 32.56% success, 6.51% failed. Payment Proof Verification: 162 proofs all pending (100%) — same unresolved backlog seen in other dashboards.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5</w:t>
            </w:r>
          </w:p>
        </w:tc>
        <w:tc>
          <w:tcPr>
            <w:tcW w:type="dxa" w:w="8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3"/>
                <w:szCs w:val="23"/>
              </w:rPr>
              <w:t xml:space="preserve">Settlement &amp; Write-off</w:t>
            </w:r>
          </w:p>
        </w:tc>
      </w:tr>
    </w:tbl>
    <w:p>
      <w:pPr>
        <w:spacing w:before="80" w:after="80"/>
      </w:pPr>
      <w:r>
        <w:t xml:space="preserve"/>
      </w:r>
    </w:p>
    <w:p>
      <w:pPr>
        <w:spacing w:before="80" w:after="80"/>
      </w:pPr>
      <w:r>
        <w:rPr>
          <w:rFonts w:ascii="Arial" w:cs="Arial" w:eastAsia="Arial" w:hAnsi="Arial"/>
          <w:sz w:val="22"/>
          <w:szCs w:val="22"/>
        </w:rPr>
        <w:t xml:space="preserve">Tracks loans that have been formally settled or written off. Settlement Summary shows no results for the aggregate summary chart, but the Loans Marked as Settled table lists 4 specific loans with principal amounts ranging from ₹5,000 to ₹22,500 — all showing ₹0 total outstanding (fully resolved). Settlement amount, settlement date, and settlement type fields are all blank for all 4 loans, indicating settlement records are partially incomplete.</w:t>
      </w:r>
    </w:p>
    <w:p>
      <w:pPr>
        <w:spacing w:before="80" w:after="80"/>
      </w:pPr>
      <w:r>
        <w:t xml:space="preserve"/>
      </w:r>
    </w:p>
    <w:p>
      <w:pPr>
        <w:spacing w:before="80" w:after="80"/>
      </w:pPr>
      <w:r>
        <w:rPr>
          <w:rFonts w:ascii="Arial" w:cs="Arial" w:eastAsia="Arial" w:hAnsi="Arial"/>
          <w:sz w:val="22"/>
          <w:szCs w:val="22"/>
        </w:rPr>
        <w:t xml:space="preserve">Write-off Summary shows no results, meaning no loans have been formally written off to date. This is a positive sign for the portfolio but also suggests the write-off process and criteria may not yet be defined. Both sections will become more data-rich as the portfolio ages and more stressed accounts reach resolution.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6</w:t>
            </w:r>
          </w:p>
        </w:tc>
        <w:tc>
          <w:tcPr>
            <w:tcW w:type="dxa" w:w="8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3"/>
                <w:szCs w:val="23"/>
              </w:rPr>
              <w:t xml:space="preserve">EMI Reminder Analytics</w:t>
            </w:r>
          </w:p>
        </w:tc>
      </w:tr>
    </w:tbl>
    <w:p>
      <w:pPr>
        <w:spacing w:before="80" w:after="80"/>
      </w:pPr>
      <w:r>
        <w:t xml:space="preserve"/>
      </w:r>
    </w:p>
    <w:p>
      <w:pPr>
        <w:spacing w:before="80" w:after="80"/>
      </w:pPr>
      <w:r>
        <w:rPr>
          <w:rFonts w:ascii="Arial" w:cs="Arial" w:eastAsia="Arial" w:hAnsi="Arial"/>
          <w:sz w:val="22"/>
          <w:szCs w:val="22"/>
        </w:rPr>
        <w:t xml:space="preserve">Tracks the volume, type, and channel distribution of all EMI reminders sent to borrowers. Total reminders logged: 16,914. Reminder type breakdown includes DUE_DAY (5.32%), PRE_DUE_5 (4.23%), OVERDUE_21 (4.22%), PRE_DUE_1 (4.12%), PRE_DUE_4 (3.81%), and many others, with 65.42% falling into the ‘Other’ category covering additional types.</w:t>
      </w:r>
    </w:p>
    <w:p>
      <w:pPr>
        <w:spacing w:before="80" w:after="80"/>
      </w:pPr>
      <w:r>
        <w:t xml:space="preserve"/>
      </w:r>
    </w:p>
    <w:p>
      <w:pPr>
        <w:spacing w:before="80" w:after="80"/>
      </w:pPr>
      <w:r>
        <w:rPr>
          <w:rFonts w:ascii="Arial" w:cs="Arial" w:eastAsia="Arial" w:hAnsi="Arial"/>
          <w:sz w:val="22"/>
          <w:szCs w:val="22"/>
        </w:rPr>
        <w:t xml:space="preserve">Loan Reminder Tracking Summary shows OVERDUE_WEEKLY reminders have the highest count (278 loans, avg 9.86 reminders sent per loan) — meaning overdue borrowers receive nearly 10 reminder messages on average. DUE_DAY reminders cover 248 loans (avg 3.44). OVERDUE_7 and OVERDUE_3 have the highest avg reminders sent (7.48 and 7.13 respectively), indicating escalating reminder frequency for longer-overdue loans.</w:t>
      </w:r>
    </w:p>
    <w:p>
      <w:pPr>
        <w:spacing w:before="80" w:after="80"/>
      </w:pPr>
      <w:r>
        <w:t xml:space="preserve"/>
      </w:r>
    </w:p>
    <w:p>
      <w:pPr>
        <w:spacing w:before="80" w:after="80"/>
      </w:pPr>
      <w:r>
        <w:rPr>
          <w:rFonts w:ascii="Arial" w:cs="Arial" w:eastAsia="Arial" w:hAnsi="Arial"/>
          <w:sz w:val="22"/>
          <w:szCs w:val="22"/>
        </w:rPr>
        <w:t xml:space="preserve">Reminder Channel Distribution across 13,596 reminders: SMS and WhatsApp are tied at 39.8% each, with Email at 20.5%. The near-equal split between SMS and WhatsApp confirms a multi-channel reminder strategy is in place. This gives the operations team a basis to A/B test which channel drives higher repayment response rates.</w:t>
      </w:r>
    </w:p>
    <w:p>
      <w:pPr>
        <w:spacing w:before="80" w:after="80"/>
      </w:pPr>
      <w:r>
        <w:t xml:space="preserve"/>
      </w:r>
    </w:p>
    <w:p>
      <w:pPr>
        <w:pBdr>
          <w:bottom w:val="single" w:color="2E75B6" w:sz="4" w:space="1"/>
        </w:pBdr>
        <w:spacing w:before="120" w:after="120"/>
      </w:pPr>
      <w:r>
        <w:t xml:space="preserve"/>
      </w:r>
    </w:p>
    <w:p>
      <w:pPr>
        <w:pStyle w:val="Heading1"/>
        <w:spacing w:before="200" w:after="120"/>
      </w:pPr>
      <w:r>
        <w:rPr>
          <w:rFonts w:ascii="Arial" w:cs="Arial" w:eastAsia="Arial" w:hAnsi="Arial"/>
          <w:b/>
          <w:bCs/>
          <w:color w:val="1B3A5C"/>
          <w:sz w:val="30"/>
          <w:szCs w:val="30"/>
        </w:rPr>
        <w:t xml:space="preserve">How This Dashboard Helps Operations</w:t>
      </w:r>
    </w:p>
    <w:p>
      <w:pPr>
        <w:pStyle w:val="ListParagraph"/>
        <w:numPr>
          <w:ilvl w:val="0"/>
          <w:numId w:val="2"/>
        </w:numPr>
        <w:spacing w:before="60" w:after="60"/>
      </w:pPr>
      <w:r>
        <w:rPr>
          <w:rFonts w:ascii="Arial" w:cs="Arial" w:eastAsia="Arial" w:hAnsi="Arial"/>
          <w:sz w:val="21"/>
          <w:szCs w:val="21"/>
        </w:rPr>
        <w:t xml:space="preserve">The Portfolio Quality tab gives the LMS team a daily single-screen view of all 1,182 loans: 65.82% closed (healthy), 25.80% overdue (needs action), 8.38% active (in-cycle). With PAR1 at 76.43%, the collections team has a clear and urgent daily mandate.</w:t>
      </w:r>
    </w:p>
    <w:p>
      <w:pPr>
        <w:pStyle w:val="ListParagraph"/>
        <w:numPr>
          <w:ilvl w:val="0"/>
          <w:numId w:val="2"/>
        </w:numPr>
        <w:spacing w:before="60" w:after="60"/>
      </w:pPr>
      <w:r>
        <w:rPr>
          <w:rFonts w:ascii="Arial" w:cs="Arial" w:eastAsia="Arial" w:hAnsi="Arial"/>
          <w:sz w:val="21"/>
          <w:szCs w:val="21"/>
        </w:rPr>
        <w:t xml:space="preserve">DPD &amp; NPA Analytics’ 300-row overdue table with borrower phone numbers is the collections team’s primary daily worklist. Prioritising the 134 loans in DPD 31–60 (₹2.5M at risk) and the 79 in DPD 16–30 prevents further roll into deeper delinquency.</w:t>
      </w:r>
    </w:p>
    <w:p>
      <w:pPr>
        <w:pStyle w:val="ListParagraph"/>
        <w:numPr>
          <w:ilvl w:val="0"/>
          <w:numId w:val="2"/>
        </w:numPr>
        <w:spacing w:before="60" w:after="60"/>
      </w:pPr>
      <w:r>
        <w:rPr>
          <w:rFonts w:ascii="Arial" w:cs="Arial" w:eastAsia="Arial" w:hAnsi="Arial"/>
          <w:sz w:val="21"/>
          <w:szCs w:val="21"/>
        </w:rPr>
        <w:t xml:space="preserve">Collections Performance showing Pre-Due Reminders achieving a 41.38% answer rate vs 21.24% overall confirms that calling borrowers BEFORE their due date is 2x more effective than calling after. The AI call schedule should be reweighted to increase pre-due call volume.</w:t>
      </w:r>
    </w:p>
    <w:p>
      <w:pPr>
        <w:pStyle w:val="ListParagraph"/>
        <w:numPr>
          <w:ilvl w:val="0"/>
          <w:numId w:val="2"/>
        </w:numPr>
        <w:spacing w:before="60" w:after="60"/>
      </w:pPr>
      <w:r>
        <w:rPr>
          <w:rFonts w:ascii="Arial" w:cs="Arial" w:eastAsia="Arial" w:hAnsi="Arial"/>
          <w:sz w:val="21"/>
          <w:szCs w:val="21"/>
        </w:rPr>
        <w:t xml:space="preserve">The avg AI call duration of 9.52 seconds is too short for a meaningful collection conversation. This signals that most ‘answered’ calls are not genuine pick-ups and the collections team should investigate whether the AI is connecting with voicemail or auto-answer systems rather than real borrowers.</w:t>
      </w:r>
    </w:p>
    <w:p>
      <w:pPr>
        <w:pStyle w:val="ListParagraph"/>
        <w:numPr>
          <w:ilvl w:val="0"/>
          <w:numId w:val="2"/>
        </w:numPr>
        <w:spacing w:before="60" w:after="60"/>
      </w:pPr>
      <w:r>
        <w:rPr>
          <w:rFonts w:ascii="Arial" w:cs="Arial" w:eastAsia="Arial" w:hAnsi="Arial"/>
          <w:sz w:val="21"/>
          <w:szCs w:val="21"/>
        </w:rPr>
        <w:t xml:space="preserve">Payment Link analytics confirming 55.4% cancelled and 21.6% expired means over 75% of all payment links sent are wasted. Operations should investigate why links are being cancelled at such a high rate and whether link expiry windows need to be extended.</w:t>
      </w:r>
    </w:p>
    <w:p>
      <w:pPr>
        <w:pStyle w:val="ListParagraph"/>
        <w:numPr>
          <w:ilvl w:val="0"/>
          <w:numId w:val="2"/>
        </w:numPr>
        <w:spacing w:before="60" w:after="60"/>
      </w:pPr>
      <w:r>
        <w:rPr>
          <w:rFonts w:ascii="Arial" w:cs="Arial" w:eastAsia="Arial" w:hAnsi="Arial"/>
          <w:sz w:val="21"/>
          <w:szCs w:val="21"/>
        </w:rPr>
        <w:t xml:space="preserve">The Razorpay Payin backlog (60.92% pending, ₹10.8M) and 162 unverified payment proofs remain consistent across both LMS Analytics and the Due Analysis dashboard — this is a systemic reconciliation issue that finance must resolve to avoid revenue misstatement.</w:t>
      </w:r>
    </w:p>
    <w:p>
      <w:pPr>
        <w:pStyle w:val="ListParagraph"/>
        <w:numPr>
          <w:ilvl w:val="0"/>
          <w:numId w:val="2"/>
        </w:numPr>
        <w:spacing w:before="60" w:after="60"/>
      </w:pPr>
      <w:r>
        <w:rPr>
          <w:rFonts w:ascii="Arial" w:cs="Arial" w:eastAsia="Arial" w:hAnsi="Arial"/>
          <w:sz w:val="21"/>
          <w:szCs w:val="21"/>
        </w:rPr>
        <w:t xml:space="preserve">EMI Reminder data showing overdue borrowers receive ~9.86 reminders on average suggests reminder fatigue may be setting in. The team should test whether reducing reminder frequency for certain segments, or switching channels, improves response rates.</w:t>
      </w:r>
    </w:p>
    <w:p>
      <w:pPr>
        <w:pStyle w:val="ListParagraph"/>
        <w:numPr>
          <w:ilvl w:val="0"/>
          <w:numId w:val="2"/>
        </w:numPr>
        <w:spacing w:before="60" w:after="60"/>
      </w:pPr>
      <w:r>
        <w:rPr>
          <w:rFonts w:ascii="Arial" w:cs="Arial" w:eastAsia="Arial" w:hAnsi="Arial"/>
          <w:sz w:val="21"/>
          <w:szCs w:val="21"/>
        </w:rPr>
        <w:t xml:space="preserve">The Settlement tab’s 4 settled loans with incomplete records (no settlement date, amount, or type) is a data quality gap that should be fixed — clean settlement records are essential for accurate PAR and revenue reporting.</w:t>
      </w:r>
    </w:p>
    <w:p>
      <w:pPr>
        <w:spacing w:before="80" w:after="80"/>
      </w:pPr>
      <w:r>
        <w:t xml:space="preserve"/>
      </w:r>
    </w:p>
    <w:p>
      <w:pPr>
        <w:pBdr>
          <w:bottom w:val="single" w:color="2E75B6" w:sz="4" w:space="1"/>
        </w:pBdr>
        <w:spacing w:before="120" w:after="120"/>
      </w:pPr>
      <w:r>
        <w:t xml:space="preserve"/>
      </w:r>
    </w:p>
    <w:p>
      <w:pPr>
        <w:spacing w:before="120" w:after="60"/>
        <w:jc w:val="center"/>
      </w:pPr>
      <w:r>
        <w:rPr>
          <w:rFonts w:ascii="Arial" w:cs="Arial" w:eastAsia="Arial" w:hAnsi="Arial"/>
          <w:i/>
          <w:iCs/>
          <w:color w:val="AAAAAA"/>
          <w:sz w:val="18"/>
          <w:szCs w:val="18"/>
        </w:rPr>
        <w:t xml:space="preserve">Document prepared by the Technology Team  —  March 2026</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7"/>
        <w:szCs w:val="17"/>
      </w:rPr>
      <w:t xml:space="preserve">LMS Analytics  |  Quikkred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B3A5C"/>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2026-03-21T05:42:27.646Z</dcterms:created>
  <dcterms:modified xsi:type="dcterms:W3CDTF">2026-03-21T05:42:27.647Z</dcterms:modified>
</cp:coreProperties>
</file>

<file path=docProps/custom.xml><?xml version="1.0" encoding="utf-8"?>
<Properties xmlns="http://schemas.openxmlformats.org/officeDocument/2006/custom-properties" xmlns:vt="http://schemas.openxmlformats.org/officeDocument/2006/docPropsVTypes"/>
</file>