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300"/>
              <w:left w:type="dxa" w:w="360"/>
              <w:bottom w:type="dxa" w:w="30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Financial Analytics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9DC3E6"/>
                <w:sz w:val="22"/>
                <w:szCs w:val="22"/>
              </w:rPr>
              <w:t xml:space="preserve">Dashboard Summary  —  Quikkred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160" w:after="1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Dashboard Overview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Financial Analytics dashboard is Quikkred’s core finance intelligence tool, split across two tabs. The Revenue Dashboard tracks all income streams — EMI, foreclosure, processing fees, interest, late charges, and part payments — with monthly trends and per-loan averages. The Disbursement Analytics tab monitors how and where loans are being disbursed, with daily trends, bank-level breakdowns, payment mode analysis, success/failure rates, and a failed disbursement tracker. Together, these two tabs give the finance team a complete view of money coming in and money going out.</w:t>
      </w:r>
    </w:p>
    <w:p>
      <w:pPr>
        <w:spacing w:before="80" w:after="80"/>
      </w:pPr>
      <w:r>
        <w:t xml:space="preserve"/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p>
      <w:pPr>
        <w:pStyle w:val="Heading1"/>
        <w:spacing w:before="200" w:after="1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Tab Summaries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3"/>
                <w:szCs w:val="23"/>
              </w:rPr>
              <w:t xml:space="preserve">Revenue Dashboard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Provides a complete breakdown of all revenue earned by Quikkred across income types. Headline numbers: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Total Revenue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₹11,403,460.50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EMI Income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₹8,243,100.50  (72.3% of total)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Foreclosure Income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₹3,068,453.00  (26.9% of total)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Part Payment Income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₹6,500.00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Late Charges Income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₹0  (not yet recovered)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Settlement Income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₹0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Bounce Charges Income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₹0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Average Revenue Per Loan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₹3,845.05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Monthly Revenue Trend shows strong growth from ₹1.4M in January 2026 to ₹6.5M in February, pulling back to ₹3.5M in March (partial month). EMI and Foreclosure are the dominant revenue streams in every month; no late charges, settlement, or bounce charge income has been recognised to date.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Processing Fee Revenue shows January at ₹190.1k (161 loans) growing to ₹438.8k in February (346 loans). Total GST collected in February: ₹79k. Average processing fee per loan: ₹1,300; average GST: ₹232.25; average interest: ₹2,300.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Interest Income Analysis shows total interest expected in February at ₹909.5k against total repayment expected of ₹5.3M and ₹3.9M disbursed. January had ₹321.6k interest expected against ₹2.2M repayment expected.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Revenue vs Disbursement Ratio shows January at 0.30 (collections ₹1.4M vs disbursements ₹4.9M), improving to 0.79 in February (collections ₹6.5M vs disbursements ₹8.3M). March ratio has dropped to 0 as disbursements are ₹3.5M but collections data is still building. A ratio approaching 1.0 is the target for capital self-sufficiency.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3"/>
                <w:szCs w:val="23"/>
              </w:rPr>
              <w:t xml:space="preserve">Disbursement Analytics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Tracks all loan disbursements with daily trends, payment mode, bank distribution, and failure analysis. Headline numbers: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Total Disbursed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₹15,182,259.15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Total Transactions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1,320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Average Disbursement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₹11,501.71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Disbursement Success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99.84%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Failed Disbursements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0.16% (3 transactions)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Daily Disbursement Trend (January 7 – February 26, 2026) shows a cyclical pattern with regular weekly peaks and troughs. Peak days reached ₹903.2k (48 loans on January 28) and ₹845.4k (62 loans on February 11). The pattern suggests disbursals are concentrated mid-week with lighter activity on weekends.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Disbursement by Mode: 80.22% via IMPS (₹12.2M), 19.62% via NEFT (₹2.98M), and 0.16% via Recovery. IMPS is the clear preferred channel for fast, same-day disbursals.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Disbursement by Bank: HDFC Bank leads with ₹2,899,803 disbursed, followed by State Bank of India (₹2,080,102), Kotak Mahindra Bank (₹1,826,788), ICICI Bank (₹1,550,460), and Axis Bank (₹1,393,019). These five banks account for the majority of disbursement volume, giving the ops team a view of which banking relationships are most active.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Failed Disbursements Detail shows 3 failed transactions, all via NEFT on January 12–13, 2026, across State Bank of India, Punjab National Bank, and ICICI Bank. Amounts range from ₹4,410 to ₹11,025. These are small in value but should be retried and reconciled to ensure borrowers received their funds.</w:t>
      </w:r>
    </w:p>
    <w:p>
      <w:pPr>
        <w:spacing w:before="80" w:after="80"/>
      </w:pPr>
      <w:r>
        <w:t xml:space="preserve"/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p>
      <w:pPr>
        <w:pStyle w:val="Heading1"/>
        <w:spacing w:before="200" w:after="12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How This Dashboard Helps Operations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The Revenue Dashboard gives the finance team a single source of truth for P&amp;L tracking — ₹11.4M total revenue to date, split cleanly by income type, with monthly trends to project forward.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Zero late charges, settlement, and bounce charge income recognised despite ₹1.3M accrued (from the Due Analysis dashboard) confirms a major revenue leakage — the collections and finance team need to activate penalty recovery processes urgently.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The revenue-to-disbursement ratio improving from 0.30 in January to 0.79 in February is a strong positive signal, showing the business is becoming more capital-efficient. Sustaining this above 0.7 should be a key operational target.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Average revenue per loan of ₹3,845 (processing fee ₹1,300 + GST ₹232 + interest ₹2,300) gives the product and pricing team a clear per-unit economics baseline to optimise.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Disbursement Analytics’ 99.84% success rate confirms the disbursement pipeline is highly reliable. The 3 failed NEFT transactions are minor but should be resolved to avoid borrower complaints and trust issues.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HDFC and SBI together account for nearly ₹5M of disbursals, making them the most critical banking partners. Any disruption to these integrations would have a disproportionate impact on daily operations.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The daily disbursement cycle pattern helps the operations team plan disbursal capacity, ensure sufficient float, and schedule NEFT/IMPS batches at peak-demand times during the week.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Interest income expected (₹909.5k in February) vs actual collections gives the finance team an early view of interest realisation shortfall, enabling proactive collections targeting before month-end.</w:t>
      </w:r>
    </w:p>
    <w:p>
      <w:pPr>
        <w:spacing w:before="80" w:after="80"/>
      </w:pPr>
      <w:r>
        <w:t xml:space="preserve"/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p>
      <w:pPr>
        <w:spacing w:before="120" w:after="6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Document prepared by the Technology Team  —  March 2026</w:t>
      </w:r>
    </w:p>
    <w:sectPr>
      <w:footerReference w:type="default" r:id="rId6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7"/>
        <w:szCs w:val="17"/>
      </w:rPr>
      <w:t xml:space="preserve">Financial Analytics  |  Quikkred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B3A5C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2026-03-21T05:33:16.377Z</dcterms:created>
  <dcterms:modified xsi:type="dcterms:W3CDTF">2026-03-21T05:33:16.378Z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