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300"/>
              <w:left w:type="dxa" w:w="360"/>
              <w:bottom w:type="dxa" w:w="300"/>
              <w:right w:type="dxa" w:w="360"/>
            </w:tcMar>
          </w:tcPr>
          <w:p>
            <w:pPr>
              <w:jc w:val="center"/>
            </w:pPr>
            <w:r>
              <w:rPr>
                <w:rFonts w:ascii="Arial" w:cs="Arial" w:eastAsia="Arial" w:hAnsi="Arial"/>
                <w:b/>
                <w:bCs/>
                <w:color w:val="FFFFFF"/>
                <w:sz w:val="36"/>
                <w:szCs w:val="36"/>
              </w:rPr>
              <w:t xml:space="preserve">Customer Analytics</w:t>
            </w:r>
          </w:p>
          <w:p>
            <w:pPr>
              <w:spacing w:before="80"/>
              <w:jc w:val="center"/>
            </w:pPr>
            <w:r>
              <w:rPr>
                <w:rFonts w:ascii="Arial" w:cs="Arial" w:eastAsia="Arial" w:hAnsi="Arial"/>
                <w:i/>
                <w:iCs/>
                <w:color w:val="9DC3E6"/>
                <w:sz w:val="22"/>
                <w:szCs w:val="22"/>
              </w:rPr>
              <w:t xml:space="preserve">Dashboard Summary  —  Quikkred</w:t>
            </w:r>
          </w:p>
        </w:tc>
      </w:tr>
    </w:tbl>
    <w:p>
      <w:pPr>
        <w:spacing w:before="80" w:after="80"/>
      </w:pPr>
      <w:r>
        <w:t xml:space="preserve"/>
      </w:r>
    </w:p>
    <w:p>
      <w:pPr>
        <w:pStyle w:val="Heading1"/>
        <w:spacing w:before="160" w:after="100"/>
      </w:pPr>
      <w:r>
        <w:rPr>
          <w:rFonts w:ascii="Arial" w:cs="Arial" w:eastAsia="Arial" w:hAnsi="Arial"/>
          <w:b/>
          <w:bCs/>
          <w:color w:val="1B3A5C"/>
          <w:sz w:val="30"/>
          <w:szCs w:val="30"/>
        </w:rPr>
        <w:t xml:space="preserve">Dashboard Overview</w:t>
      </w:r>
    </w:p>
    <w:p>
      <w:pPr>
        <w:spacing w:before="80" w:after="80"/>
      </w:pPr>
      <w:r>
        <w:rPr>
          <w:rFonts w:ascii="Arial" w:cs="Arial" w:eastAsia="Arial" w:hAnsi="Arial"/>
          <w:sz w:val="22"/>
          <w:szCs w:val="22"/>
        </w:rPr>
        <w:t xml:space="preserve">The Customer Analytics dashboard provides a complete view of Quikkred’s customer base — who they are, where they come from, how they are segmented, and how they move through the lending lifecycle. Across two tabs, the dashboard covers customer demographics, CIBIL distribution, income and employment profiles, geographic spread, churn, reapply eligibility, and new customer acquisition trends. It is the primary tool for understanding the composition of the borrower base and identifying gaps in engagement and conversion.</w:t>
      </w:r>
    </w:p>
    <w:p>
      <w:pPr>
        <w:spacing w:before="80" w:after="80"/>
      </w:pPr>
      <w:r>
        <w:t xml:space="preserve"/>
      </w:r>
    </w:p>
    <w:p>
      <w:pPr>
        <w:pBdr>
          <w:bottom w:val="single" w:color="2E75B6" w:sz="4" w:space="1"/>
        </w:pBdr>
        <w:spacing w:before="120" w:after="120"/>
      </w:pPr>
      <w:r>
        <w:t xml:space="preserve"/>
      </w:r>
    </w:p>
    <w:p>
      <w:pPr>
        <w:pStyle w:val="Heading1"/>
        <w:spacing w:before="200" w:after="100"/>
      </w:pPr>
      <w:r>
        <w:rPr>
          <w:rFonts w:ascii="Arial" w:cs="Arial" w:eastAsia="Arial" w:hAnsi="Arial"/>
          <w:b/>
          <w:bCs/>
          <w:color w:val="1B3A5C"/>
          <w:sz w:val="30"/>
          <w:szCs w:val="30"/>
        </w:rPr>
        <w:t xml:space="preserve">Tab 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1</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Customer Segmentation</w:t>
            </w:r>
          </w:p>
        </w:tc>
      </w:tr>
    </w:tbl>
    <w:p>
      <w:pPr>
        <w:spacing w:before="80" w:after="80"/>
      </w:pPr>
      <w:r>
        <w:t xml:space="preserve"/>
      </w:r>
    </w:p>
    <w:p>
      <w:pPr>
        <w:spacing w:before="80" w:after="80"/>
      </w:pPr>
      <w:r>
        <w:rPr>
          <w:rFonts w:ascii="Arial" w:cs="Arial" w:eastAsia="Arial" w:hAnsi="Arial"/>
          <w:sz w:val="22"/>
          <w:szCs w:val="22"/>
        </w:rPr>
        <w:t xml:space="preserve">Provides a full demographic and profile breakdown of all 26,152 customers in the Quikkred platform. Key headline metrics show 26,152 active customers, 334 blocked, 127 with active loans, 12,954 KYC completed, and an average CIBIL score of 552.56.</w:t>
      </w:r>
    </w:p>
    <w:p>
      <w:pPr>
        <w:spacing w:before="80" w:after="80"/>
      </w:pPr>
      <w:r>
        <w:t xml:space="preserve"/>
      </w:r>
    </w:p>
    <w:p>
      <w:pPr>
        <w:spacing w:before="80" w:after="80"/>
      </w:pPr>
      <w:r>
        <w:rPr>
          <w:rFonts w:ascii="Arial" w:cs="Arial" w:eastAsia="Arial" w:hAnsi="Arial"/>
          <w:sz w:val="22"/>
          <w:szCs w:val="22"/>
        </w:rPr>
        <w:t xml:space="preserve">CIBIL Score Distribution shows the largest customer clusters in the 400–500 range (1.7k) and 300–400 range (1.2k), meaning a significant portion of the base sits below 600 — a lower credit quality segment. The 700–750 band is the next largest at 1.1k customers.</w:t>
      </w:r>
    </w:p>
    <w:p>
      <w:pPr>
        <w:spacing w:before="80" w:after="80"/>
      </w:pPr>
      <w:r>
        <w:t xml:space="preserve"/>
      </w:r>
    </w:p>
    <w:p>
      <w:pPr>
        <w:spacing w:before="80" w:after="80"/>
      </w:pPr>
      <w:r>
        <w:rPr>
          <w:rFonts w:ascii="Arial" w:cs="Arial" w:eastAsia="Arial" w:hAnsi="Arial"/>
          <w:sz w:val="22"/>
          <w:szCs w:val="22"/>
        </w:rPr>
        <w:t xml:space="preserve">Employment Type Distribution shows 51.7% salaried, 7.9% self-employed, and 40.4% unknown — indicating a large data gap in employment profiling. Gender Distribution is nearly split: 47.6% male, 46.7% unknown, and 4.1% female.</w:t>
      </w:r>
    </w:p>
    <w:p>
      <w:pPr>
        <w:spacing w:before="80" w:after="80"/>
      </w:pPr>
      <w:r>
        <w:t xml:space="preserve"/>
      </w:r>
    </w:p>
    <w:p>
      <w:pPr>
        <w:spacing w:before="80" w:after="80"/>
      </w:pPr>
      <w:r>
        <w:rPr>
          <w:rFonts w:ascii="Arial" w:cs="Arial" w:eastAsia="Arial" w:hAnsi="Arial"/>
          <w:sz w:val="22"/>
          <w:szCs w:val="22"/>
        </w:rPr>
        <w:t xml:space="preserve">Monthly Income Distribution shows the majority of customers earn between ₹30k–40k (4.2k customers), followed by ₹50k–75k (3.0k). Age Distribution peaks strongly at 30–35 years (3.7k), with the 35–40 band next at 2.7k — confirming the core borrower is a working-age adult in their early 30s.</w:t>
      </w:r>
    </w:p>
    <w:p>
      <w:pPr>
        <w:spacing w:before="80" w:after="80"/>
      </w:pPr>
      <w:r>
        <w:t xml:space="preserve"/>
      </w:r>
    </w:p>
    <w:p>
      <w:pPr>
        <w:spacing w:before="80" w:after="80"/>
      </w:pPr>
      <w:r>
        <w:rPr>
          <w:rFonts w:ascii="Arial" w:cs="Arial" w:eastAsia="Arial" w:hAnsi="Arial"/>
          <w:sz w:val="22"/>
          <w:szCs w:val="22"/>
        </w:rPr>
        <w:t xml:space="preserve">Geographic data shows Mumbai (253), Pune (250), Jaipur (229), and Hyderabad (221) as the top identified cities, though 15,445 customers have unknown city data. The State-wise map shows concentration in northern and southern India. Customer Tier and Risk Category charts currently show 100% in a single category, suggesting tier and risk tagging is not yet fully populated. Salary Mode Distribution is 100% unknown, and Contact Verification Status shows a mixed split between verified and unverified contacts.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2</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Customer Lifecycle</w:t>
            </w:r>
          </w:p>
        </w:tc>
      </w:tr>
    </w:tbl>
    <w:p>
      <w:pPr>
        <w:spacing w:before="80" w:after="80"/>
      </w:pPr>
      <w:r>
        <w:t xml:space="preserve"/>
      </w:r>
    </w:p>
    <w:p>
      <w:pPr>
        <w:spacing w:before="80" w:after="80"/>
      </w:pPr>
      <w:r>
        <w:rPr>
          <w:rFonts w:ascii="Arial" w:cs="Arial" w:eastAsia="Arial" w:hAnsi="Arial"/>
          <w:sz w:val="22"/>
          <w:szCs w:val="22"/>
        </w:rPr>
        <w:t xml:space="preserve">Tracks how customers progress — or drop off — across their journey with Quikkred, from registration through loan activity and reapplication eligibility.</w:t>
      </w:r>
    </w:p>
    <w:p>
      <w:pPr>
        <w:spacing w:before="80" w:after="80"/>
      </w:pPr>
      <w:r>
        <w:t xml:space="preserve"/>
      </w:r>
    </w:p>
    <w:p>
      <w:pPr>
        <w:spacing w:before="80" w:after="80"/>
      </w:pPr>
      <w:r>
        <w:rPr>
          <w:rFonts w:ascii="Arial" w:cs="Arial" w:eastAsia="Arial" w:hAnsi="Arial"/>
          <w:sz w:val="22"/>
          <w:szCs w:val="22"/>
        </w:rPr>
        <w:t xml:space="preserve">Monthly New Customers chart shows rapid acquisition growth: from just 16 new customers in December 2025, jumping to 6.9k in January 2026 and peaking at 18.6k in February 2026 before dropping sharply to 560 in March 2026 (partial month). KYC completions followed a similar curve, peaking at 8.2k in February.</w:t>
      </w:r>
    </w:p>
    <w:p>
      <w:pPr>
        <w:spacing w:before="80" w:after="80"/>
      </w:pPr>
      <w:r>
        <w:t xml:space="preserve"/>
      </w:r>
    </w:p>
    <w:p>
      <w:pPr>
        <w:spacing w:before="80" w:after="80"/>
      </w:pPr>
      <w:r>
        <w:rPr>
          <w:rFonts w:ascii="Arial" w:cs="Arial" w:eastAsia="Arial" w:hAnsi="Arial"/>
          <w:sz w:val="22"/>
          <w:szCs w:val="22"/>
        </w:rPr>
        <w:t xml:space="preserve">Reapply Eligibility donut shows that out of 10 tracked customers, 70% are not yet eligible to reapply and 30% are eligible — a small but actionable segment for re-engagement campaigns.</w:t>
      </w:r>
    </w:p>
    <w:p>
      <w:pPr>
        <w:spacing w:before="80" w:after="80"/>
      </w:pPr>
      <w:r>
        <w:t xml:space="preserve"/>
      </w:r>
    </w:p>
    <w:p>
      <w:pPr>
        <w:spacing w:before="80" w:after="80"/>
      </w:pPr>
      <w:r>
        <w:rPr>
          <w:rFonts w:ascii="Arial" w:cs="Arial" w:eastAsia="Arial" w:hAnsi="Arial"/>
          <w:sz w:val="22"/>
          <w:szCs w:val="22"/>
        </w:rPr>
        <w:t xml:space="preserve">Customer Churn section reveals a critical insight: 26,152 customers registered on the platform have no application and no loan — resulting in a 100% churn rate for this segment. This means the entire registered base has yet to convert into active borrowers, making this the single most important funnel metric for the business.</w:t>
      </w:r>
    </w:p>
    <w:p>
      <w:pPr>
        <w:spacing w:before="80" w:after="80"/>
      </w:pPr>
      <w:r>
        <w:t xml:space="preserve"/>
      </w:r>
    </w:p>
    <w:p>
      <w:pPr>
        <w:spacing w:before="80" w:after="80"/>
      </w:pPr>
      <w:r>
        <w:rPr>
          <w:rFonts w:ascii="Arial" w:cs="Arial" w:eastAsia="Arial" w:hAnsi="Arial"/>
          <w:sz w:val="22"/>
          <w:szCs w:val="22"/>
        </w:rPr>
        <w:t xml:space="preserve">Customer Loan Frequency Distribution, Repeat Customers, and Lifetime Value Distribution charts currently show no results, indicating these data models are still being built out.</w:t>
      </w:r>
    </w:p>
    <w:p>
      <w:pPr>
        <w:spacing w:before="80" w:after="80"/>
      </w:pPr>
      <w:r>
        <w:t xml:space="preserve"/>
      </w:r>
    </w:p>
    <w:p>
      <w:pPr>
        <w:pBdr>
          <w:bottom w:val="single" w:color="2E75B6" w:sz="4" w:space="1"/>
        </w:pBdr>
        <w:spacing w:before="120" w:after="120"/>
      </w:pPr>
      <w:r>
        <w:t xml:space="preserve"/>
      </w:r>
    </w:p>
    <w:p>
      <w:pPr>
        <w:pStyle w:val="Heading1"/>
        <w:spacing w:before="200" w:after="120"/>
      </w:pPr>
      <w:r>
        <w:rPr>
          <w:rFonts w:ascii="Arial" w:cs="Arial" w:eastAsia="Arial" w:hAnsi="Arial"/>
          <w:b/>
          <w:bCs/>
          <w:color w:val="1B3A5C"/>
          <w:sz w:val="30"/>
          <w:szCs w:val="30"/>
        </w:rPr>
        <w:t xml:space="preserve">How This Dashboard Helps Operations</w:t>
      </w:r>
    </w:p>
    <w:p>
      <w:pPr>
        <w:pStyle w:val="ListParagraph"/>
        <w:numPr>
          <w:ilvl w:val="0"/>
          <w:numId w:val="2"/>
        </w:numPr>
        <w:spacing w:before="60" w:after="60"/>
      </w:pPr>
      <w:r>
        <w:rPr>
          <w:rFonts w:ascii="Arial" w:cs="Arial" w:eastAsia="Arial" w:hAnsi="Arial"/>
          <w:sz w:val="21"/>
          <w:szCs w:val="21"/>
        </w:rPr>
        <w:t xml:space="preserve">The 100% churn rate on registered customers (26,152 with no application) is the most critical signal in this dashboard — it tells the growth and product teams that acquisition is working but activation is broken, and needs immediate attention.</w:t>
      </w:r>
    </w:p>
    <w:p>
      <w:pPr>
        <w:pStyle w:val="ListParagraph"/>
        <w:numPr>
          <w:ilvl w:val="0"/>
          <w:numId w:val="2"/>
        </w:numPr>
        <w:spacing w:before="60" w:after="60"/>
      </w:pPr>
      <w:r>
        <w:rPr>
          <w:rFonts w:ascii="Arial" w:cs="Arial" w:eastAsia="Arial" w:hAnsi="Arial"/>
          <w:sz w:val="21"/>
          <w:szCs w:val="21"/>
        </w:rPr>
        <w:t xml:space="preserve">CIBIL distribution shows most customers cluster below 600, which directly informs credit policy decisions on minimum score thresholds, risk pricing, and product eligibility.</w:t>
      </w:r>
    </w:p>
    <w:p>
      <w:pPr>
        <w:pStyle w:val="ListParagraph"/>
        <w:numPr>
          <w:ilvl w:val="0"/>
          <w:numId w:val="2"/>
        </w:numPr>
        <w:spacing w:before="60" w:after="60"/>
      </w:pPr>
      <w:r>
        <w:rPr>
          <w:rFonts w:ascii="Arial" w:cs="Arial" w:eastAsia="Arial" w:hAnsi="Arial"/>
          <w:sz w:val="21"/>
          <w:szCs w:val="21"/>
        </w:rPr>
        <w:t xml:space="preserve">The 40.4% unknown employment type and 15,445 unknown city entries highlight data quality gaps that, if resolved, would significantly improve risk scoring and targeting accuracy.</w:t>
      </w:r>
    </w:p>
    <w:p>
      <w:pPr>
        <w:pStyle w:val="ListParagraph"/>
        <w:numPr>
          <w:ilvl w:val="0"/>
          <w:numId w:val="2"/>
        </w:numPr>
        <w:spacing w:before="60" w:after="60"/>
      </w:pPr>
      <w:r>
        <w:rPr>
          <w:rFonts w:ascii="Arial" w:cs="Arial" w:eastAsia="Arial" w:hAnsi="Arial"/>
          <w:sz w:val="21"/>
          <w:szCs w:val="21"/>
        </w:rPr>
        <w:t xml:space="preserve">The income and age profile (peak: ₹30k–40k income, age 30–35) gives the product team a clear picture of who the core borrower is, enabling better product design, marketing messaging, and loan sizing.</w:t>
      </w:r>
    </w:p>
    <w:p>
      <w:pPr>
        <w:pStyle w:val="ListParagraph"/>
        <w:numPr>
          <w:ilvl w:val="0"/>
          <w:numId w:val="2"/>
        </w:numPr>
        <w:spacing w:before="60" w:after="60"/>
      </w:pPr>
      <w:r>
        <w:rPr>
          <w:rFonts w:ascii="Arial" w:cs="Arial" w:eastAsia="Arial" w:hAnsi="Arial"/>
          <w:sz w:val="21"/>
          <w:szCs w:val="21"/>
        </w:rPr>
        <w:t xml:space="preserve">The February acquisition spike (18.6k new customers) followed by a sharp March drop signals that growth campaigns drove a surge — ops can use this to plan KYC processing capacity ahead of future campaigns.</w:t>
      </w:r>
    </w:p>
    <w:p>
      <w:pPr>
        <w:pStyle w:val="ListParagraph"/>
        <w:numPr>
          <w:ilvl w:val="0"/>
          <w:numId w:val="2"/>
        </w:numPr>
        <w:spacing w:before="60" w:after="60"/>
      </w:pPr>
      <w:r>
        <w:rPr>
          <w:rFonts w:ascii="Arial" w:cs="Arial" w:eastAsia="Arial" w:hAnsi="Arial"/>
          <w:sz w:val="21"/>
          <w:szCs w:val="21"/>
        </w:rPr>
        <w:t xml:space="preserve">The 30% reapply-eligible segment, once data models are fully populated, will allow collections and CRM teams to run targeted re-engagement with borrowers who have repaid and qualify for a second loan.</w:t>
      </w:r>
    </w:p>
    <w:p>
      <w:pPr>
        <w:pStyle w:val="ListParagraph"/>
        <w:numPr>
          <w:ilvl w:val="0"/>
          <w:numId w:val="2"/>
        </w:numPr>
        <w:spacing w:before="60" w:after="60"/>
      </w:pPr>
      <w:r>
        <w:rPr>
          <w:rFonts w:ascii="Arial" w:cs="Arial" w:eastAsia="Arial" w:hAnsi="Arial"/>
          <w:sz w:val="21"/>
          <w:szCs w:val="21"/>
        </w:rPr>
        <w:t xml:space="preserve">Geographic data (once city/state gaps are filled) will help the team identify high-performing markets vs. underserved regions for expansion planning.</w:t>
      </w:r>
    </w:p>
    <w:p>
      <w:pPr>
        <w:spacing w:before="80" w:after="80"/>
      </w:pPr>
      <w:r>
        <w:t xml:space="preserve"/>
      </w:r>
    </w:p>
    <w:p>
      <w:pPr>
        <w:pBdr>
          <w:bottom w:val="single" w:color="2E75B6" w:sz="4" w:space="1"/>
        </w:pBdr>
        <w:spacing w:before="120" w:after="120"/>
      </w:pPr>
      <w:r>
        <w:t xml:space="preserve"/>
      </w:r>
    </w:p>
    <w:p>
      <w:pPr>
        <w:spacing w:before="120" w:after="60"/>
        <w:jc w:val="center"/>
      </w:pPr>
      <w:r>
        <w:rPr>
          <w:rFonts w:ascii="Arial" w:cs="Arial" w:eastAsia="Arial" w:hAnsi="Arial"/>
          <w:i/>
          <w:iCs/>
          <w:color w:val="AAAAAA"/>
          <w:sz w:val="18"/>
          <w:szCs w:val="18"/>
        </w:rPr>
        <w:t xml:space="preserve">Document prepared by the Technology Team  —  March 2026</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7"/>
        <w:szCs w:val="17"/>
      </w:rPr>
      <w:t xml:space="preserve">Customer Analytics  |  Quikkred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B3A5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2026-03-21T05:17:38.043Z</dcterms:created>
  <dcterms:modified xsi:type="dcterms:W3CDTF">2026-03-21T05:17:38.044Z</dcterms:modified>
</cp:coreProperties>
</file>

<file path=docProps/custom.xml><?xml version="1.0" encoding="utf-8"?>
<Properties xmlns="http://schemas.openxmlformats.org/officeDocument/2006/custom-properties" xmlns:vt="http://schemas.openxmlformats.org/officeDocument/2006/docPropsVTypes"/>
</file>