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200"/>
              <w:left w:type="dxa" w:w="280"/>
              <w:bottom w:type="dxa" w:w="200"/>
              <w:right w:type="dxa" w:w="280"/>
            </w:tcMar>
          </w:tcPr>
          <w:p>
            <w:pPr>
              <w:spacing w:before="0" w:after="20" w:line="288"/>
              <w:jc w:val="left"/>
            </w:pPr>
            <w:r>
              <w:rPr>
                <w:rFonts w:ascii="Arial" w:cs="Arial" w:eastAsia="Arial" w:hAnsi="Arial"/>
                <w:b/>
                <w:bCs/>
                <w:color w:val="FFFFFF"/>
                <w:sz w:val="30"/>
                <w:szCs w:val="30"/>
              </w:rPr>
              <w:t xml:space="preserve">User Journey &amp; Conversion Analytics</w:t>
            </w:r>
          </w:p>
          <w:p>
            <w:pPr>
              <w:spacing w:before="0" w:after="80" w:line="288"/>
              <w:jc w:val="left"/>
            </w:pPr>
            <w:r>
              <w:rPr>
                <w:rFonts w:ascii="Arial" w:cs="Arial" w:eastAsia="Arial" w:hAnsi="Arial"/>
                <w:i/>
                <w:iCs/>
                <w:color w:val="BFD4F5"/>
                <w:sz w:val="19"/>
                <w:szCs w:val="19"/>
              </w:rPr>
              <w:t xml:space="preserve">Dashboard Summary  —  Quikkred</w:t>
            </w:r>
          </w:p>
        </w:tc>
      </w:tr>
    </w:tbl>
    <w:p>
      <w:pPr>
        <w:spacing w:before="56" w:after="80" w:line="288"/>
        <w:jc w:val="left"/>
      </w:pPr>
      <w:r>
        <w:rPr>
          <w:rFonts w:ascii="Arial" w:cs="Arial" w:eastAsia="Arial" w:hAnsi="Arial"/>
          <w:color w:val="1B3A6B"/>
          <w:sz w:val="20"/>
          <w:szCs w:val="20"/>
        </w:rPr>
        <w:t xml:space="preserve"/>
      </w:r>
    </w:p>
    <w:p>
      <w:pPr>
        <w:spacing w:before="0" w:after="80" w:line="300"/>
        <w:jc w:val="left"/>
      </w:pPr>
      <w:r>
        <w:rPr>
          <w:rFonts w:ascii="Arial" w:cs="Arial" w:eastAsia="Arial" w:hAnsi="Arial"/>
          <w:color w:val="475569"/>
          <w:sz w:val="19"/>
          <w:szCs w:val="19"/>
        </w:rPr>
        <w:t xml:space="preserve">The User Journey &amp; Conversion Analytics dashboard maps how visitors move through Quikkred's application funnel — from first landing page visit to KYC completion and loan conversion. Across four tabs, it tracks funnel conversion rates, behavioural signals, UTM campaign attribution, and step-by-step drop-off patterns, giving product and marketing teams the data to identify friction, prioritise fixes, and improve end-to-end conversion.</w:t>
      </w:r>
    </w:p>
    <w:p>
      <w:pPr>
        <w:pBdr>
          <w:bottom w:val="single" w:color="2563EB" w:sz="6" w:space="1"/>
        </w:pBdr>
        <w:spacing w:before="0" w:after="56" w:line="288"/>
        <w:jc w:val="left"/>
      </w:pPr>
    </w:p>
    <w:p>
      <w:pPr>
        <w:spacing w:before="0" w:after="56" w:line="288"/>
        <w:jc w:val="left"/>
      </w:pPr>
      <w:r>
        <w:rPr>
          <w:rFonts w:ascii="Arial" w:cs="Arial" w:eastAsia="Arial" w:hAnsi="Arial"/>
          <w:b/>
          <w:bCs/>
          <w:color w:val="1B3A6B"/>
          <w:sz w:val="24"/>
          <w:szCs w:val="24"/>
        </w:rPr>
        <w:t xml:space="preserve">Dashboard Tabs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2563EB"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1</w:t>
            </w:r>
          </w:p>
          <w:p>
            <w:pPr>
              <w:spacing w:before="0" w:after="80" w:line="288"/>
              <w:jc w:val="center"/>
            </w:pPr>
            <w:r>
              <w:rPr>
                <w:rFonts w:ascii="Arial" w:cs="Arial" w:eastAsia="Arial" w:hAnsi="Arial"/>
                <w:b/>
                <w:bCs/>
                <w:color w:val="FFFFFF"/>
                <w:sz w:val="17"/>
                <w:szCs w:val="17"/>
              </w:rPr>
              <w:t xml:space="preserve">Funnel
Analytics</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Tracks the overall journey from visitor entry to conversion. Of 68,884 journeys started, 28,437 were abandoned (41.28%), only 30 converted (0.04%), and 2 remain in progress. Average time spent is 41.85 minutes, with a maximum of 785 minutes recorded. The weekly Conversion Rate Trend shows the strongest conversion week was around 20 January 2026 (23 conversions), after which conversions dropped to 0 while traffic continued to grow through February — a significant volume-without-conversion problem.</w:t>
            </w:r>
          </w:p>
          <w:p>
            <w:pPr>
              <w:spacing w:before="40" w:after="80" w:line="300"/>
              <w:jc w:val="left"/>
            </w:pPr>
            <w:r>
              <w:rPr>
                <w:rFonts w:ascii="Arial" w:cs="Arial" w:eastAsia="Arial" w:hAnsi="Arial"/>
                <w:color w:val="475569"/>
                <w:sz w:val="19"/>
                <w:szCs w:val="19"/>
              </w:rPr>
              <w:t xml:space="preserve">The Conversion Rate by Landing Page shows /apply/quick carries the highest traffic (~87,000) but a very high abandon rate (~30%), while /apply/quick-v2 has a notably lower abandon rate and a small but meaningful conversion count. The KYC Progress Funnel confirms that of 97,353 total visitors, only 2,134 (2.19%) attempted PAN, 807 (0.83%) verified Aadhaar, and 792 (0.81%) completed Bank Verification — with 0% proceeding to eSign, meaning no borrower has completed the full KYC journey to date.</w:t>
            </w:r>
          </w:p>
        </w:tc>
      </w:tr>
    </w:tbl>
    <w:p>
      <w:pPr>
        <w:spacing w:before="36"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4338CA"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2</w:t>
            </w:r>
          </w:p>
          <w:p>
            <w:pPr>
              <w:spacing w:before="0" w:after="80" w:line="288"/>
              <w:jc w:val="center"/>
            </w:pPr>
            <w:r>
              <w:rPr>
                <w:rFonts w:ascii="Arial" w:cs="Arial" w:eastAsia="Arial" w:hAnsi="Arial"/>
                <w:b/>
                <w:bCs/>
                <w:color w:val="FFFFFF"/>
                <w:sz w:val="17"/>
                <w:szCs w:val="17"/>
              </w:rPr>
              <w:t xml:space="preserve">Behavioral
Analytics</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Surfaces how users interact with the platform beyond the core funnel. Of 97,359 total sessions tracked, the Calculator Usage Rate, Eligibility Check Usage Rate, and FAQ View Rate all read 0% — none of these engagement features are being used by visitors. Device Type Distribution shows 97.16% of all traffic is mobile, with desktop at just 2.84%, confirming the platform is effectively a mobile-only product.</w:t>
            </w:r>
          </w:p>
          <w:p>
            <w:pPr>
              <w:spacing w:before="40" w:after="80" w:line="300"/>
              <w:jc w:val="left"/>
            </w:pPr>
            <w:r>
              <w:rPr>
                <w:rFonts w:ascii="Arial" w:cs="Arial" w:eastAsia="Arial" w:hAnsi="Arial"/>
                <w:color w:val="475569"/>
                <w:sz w:val="19"/>
                <w:szCs w:val="19"/>
              </w:rPr>
              <w:t xml:space="preserve">Bot and Suspicious Traffic checks show 0 bots detected across 97,359 sessions — traffic quality is clean. Trust Signal Interactions (RBI Logo clicks, Security Badge clicks, Privacy Policy views) all read 0, indicating borrowers are not engaging with compliance and trust elements on the page. Form Paste Detection shows 0 paste events across PAN, Aadhaar, Account, and IFSC fields — either genuine manual entry is the norm, or the detection instrumentation is not yet capturing events. The Tab Switch Frequency Distribution shows no results.</w:t>
            </w:r>
          </w:p>
        </w:tc>
      </w:tr>
    </w:tbl>
    <w:p>
      <w:pPr>
        <w:spacing w:before="36"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6D28D9"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3</w:t>
            </w:r>
          </w:p>
          <w:p>
            <w:pPr>
              <w:spacing w:before="0" w:after="80" w:line="288"/>
              <w:jc w:val="center"/>
            </w:pPr>
            <w:r>
              <w:rPr>
                <w:rFonts w:ascii="Arial" w:cs="Arial" w:eastAsia="Arial" w:hAnsi="Arial"/>
                <w:b/>
                <w:bCs/>
                <w:color w:val="FFFFFF"/>
                <w:sz w:val="17"/>
                <w:szCs w:val="17"/>
              </w:rPr>
              <w:t xml:space="preserve">UTM &amp;
Attribution</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Maps all paid and organic traffic to conversion outcomes. Instagram is the top referrer at 40.8% of attributable traffic (30.49% from Facebook mobile), but both convert at near 0%. Google.com sends 9.22% of traffic and is the only referrer with a meaningful conversion signal. Chrome dominates browser share at 83.6%, with Safari at 15.1%. By entry source, 65.6% of sessions are Referral, 20.8% Direct, and 8.4% Organic.</w:t>
            </w:r>
          </w:p>
          <w:p>
            <w:pPr>
              <w:spacing w:before="40" w:after="80" w:line="300"/>
              <w:jc w:val="left"/>
            </w:pPr>
            <w:r>
              <w:rPr>
                <w:rFonts w:ascii="Arial" w:cs="Arial" w:eastAsia="Arial" w:hAnsi="Arial"/>
                <w:color w:val="475569"/>
                <w:sz w:val="19"/>
                <w:szCs w:val="19"/>
              </w:rPr>
              <w:t xml:space="preserve">Top Performing Campaigns across 20 tracked campaigns shows only 2 with any conversions: facebook / 130126_convesion_web_lb2 (8,795 visitors, 1 conversion, 0.011%) and Meta / Need_Extra_Funds (3,901 visitors, 3 conversions, 0.077%). The remaining 18 campaigns — including Penguin_Family_Expense (5,913 visitors), Simple_Safe_Trusted_Loan (4,595), and Salary_Day_Loan (3,171) — have 0 conversions. UTM Medium breakdown confirms Ads medium carries the most traffic (~47,000 visitors) but converts at near 0%.</w:t>
            </w:r>
          </w:p>
        </w:tc>
      </w:tr>
    </w:tbl>
    <w:p>
      <w:pPr>
        <w:spacing w:before="36"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40"/>
        <w:gridCol w:w="8840"/>
      </w:tblGrid>
      <w:tr>
        <w:tc>
          <w:tcPr>
            <w:tcW w:type="dxa" w:w="1240"/>
            <w:tcBorders>
              <w:top w:val="none" w:color="FFFFFF" w:sz="0"/>
              <w:left w:val="none" w:color="FFFFFF" w:sz="0"/>
              <w:bottom w:val="none" w:color="FFFFFF" w:sz="0"/>
              <w:right w:val="none" w:color="FFFFFF" w:sz="0"/>
            </w:tcBorders>
            <w:shd w:fill="0F766E" w:val="clear"/>
            <w:tcMar>
              <w:top w:type="dxa" w:w="120"/>
              <w:left w:type="dxa" w:w="60"/>
              <w:bottom w:type="dxa" w:w="120"/>
              <w:right w:type="dxa" w:w="60"/>
            </w:tcMar>
          </w:tcPr>
          <w:p>
            <w:pPr>
              <w:spacing w:before="0" w:after="16" w:line="288"/>
              <w:jc w:val="center"/>
            </w:pPr>
            <w:r>
              <w:rPr>
                <w:rFonts w:ascii="Arial" w:cs="Arial" w:eastAsia="Arial" w:hAnsi="Arial"/>
                <w:b/>
                <w:bCs/>
                <w:color w:val="FFFFFF"/>
                <w:sz w:val="15"/>
                <w:szCs w:val="15"/>
              </w:rPr>
              <w:t xml:space="preserve">TAB 4</w:t>
            </w:r>
          </w:p>
          <w:p>
            <w:pPr>
              <w:spacing w:before="0" w:after="80" w:line="288"/>
              <w:jc w:val="center"/>
            </w:pPr>
            <w:r>
              <w:rPr>
                <w:rFonts w:ascii="Arial" w:cs="Arial" w:eastAsia="Arial" w:hAnsi="Arial"/>
                <w:b/>
                <w:bCs/>
                <w:color w:val="FFFFFF"/>
                <w:sz w:val="17"/>
                <w:szCs w:val="17"/>
              </w:rPr>
              <w:t xml:space="preserve">Drop-off
Analysis</w:t>
            </w:r>
          </w:p>
        </w:tc>
        <w:tc>
          <w:tcPr>
            <w:tcW w:type="dxa" w:w="8840"/>
            <w:tcBorders>
              <w:top w:val="single" w:color="CBD5E1" w:sz="1"/>
              <w:left w:val="single" w:color="CBD5E1" w:sz="1"/>
              <w:bottom w:val="single" w:color="CBD5E1" w:sz="1"/>
              <w:right w:val="single" w:color="CBD5E1" w:sz="1"/>
            </w:tcBorders>
            <w:tcMar>
              <w:top w:type="dxa" w:w="100"/>
              <w:left w:type="dxa" w:w="160"/>
              <w:bottom w:type="dxa" w:w="100"/>
              <w:right w:type="dxa" w:w="160"/>
            </w:tcMar>
          </w:tcPr>
          <w:p>
            <w:pPr>
              <w:spacing w:before="0" w:after="80" w:line="300"/>
              <w:jc w:val="left"/>
            </w:pPr>
            <w:r>
              <w:rPr>
                <w:rFonts w:ascii="Arial" w:cs="Arial" w:eastAsia="Arial" w:hAnsi="Arial"/>
                <w:color w:val="475569"/>
                <w:sz w:val="19"/>
                <w:szCs w:val="19"/>
              </w:rPr>
              <w:t xml:space="preserve">Identifies exactly where users exit the KYC journey. The Drop-off at Each KYC Step funnel (97,366 started) shows the single most catastrophic drop-off is at PAN Attempted: 0.00% of visitors even attempt PAN verification — meaning the vast majority of the 97,000+ users never interact with Step 1 of the KYC flow. Of those who do, only 2.19% (2,134) reach PAN Verified, and subsequent steps (Aadhaar: 0.83%, Bank: 0.81%) see further attrition.</w:t>
            </w:r>
          </w:p>
          <w:p>
            <w:pPr>
              <w:spacing w:before="40" w:after="80" w:line="300"/>
              <w:jc w:val="left"/>
            </w:pPr>
            <w:r>
              <w:rPr>
                <w:rFonts w:ascii="Arial" w:cs="Arial" w:eastAsia="Arial" w:hAnsi="Arial"/>
                <w:color w:val="475569"/>
                <w:sz w:val="19"/>
                <w:szCs w:val="19"/>
              </w:rPr>
              <w:t xml:space="preserve">Verification Time Analysis shows all timing metrics at 0 — average PAN, Aadhaar OTP wait, Bank, and eSign times are not being recorded. Average Verification Retries are also all 0. Technical Error Rate is 0% across Slow Network, API Timeout, and JS errors, confirming the drop-off is behavioural rather than technical. Abandonment Reasons Distribution, Comeback Pattern Analysis, and Rejection Category Distribution all show no data — these are frameworks awaiting sufficient volume to populate.</w:t>
            </w:r>
          </w:p>
        </w:tc>
      </w:tr>
    </w:tbl>
    <w:p>
      <w:pPr>
        <w:spacing w:before="36" w:after="80" w:line="288"/>
        <w:jc w:val="left"/>
      </w:pPr>
      <w:r>
        <w:rPr>
          <w:rFonts w:ascii="Arial" w:cs="Arial" w:eastAsia="Arial" w:hAnsi="Arial"/>
          <w:color w:val="1B3A6B"/>
          <w:sz w:val="20"/>
          <w:szCs w:val="20"/>
        </w:rPr>
        <w:t xml:space="preserve"/>
      </w:r>
    </w:p>
    <w:p>
      <w:pPr>
        <w:spacing w:before="56" w:after="80" w:line="288"/>
        <w:jc w:val="left"/>
      </w:pPr>
      <w:r>
        <w:rPr>
          <w:rFonts w:ascii="Arial" w:cs="Arial" w:eastAsia="Arial" w:hAnsi="Arial"/>
          <w:color w:val="1B3A6B"/>
          <w:sz w:val="20"/>
          <w:szCs w:val="20"/>
        </w:rPr>
        <w:t xml:space="preserve"/>
      </w:r>
    </w:p>
    <w:p>
      <w:pPr>
        <w:pBdr>
          <w:bottom w:val="single" w:color="2563EB" w:sz="6" w:space="1"/>
        </w:pBdr>
        <w:spacing w:before="0" w:after="56" w:line="288"/>
        <w:jc w:val="left"/>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160"/>
              <w:left w:type="dxa" w:w="280"/>
              <w:bottom w:type="dxa" w:w="160"/>
              <w:right w:type="dxa" w:w="160"/>
            </w:tcMar>
          </w:tcPr>
          <w:p>
            <w:pPr>
              <w:spacing w:before="0" w:after="80" w:line="288"/>
              <w:jc w:val="left"/>
            </w:pPr>
            <w:r>
              <w:rPr>
                <w:rFonts w:ascii="Arial" w:cs="Arial" w:eastAsia="Arial" w:hAnsi="Arial"/>
                <w:b/>
                <w:bCs/>
                <w:color w:val="FFFFFF"/>
                <w:sz w:val="24"/>
                <w:szCs w:val="24"/>
              </w:rPr>
              <w:t xml:space="preserve">How This Dashboard Helps Operations</w:t>
            </w:r>
          </w:p>
        </w:tc>
      </w:tr>
    </w:tbl>
    <w:p>
      <w:pPr>
        <w:spacing w:before="48" w:after="80" w:line="288"/>
        <w:jc w:val="left"/>
      </w:pPr>
      <w:r>
        <w:rPr>
          <w:rFonts w:ascii="Arial" w:cs="Arial" w:eastAsia="Arial" w:hAnsi="Arial"/>
          <w:color w:val="1B3A6B"/>
          <w:sz w:val="20"/>
          <w:szCs w:val="20"/>
        </w:rPr>
        <w:t xml:space="preserve"/>
      </w:r>
    </w:p>
    <w:p>
      <w:pPr>
        <w:spacing w:before="0" w:after="56" w:line="300"/>
        <w:jc w:val="left"/>
      </w:pPr>
      <w:r>
        <w:rPr>
          <w:rFonts w:ascii="Arial" w:cs="Arial" w:eastAsia="Arial" w:hAnsi="Arial"/>
          <w:color w:val="475569"/>
          <w:sz w:val="19"/>
          <w:szCs w:val="19"/>
        </w:rPr>
        <w:t xml:space="preserve">This dashboard tells product and marketing teams one clear story: traffic is arriving but the funnel is not working. Each tab provides a layer of that diagnosis — and points to specific fixes.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2563EB"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Funnel Analytics</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The 0% eSign completion rate means no user has completed the full KYC journey. With 0.04% end-to-end conversion on 68,884 journeys, the funnel is effectively broken at the KYC entry point. The product team should audit why the January conversion cohort (23 conversions) succeeded while subsequent weeks produced 0 — that week's conditions likely hold the key to fixing the funnel.</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4338CA"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Behavioral Analytics</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97.2% mobile traffic with 0% calculator, eligibility checker, and FAQ usage suggests these features are either not visible, not mobile-optimised, or not relevant to the borrower's intent. Remove or deprioritise these features on mobile and replace the real estate with a clearer CTA to start the KYC flow. The 0% trust signal interaction rate also suggests the RBI and security badges need to be more prominent on the application entry screen.</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6D28D9"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UTM &amp; Attribution</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Need_Extra_Funds is the only Meta campaign converting meaningfully (0.077%) — pause all other zero-conversion campaigns and reallocate budget here. The fact that 65.6% of sessions are Referral-sourced with near-zero conversion suggests a significant portion of traffic is arriving via links that land on the wrong page or with the wrong context. Audit the referral entry points and ensure they land on /apply/quick-v2.</w:t>
            </w:r>
          </w:p>
        </w:tc>
      </w:tr>
    </w:tbl>
    <w:p>
      <w:pPr>
        <w:spacing w:before="24" w:after="80" w:line="288"/>
        <w:jc w:val="left"/>
      </w:pPr>
      <w:r>
        <w:rPr>
          <w:rFonts w:ascii="Arial" w:cs="Arial" w:eastAsia="Arial" w:hAnsi="Arial"/>
          <w:color w:val="1B3A6B"/>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none" w:color="FFFFFF" w:sz="0"/>
              <w:left w:val="none" w:color="FFFFFF" w:sz="0"/>
              <w:bottom w:val="none" w:color="FFFFFF" w:sz="0"/>
              <w:right w:val="none" w:color="FFFFFF" w:sz="0"/>
            </w:tcBorders>
            <w:shd w:fill="0F766E" w:val="clear"/>
            <w:tcMar>
              <w:top w:type="dxa" w:w="80"/>
              <w:left w:type="dxa" w:w="80"/>
              <w:bottom w:type="dxa" w:w="80"/>
              <w:right w:type="dxa" w:w="80"/>
            </w:tcMar>
          </w:tcPr>
          <w:p>
            <w:pPr>
              <w:spacing w:before="0" w:after="80" w:line="288"/>
              <w:jc w:val="center"/>
            </w:pPr>
            <w:r>
              <w:rPr>
                <w:rFonts w:ascii="Arial" w:cs="Arial" w:eastAsia="Arial" w:hAnsi="Arial"/>
                <w:b/>
                <w:bCs/>
                <w:color w:val="FFFFFF"/>
                <w:sz w:val="18"/>
                <w:szCs w:val="18"/>
              </w:rPr>
              <w:t xml:space="preserve">Drop-off Analysis</w:t>
            </w:r>
          </w:p>
        </w:tc>
        <w:tc>
          <w:tcPr>
            <w:tcW w:type="dxa" w:w="7880"/>
            <w:tcBorders>
              <w:top w:val="none" w:color="FFFFFF" w:sz="0"/>
              <w:left w:val="none" w:color="FFFFFF" w:sz="0"/>
              <w:bottom w:val="none" w:color="FFFFFF" w:sz="0"/>
              <w:right w:val="none" w:color="FFFFFF" w:sz="0"/>
            </w:tcBorders>
            <w:shd w:fill="F1F5F9" w:val="clear"/>
            <w:tcMar>
              <w:top w:type="dxa" w:w="80"/>
              <w:left w:type="dxa" w:w="160"/>
              <w:bottom w:type="dxa" w:w="80"/>
              <w:right w:type="dxa" w:w="160"/>
            </w:tcMar>
          </w:tcPr>
          <w:p>
            <w:pPr>
              <w:spacing w:before="0" w:after="80" w:line="300"/>
              <w:jc w:val="left"/>
            </w:pPr>
            <w:r>
              <w:rPr>
                <w:rFonts w:ascii="Arial" w:cs="Arial" w:eastAsia="Arial" w:hAnsi="Arial"/>
                <w:color w:val="475569"/>
                <w:sz w:val="19"/>
                <w:szCs w:val="19"/>
              </w:rPr>
              <w:t xml:space="preserve">The 0.00% PAN Attempt rate on 97,000+ visitors is the single most important finding in this dashboard — users are reaching the KYC screen but not starting it. This is not a technical failure (error rate is 0%) but a UX and trust failure. Simplify the PAN entry screen, add inline guidance, and test a progress indicator to reduce the perceived effort of starting KYC.</w:t>
            </w:r>
          </w:p>
        </w:tc>
      </w:tr>
    </w:tbl>
    <w:p>
      <w:pPr>
        <w:spacing w:before="24" w:after="80" w:line="288"/>
        <w:jc w:val="left"/>
      </w:pPr>
      <w:r>
        <w:rPr>
          <w:rFonts w:ascii="Arial" w:cs="Arial" w:eastAsia="Arial" w:hAnsi="Arial"/>
          <w:color w:val="1B3A6B"/>
          <w:sz w:val="20"/>
          <w:szCs w:val="20"/>
        </w:rPr>
        <w:t xml:space="preserve"/>
      </w:r>
    </w:p>
    <w:p>
      <w:pPr>
        <w:spacing w:before="48" w:after="80" w:line="288"/>
        <w:jc w:val="left"/>
      </w:pPr>
      <w:r>
        <w:rPr>
          <w:rFonts w:ascii="Arial" w:cs="Arial" w:eastAsia="Arial" w:hAnsi="Arial"/>
          <w:color w:val="1B3A6B"/>
          <w:sz w:val="20"/>
          <w:szCs w:val="20"/>
        </w:rPr>
        <w:t xml:space="preserve"/>
      </w:r>
    </w:p>
    <w:p>
      <w:pPr>
        <w:pBdr>
          <w:bottom w:val="single" w:color="2563EB" w:sz="6" w:space="1"/>
        </w:pBdr>
        <w:spacing w:before="0" w:after="40" w:line="288"/>
        <w:jc w:val="left"/>
      </w:pPr>
    </w:p>
    <w:p>
      <w:pPr>
        <w:spacing w:before="0" w:after="80" w:line="300"/>
        <w:jc w:val="left"/>
      </w:pPr>
      <w:r>
        <w:rPr>
          <w:rFonts w:ascii="Arial" w:cs="Arial" w:eastAsia="Arial" w:hAnsi="Arial"/>
          <w:i/>
          <w:iCs/>
          <w:color w:val="475569"/>
          <w:sz w:val="19"/>
          <w:szCs w:val="19"/>
        </w:rPr>
        <w:t xml:space="preserve">The core insight across all four tabs is consistent: the platform attracts high traffic volume but fails to convert it at the very first step of the KYC journey. Fixing the PAN entry experience on mobile is the single highest-leverage action available to the product team today.</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80" w:line="288"/>
      <w:jc w:val="center"/>
    </w:pPr>
    <w:r>
      <w:rPr>
        <w:rFonts w:ascii="Arial" w:cs="Arial" w:eastAsia="Arial" w:hAnsi="Arial"/>
        <w:i/>
        <w:iCs/>
        <w:color w:val="475569"/>
        <w:sz w:val="16"/>
        <w:szCs w:val="16"/>
      </w:rPr>
      <w:t xml:space="preserve">User Journey &amp; Conversion Analytics  —  Dashboard Summary  |  Quikkred Technology Team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3A6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2026-03-21T06:08:53.886Z</dcterms:created>
  <dcterms:modified xsi:type="dcterms:W3CDTF">2026-03-21T06:08:53.887Z</dcterms:modified>
</cp:coreProperties>
</file>

<file path=docProps/custom.xml><?xml version="1.0" encoding="utf-8"?>
<Properties xmlns="http://schemas.openxmlformats.org/officeDocument/2006/custom-properties" xmlns:vt="http://schemas.openxmlformats.org/officeDocument/2006/docPropsVTypes"/>
</file>