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pPr>
              <w:spacing w:before="0" w:after="20" w:line="288"/>
              <w:jc w:val="left"/>
            </w:pPr>
            <w:r>
              <w:rPr>
                <w:rFonts w:ascii="Arial" w:cs="Arial" w:eastAsia="Arial" w:hAnsi="Arial"/>
                <w:b/>
                <w:bCs/>
                <w:color w:val="FFFFFF"/>
                <w:sz w:val="30"/>
                <w:szCs w:val="30"/>
              </w:rPr>
              <w:t xml:space="preserve">Third-Party API Health Analytics</w:t>
            </w:r>
          </w:p>
          <w:p>
            <w:pPr>
              <w:spacing w:before="0" w:after="80" w:line="288"/>
              <w:jc w:val="left"/>
            </w:pPr>
            <w:r>
              <w:rPr>
                <w:rFonts w:ascii="Arial" w:cs="Arial" w:eastAsia="Arial" w:hAnsi="Arial"/>
                <w:i/>
                <w:iCs/>
                <w:color w:val="BFD4F5"/>
                <w:sz w:val="19"/>
                <w:szCs w:val="19"/>
              </w:rPr>
              <w:t xml:space="preserve">Dashboard Summary  —  Quikkred</w:t>
            </w:r>
          </w:p>
        </w:tc>
      </w:tr>
    </w:tbl>
    <w:p>
      <w:pPr>
        <w:spacing w:before="56" w:after="80" w:line="288"/>
        <w:jc w:val="left"/>
      </w:pPr>
      <w:r>
        <w:rPr>
          <w:rFonts w:ascii="Arial" w:cs="Arial" w:eastAsia="Arial" w:hAnsi="Arial"/>
          <w:color w:val="1B3A6B"/>
          <w:sz w:val="20"/>
          <w:szCs w:val="20"/>
        </w:rPr>
        <w:t xml:space="preserve"/>
      </w:r>
    </w:p>
    <w:p>
      <w:pPr>
        <w:spacing w:before="0" w:after="80" w:line="300"/>
        <w:jc w:val="left"/>
      </w:pPr>
      <w:r>
        <w:rPr>
          <w:rFonts w:ascii="Arial" w:cs="Arial" w:eastAsia="Arial" w:hAnsi="Arial"/>
          <w:color w:val="475569"/>
          <w:sz w:val="19"/>
          <w:szCs w:val="19"/>
        </w:rPr>
        <w:t xml:space="preserve">The Third-Party API Health Analytics dashboard gives Quikkred's technology and product teams a real-time view of how every external API integration is performing. Across two tabs, it tracks success rates, failure patterns, HTTP error distributions, provider comparisons, and cost configuration — enabling the team to identify degraded integrations early, manage provider risk, and optimise API spend.</w:t>
      </w:r>
    </w:p>
    <w:p>
      <w:pPr>
        <w:pBdr>
          <w:bottom w:val="single" w:color="2563EB" w:sz="6" w:space="1"/>
        </w:pBdr>
        <w:spacing w:before="0" w:after="56" w:line="288"/>
        <w:jc w:val="left"/>
      </w:pPr>
    </w:p>
    <w:p>
      <w:pPr>
        <w:spacing w:before="0" w:after="56" w:line="288"/>
        <w:jc w:val="left"/>
      </w:pPr>
      <w:r>
        <w:rPr>
          <w:rFonts w:ascii="Arial" w:cs="Arial" w:eastAsia="Arial" w:hAnsi="Arial"/>
          <w:b/>
          <w:bCs/>
          <w:color w:val="1B3A6B"/>
          <w:sz w:val="24"/>
          <w:szCs w:val="24"/>
        </w:rPr>
        <w:t xml:space="preserve">Dashboard Tabs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0"/>
        <w:gridCol w:w="8840"/>
      </w:tblGrid>
      <w:tr>
        <w:tc>
          <w:tcPr>
            <w:tcW w:type="dxa" w:w="1240"/>
            <w:tcBorders>
              <w:top w:val="none" w:color="FFFFFF" w:sz="0"/>
              <w:left w:val="none" w:color="FFFFFF" w:sz="0"/>
              <w:bottom w:val="none" w:color="FFFFFF" w:sz="0"/>
              <w:right w:val="none" w:color="FFFFFF" w:sz="0"/>
            </w:tcBorders>
            <w:shd w:fill="0F766E" w:val="clear"/>
            <w:tcMar>
              <w:top w:type="dxa" w:w="120"/>
              <w:left w:type="dxa" w:w="60"/>
              <w:bottom w:type="dxa" w:w="120"/>
              <w:right w:type="dxa" w:w="60"/>
            </w:tcMar>
          </w:tcPr>
          <w:p>
            <w:pPr>
              <w:spacing w:before="0" w:after="16" w:line="288"/>
              <w:jc w:val="center"/>
            </w:pPr>
            <w:r>
              <w:rPr>
                <w:rFonts w:ascii="Arial" w:cs="Arial" w:eastAsia="Arial" w:hAnsi="Arial"/>
                <w:b/>
                <w:bCs/>
                <w:color w:val="FFFFFF"/>
                <w:sz w:val="15"/>
                <w:szCs w:val="15"/>
              </w:rPr>
              <w:t xml:space="preserve">TAB 1</w:t>
            </w:r>
          </w:p>
          <w:p>
            <w:pPr>
              <w:spacing w:before="0" w:after="80" w:line="288"/>
              <w:jc w:val="center"/>
            </w:pPr>
            <w:r>
              <w:rPr>
                <w:rFonts w:ascii="Arial" w:cs="Arial" w:eastAsia="Arial" w:hAnsi="Arial"/>
                <w:b/>
                <w:bCs/>
                <w:color w:val="FFFFFF"/>
                <w:sz w:val="17"/>
                <w:szCs w:val="17"/>
              </w:rPr>
              <w:t xml:space="preserve">API Success
Rates</w:t>
            </w:r>
          </w:p>
        </w:tc>
        <w:tc>
          <w:tcPr>
            <w:tcW w:type="dxa" w:w="884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before="0" w:after="80" w:line="300"/>
              <w:jc w:val="left"/>
            </w:pPr>
            <w:r>
              <w:rPr>
                <w:rFonts w:ascii="Arial" w:cs="Arial" w:eastAsia="Arial" w:hAnsi="Arial"/>
                <w:color w:val="475569"/>
                <w:sz w:val="19"/>
                <w:szCs w:val="19"/>
              </w:rPr>
              <w:t xml:space="preserve">Provides a service-by-service health summary across all four integrated providers: Surepass, Sandbox, AWS Rekognition, and Credit Bureau. Of 87,037 total API calls made, 79.5% returned HTTP 200 (success), 20.5% returned HTTP 433 (authentication/rate limit errors), and 0.003% returned HTTP 400 (bad request). Surepass is the standout performer — all five of its services (Aadhaar Verification, Bank Account Verification, PAN Verification, Face Liveness) achieved 100% success rates across 60,784 calls with 0 failures.</w:t>
            </w:r>
          </w:p>
          <w:p>
            <w:pPr>
              <w:spacing w:before="40" w:after="80" w:line="300"/>
              <w:jc w:val="left"/>
            </w:pPr>
            <w:r>
              <w:rPr>
                <w:rFonts w:ascii="Arial" w:cs="Arial" w:eastAsia="Arial" w:hAnsi="Arial"/>
                <w:color w:val="475569"/>
                <w:sz w:val="19"/>
                <w:szCs w:val="19"/>
              </w:rPr>
              <w:t xml:space="preserve">Credit Bureau is the most problematic integration: 21,529 total calls, only 4,931 successful (22.9% success rate), and 16,598 failures (77.1% failure rate). The Credit Bureau Failure Analysis chart shows the failure rate has remained persistently high since January 2026, peaking above 90% on some days and rarely dropping below 60%. The AWS Rekognition CREATE_LIVENESS_SESSION service shows a 92.31% failure rate across 13 calls — likely a misconfiguration or credential issue. Sandbox PAN Verification has a 10.33% failure rate (431 failures from 4,174 calls).</w:t>
            </w:r>
          </w:p>
        </w:tc>
      </w:tr>
    </w:tbl>
    <w:p>
      <w:pPr>
        <w:spacing w:before="36" w:after="80" w:line="288"/>
        <w:jc w:val="left"/>
      </w:pPr>
      <w:r>
        <w:rPr>
          <w:rFonts w:ascii="Arial" w:cs="Arial" w:eastAsia="Arial" w:hAnsi="Arial"/>
          <w:color w:val="1B3A6B"/>
          <w:sz w:val="20"/>
          <w:szCs w:val="20"/>
        </w:rPr>
        <w:t xml:space="preserve"/>
      </w:r>
    </w:p>
    <w:p>
      <w:pPr>
        <w:spacing w:before="40" w:after="80" w:line="288"/>
        <w:jc w:val="left"/>
      </w:pPr>
      <w:r>
        <w:rPr>
          <w:rFonts w:ascii="Arial" w:cs="Arial" w:eastAsia="Arial" w:hAnsi="Arial"/>
          <w:color w:val="1B3A6B"/>
          <w:sz w:val="20"/>
          <w:szCs w:val="20"/>
        </w:rPr>
        <w:t xml:space="preserve"/>
      </w:r>
    </w:p>
    <w:p>
      <w:pPr>
        <w:spacing w:before="0" w:after="40" w:line="288"/>
        <w:jc w:val="left"/>
      </w:pPr>
      <w:r>
        <w:rPr>
          <w:rFonts w:ascii="Arial" w:cs="Arial" w:eastAsia="Arial" w:hAnsi="Arial"/>
          <w:b/>
          <w:bCs/>
          <w:color w:val="1B3A6B"/>
          <w:sz w:val="20"/>
          <w:szCs w:val="20"/>
        </w:rPr>
        <w:t xml:space="preserve">Overall API Health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600"/>
        <w:gridCol w:w="1640"/>
        <w:gridCol w:w="1640"/>
      </w:tblGrid>
      <w:tr>
        <w:tc>
          <w:tcPr>
            <w:tcW w:type="dxa" w:w="2200"/>
            <w:tcBorders>
              <w:top w:val="none" w:color="FFFFFF" w:sz="0"/>
              <w:left w:val="none" w:color="FFFFFF" w:sz="0"/>
              <w:bottom w:val="none" w:color="FFFFFF" w:sz="0"/>
              <w:right w:val="none" w:color="FFFFFF" w:sz="0"/>
            </w:tcBorders>
            <w:shd w:fill="0F766E" w:val="clear"/>
            <w:tcMar>
              <w:top w:type="dxa" w:w="72"/>
              <w:left w:type="dxa" w:w="120"/>
              <w:bottom w:type="dxa" w:w="72"/>
              <w:right w:type="dxa" w:w="120"/>
            </w:tcMar>
          </w:tcPr>
          <w:p>
            <w:pPr>
              <w:spacing w:before="0" w:after="80" w:line="288"/>
              <w:jc w:val="left"/>
            </w:pPr>
            <w:r>
              <w:rPr>
                <w:rFonts w:ascii="Arial" w:cs="Arial" w:eastAsia="Arial" w:hAnsi="Arial"/>
                <w:b/>
                <w:bCs/>
                <w:color w:val="FFFFFF"/>
                <w:sz w:val="18"/>
                <w:szCs w:val="18"/>
              </w:rPr>
              <w:t xml:space="preserve">Provider</w:t>
            </w:r>
          </w:p>
        </w:tc>
        <w:tc>
          <w:tcPr>
            <w:tcW w:type="dxa" w:w="3000"/>
            <w:tcBorders>
              <w:top w:val="none" w:color="FFFFFF" w:sz="0"/>
              <w:left w:val="none" w:color="FFFFFF" w:sz="0"/>
              <w:bottom w:val="none" w:color="FFFFFF" w:sz="0"/>
              <w:right w:val="none" w:color="FFFFFF" w:sz="0"/>
            </w:tcBorders>
            <w:shd w:fill="0F766E" w:val="clear"/>
            <w:tcMar>
              <w:top w:type="dxa" w:w="72"/>
              <w:left w:type="dxa" w:w="120"/>
              <w:bottom w:type="dxa" w:w="72"/>
              <w:right w:type="dxa" w:w="120"/>
            </w:tcMar>
          </w:tcPr>
          <w:p>
            <w:pPr>
              <w:spacing w:before="0" w:after="80" w:line="288"/>
              <w:jc w:val="left"/>
            </w:pPr>
            <w:r>
              <w:rPr>
                <w:rFonts w:ascii="Arial" w:cs="Arial" w:eastAsia="Arial" w:hAnsi="Arial"/>
                <w:b/>
                <w:bCs/>
                <w:color w:val="FFFFFF"/>
                <w:sz w:val="18"/>
                <w:szCs w:val="18"/>
              </w:rPr>
              <w:t xml:space="preserve">Service</w:t>
            </w:r>
          </w:p>
        </w:tc>
        <w:tc>
          <w:tcPr>
            <w:tcW w:type="dxa" w:w="1600"/>
            <w:tcBorders>
              <w:top w:val="none" w:color="FFFFFF" w:sz="0"/>
              <w:left w:val="none" w:color="FFFFFF" w:sz="0"/>
              <w:bottom w:val="none" w:color="FFFFFF" w:sz="0"/>
              <w:right w:val="none" w:color="FFFFFF" w:sz="0"/>
            </w:tcBorders>
            <w:shd w:fill="0F766E" w:val="clear"/>
            <w:tcMar>
              <w:top w:type="dxa" w:w="72"/>
              <w:left w:type="dxa" w:w="120"/>
              <w:bottom w:type="dxa" w:w="72"/>
              <w:right w:type="dxa" w:w="120"/>
            </w:tcMar>
          </w:tcPr>
          <w:p>
            <w:pPr>
              <w:spacing w:before="0" w:after="80" w:line="288"/>
              <w:jc w:val="left"/>
            </w:pPr>
            <w:r>
              <w:rPr>
                <w:rFonts w:ascii="Arial" w:cs="Arial" w:eastAsia="Arial" w:hAnsi="Arial"/>
                <w:b/>
                <w:bCs/>
                <w:color w:val="FFFFFF"/>
                <w:sz w:val="18"/>
                <w:szCs w:val="18"/>
              </w:rPr>
              <w:t xml:space="preserve">Total Calls</w:t>
            </w:r>
          </w:p>
        </w:tc>
        <w:tc>
          <w:tcPr>
            <w:tcW w:type="dxa" w:w="1640"/>
            <w:tcBorders>
              <w:top w:val="none" w:color="FFFFFF" w:sz="0"/>
              <w:left w:val="none" w:color="FFFFFF" w:sz="0"/>
              <w:bottom w:val="none" w:color="FFFFFF" w:sz="0"/>
              <w:right w:val="none" w:color="FFFFFF" w:sz="0"/>
            </w:tcBorders>
            <w:shd w:fill="0F766E" w:val="clear"/>
            <w:tcMar>
              <w:top w:type="dxa" w:w="72"/>
              <w:left w:type="dxa" w:w="120"/>
              <w:bottom w:type="dxa" w:w="72"/>
              <w:right w:type="dxa" w:w="120"/>
            </w:tcMar>
          </w:tcPr>
          <w:p>
            <w:pPr>
              <w:spacing w:before="0" w:after="80" w:line="288"/>
              <w:jc w:val="left"/>
            </w:pPr>
            <w:r>
              <w:rPr>
                <w:rFonts w:ascii="Arial" w:cs="Arial" w:eastAsia="Arial" w:hAnsi="Arial"/>
                <w:b/>
                <w:bCs/>
                <w:color w:val="FFFFFF"/>
                <w:sz w:val="18"/>
                <w:szCs w:val="18"/>
              </w:rPr>
              <w:t xml:space="preserve">Success Rate</w:t>
            </w:r>
          </w:p>
        </w:tc>
        <w:tc>
          <w:tcPr>
            <w:tcW w:type="dxa" w:w="1640"/>
            <w:tcBorders>
              <w:top w:val="none" w:color="FFFFFF" w:sz="0"/>
              <w:left w:val="none" w:color="FFFFFF" w:sz="0"/>
              <w:bottom w:val="none" w:color="FFFFFF" w:sz="0"/>
              <w:right w:val="none" w:color="FFFFFF" w:sz="0"/>
            </w:tcBorders>
            <w:shd w:fill="0F766E" w:val="clear"/>
            <w:tcMar>
              <w:top w:type="dxa" w:w="72"/>
              <w:left w:type="dxa" w:w="120"/>
              <w:bottom w:type="dxa" w:w="72"/>
              <w:right w:type="dxa" w:w="120"/>
            </w:tcMar>
          </w:tcPr>
          <w:p>
            <w:pPr>
              <w:spacing w:before="0" w:after="80" w:line="288"/>
              <w:jc w:val="left"/>
            </w:pPr>
            <w:r>
              <w:rPr>
                <w:rFonts w:ascii="Arial" w:cs="Arial" w:eastAsia="Arial" w:hAnsi="Arial"/>
                <w:b/>
                <w:bCs/>
                <w:color w:val="FFFFFF"/>
                <w:sz w:val="18"/>
                <w:szCs w:val="18"/>
              </w:rPr>
              <w:t xml:space="preserve">Failure Rate</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Surepass</w:t>
            </w:r>
          </w:p>
        </w:tc>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Aadhaar Verification</w:t>
            </w:r>
          </w:p>
        </w:tc>
        <w:tc>
          <w:tcPr>
            <w:tcW w:type="dxa" w:w="1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14,012</w:t>
            </w:r>
          </w:p>
        </w:tc>
        <w:tc>
          <w:tcPr>
            <w:tcW w:type="dxa" w:w="16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100%</w:t>
            </w:r>
          </w:p>
        </w:tc>
        <w:tc>
          <w:tcPr>
            <w:tcW w:type="dxa" w:w="16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0%</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Surepass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Bank Account Verification</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12,588</w:t>
            </w:r>
          </w:p>
        </w:tc>
        <w:tc>
          <w:tcPr>
            <w:tcW w:type="dxa" w:w="1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100%</w:t>
            </w:r>
          </w:p>
        </w:tc>
        <w:tc>
          <w:tcPr>
            <w:tcW w:type="dxa" w:w="1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0%</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Surepass</w:t>
            </w:r>
          </w:p>
        </w:tc>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PAN Verification</w:t>
            </w:r>
          </w:p>
        </w:tc>
        <w:tc>
          <w:tcPr>
            <w:tcW w:type="dxa" w:w="1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27,236</w:t>
            </w:r>
          </w:p>
        </w:tc>
        <w:tc>
          <w:tcPr>
            <w:tcW w:type="dxa" w:w="16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100%</w:t>
            </w:r>
          </w:p>
        </w:tc>
        <w:tc>
          <w:tcPr>
            <w:tcW w:type="dxa" w:w="16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0%</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Surepass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Face Liveness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6,948</w:t>
            </w:r>
          </w:p>
        </w:tc>
        <w:tc>
          <w:tcPr>
            <w:tcW w:type="dxa" w:w="1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100%</w:t>
            </w:r>
          </w:p>
        </w:tc>
        <w:tc>
          <w:tcPr>
            <w:tcW w:type="dxa" w:w="1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0%</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Sandbox</w:t>
            </w:r>
          </w:p>
        </w:tc>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Aadhaar Verification</w:t>
            </w:r>
          </w:p>
        </w:tc>
        <w:tc>
          <w:tcPr>
            <w:tcW w:type="dxa" w:w="1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12,010</w:t>
            </w:r>
          </w:p>
        </w:tc>
        <w:tc>
          <w:tcPr>
            <w:tcW w:type="dxa" w:w="16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98.56%</w:t>
            </w:r>
          </w:p>
        </w:tc>
        <w:tc>
          <w:tcPr>
            <w:tcW w:type="dxa" w:w="16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1.44%</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Sandbox</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PAN Verification</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4,174</w:t>
            </w:r>
          </w:p>
        </w:tc>
        <w:tc>
          <w:tcPr>
            <w:tcW w:type="dxa" w:w="1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89.67%</w:t>
            </w:r>
          </w:p>
        </w:tc>
        <w:tc>
          <w:tcPr>
            <w:tcW w:type="dxa" w:w="1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10.33%</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Sandbox</w:t>
            </w:r>
          </w:p>
        </w:tc>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Bank Account Verification</w:t>
            </w:r>
          </w:p>
        </w:tc>
        <w:tc>
          <w:tcPr>
            <w:tcW w:type="dxa" w:w="1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55</w:t>
            </w:r>
          </w:p>
        </w:tc>
        <w:tc>
          <w:tcPr>
            <w:tcW w:type="dxa" w:w="16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100%</w:t>
            </w:r>
          </w:p>
        </w:tc>
        <w:tc>
          <w:tcPr>
            <w:tcW w:type="dxa" w:w="16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0%</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AWS Rekognition</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Compare Faces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524</w:t>
            </w:r>
          </w:p>
        </w:tc>
        <w:tc>
          <w:tcPr>
            <w:tcW w:type="dxa" w:w="1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98.85%</w:t>
            </w:r>
          </w:p>
        </w:tc>
        <w:tc>
          <w:tcPr>
            <w:tcW w:type="dxa" w:w="1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1.15%</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AWS Rekognition</w:t>
            </w:r>
          </w:p>
        </w:tc>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Detect Faces</w:t>
            </w:r>
          </w:p>
        </w:tc>
        <w:tc>
          <w:tcPr>
            <w:tcW w:type="dxa" w:w="1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536</w:t>
            </w:r>
          </w:p>
        </w:tc>
        <w:tc>
          <w:tcPr>
            <w:tcW w:type="dxa" w:w="16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99.81%</w:t>
            </w:r>
          </w:p>
        </w:tc>
        <w:tc>
          <w:tcPr>
            <w:tcW w:type="dxa" w:w="16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0.19%</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AWS Rekognition</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Create Liveness Session</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13</w:t>
            </w:r>
          </w:p>
        </w:tc>
        <w:tc>
          <w:tcPr>
            <w:tcW w:type="dxa" w:w="1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7.69%</w:t>
            </w:r>
          </w:p>
        </w:tc>
        <w:tc>
          <w:tcPr>
            <w:tcW w:type="dxa" w:w="1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92.31%</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Credit Bureau</w:t>
            </w:r>
          </w:p>
        </w:tc>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Credit Bureau</w:t>
            </w:r>
          </w:p>
        </w:tc>
        <w:tc>
          <w:tcPr>
            <w:tcW w:type="dxa" w:w="1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21,529</w:t>
            </w:r>
          </w:p>
        </w:tc>
        <w:tc>
          <w:tcPr>
            <w:tcW w:type="dxa" w:w="16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22.90%</w:t>
            </w:r>
          </w:p>
        </w:tc>
        <w:tc>
          <w:tcPr>
            <w:tcW w:type="dxa" w:w="16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77.10%</w:t>
            </w:r>
          </w:p>
        </w:tc>
      </w:tr>
    </w:tbl>
    <w:p>
      <w:pPr>
        <w:spacing w:before="60"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0"/>
        <w:gridCol w:w="8840"/>
      </w:tblGrid>
      <w:tr>
        <w:tc>
          <w:tcPr>
            <w:tcW w:type="dxa" w:w="1240"/>
            <w:tcBorders>
              <w:top w:val="none" w:color="FFFFFF" w:sz="0"/>
              <w:left w:val="none" w:color="FFFFFF" w:sz="0"/>
              <w:bottom w:val="none" w:color="FFFFFF" w:sz="0"/>
              <w:right w:val="none" w:color="FFFFFF" w:sz="0"/>
            </w:tcBorders>
            <w:shd w:fill="2563EB" w:val="clear"/>
            <w:tcMar>
              <w:top w:type="dxa" w:w="120"/>
              <w:left w:type="dxa" w:w="60"/>
              <w:bottom w:type="dxa" w:w="120"/>
              <w:right w:type="dxa" w:w="60"/>
            </w:tcMar>
          </w:tcPr>
          <w:p>
            <w:pPr>
              <w:spacing w:before="0" w:after="16" w:line="288"/>
              <w:jc w:val="center"/>
            </w:pPr>
            <w:r>
              <w:rPr>
                <w:rFonts w:ascii="Arial" w:cs="Arial" w:eastAsia="Arial" w:hAnsi="Arial"/>
                <w:b/>
                <w:bCs/>
                <w:color w:val="FFFFFF"/>
                <w:sz w:val="15"/>
                <w:szCs w:val="15"/>
              </w:rPr>
              <w:t xml:space="preserve">TAB 2</w:t>
            </w:r>
          </w:p>
          <w:p>
            <w:pPr>
              <w:spacing w:before="0" w:after="80" w:line="288"/>
              <w:jc w:val="center"/>
            </w:pPr>
            <w:r>
              <w:rPr>
                <w:rFonts w:ascii="Arial" w:cs="Arial" w:eastAsia="Arial" w:hAnsi="Arial"/>
                <w:b/>
                <w:bCs/>
                <w:color w:val="FFFFFF"/>
                <w:sz w:val="17"/>
                <w:szCs w:val="17"/>
              </w:rPr>
              <w:t xml:space="preserve">Provider Performance
&amp; Cost</w:t>
            </w:r>
          </w:p>
        </w:tc>
        <w:tc>
          <w:tcPr>
            <w:tcW w:type="dxa" w:w="884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before="0" w:after="80" w:line="300"/>
              <w:jc w:val="left"/>
            </w:pPr>
            <w:r>
              <w:rPr>
                <w:rFonts w:ascii="Arial" w:cs="Arial" w:eastAsia="Arial" w:hAnsi="Arial"/>
                <w:color w:val="475569"/>
                <w:sz w:val="19"/>
                <w:szCs w:val="19"/>
              </w:rPr>
              <w:t xml:space="preserve">Compares all providers on a single scorecard and maps the active service configuration including priority routing, cost per call, and retry settings. The Provider Comparison Matrix confirms Surepass as the clear leader: 60,784 calls, 100% success, 0 failures across 4 services. Sandbox handles 16,239 calls at 96.28% success (604 failures across 3 services). AWS Rekognition covers 1,073 calls at 98.23% success (19 failures). Credit Bureau is last with 22.9% success across 21,529 calls.</w:t>
            </w:r>
          </w:p>
          <w:p>
            <w:pPr>
              <w:spacing w:before="40" w:after="80" w:line="300"/>
              <w:jc w:val="left"/>
            </w:pPr>
            <w:r>
              <w:rPr>
                <w:rFonts w:ascii="Arial" w:cs="Arial" w:eastAsia="Arial" w:hAnsi="Arial"/>
                <w:color w:val="475569"/>
                <w:sz w:val="19"/>
                <w:szCs w:val="19"/>
              </w:rPr>
              <w:t xml:space="preserve">The Active Provider Configuration table reveals the routing logic: for Aadhaar Verification, Surepass is Priority 1 (₹3/call) with Sandbox as Priority 2 fallback (₹0/call). For PAN Verification, Surepass is Priority 1 (₹3/call) with Sandbox at Priority 2 (₹0.5/call). For Bank Account Verification, Sandbox (Priority 1, ₹1.75/call) is currently inactive — Surepass (Priority 2, ₹4/call) is the only active route. All API cost fields currently show ₹0 total spend, indicating the cost tracking pipeline is not yet recording actuals. The Daily API Cost Trend section shows no results for the same reason.</w:t>
            </w:r>
          </w:p>
        </w:tc>
      </w:tr>
    </w:tbl>
    <w:p>
      <w:pPr>
        <w:spacing w:before="36" w:after="80" w:line="288"/>
        <w:jc w:val="left"/>
      </w:pPr>
      <w:r>
        <w:rPr>
          <w:rFonts w:ascii="Arial" w:cs="Arial" w:eastAsia="Arial" w:hAnsi="Arial"/>
          <w:color w:val="1B3A6B"/>
          <w:sz w:val="20"/>
          <w:szCs w:val="20"/>
        </w:rPr>
        <w:t xml:space="preserve"/>
      </w:r>
    </w:p>
    <w:p>
      <w:pPr>
        <w:spacing w:before="40" w:after="80" w:line="288"/>
        <w:jc w:val="left"/>
      </w:pPr>
      <w:r>
        <w:rPr>
          <w:rFonts w:ascii="Arial" w:cs="Arial" w:eastAsia="Arial" w:hAnsi="Arial"/>
          <w:color w:val="1B3A6B"/>
          <w:sz w:val="20"/>
          <w:szCs w:val="20"/>
        </w:rPr>
        <w:t xml:space="preserve"/>
      </w:r>
    </w:p>
    <w:p>
      <w:pPr>
        <w:spacing w:before="0" w:after="40" w:line="288"/>
        <w:jc w:val="left"/>
      </w:pPr>
      <w:r>
        <w:rPr>
          <w:rFonts w:ascii="Arial" w:cs="Arial" w:eastAsia="Arial" w:hAnsi="Arial"/>
          <w:b/>
          <w:bCs/>
          <w:color w:val="1B3A6B"/>
          <w:sz w:val="20"/>
          <w:szCs w:val="20"/>
        </w:rPr>
        <w:t xml:space="preserve">Provider Comparison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960"/>
        <w:gridCol w:w="1960"/>
        <w:gridCol w:w="1960"/>
        <w:gridCol w:w="1680"/>
      </w:tblGrid>
      <w:tr>
        <w:tc>
          <w:tcPr>
            <w:tcW w:type="dxa" w:w="2520"/>
            <w:tcBorders>
              <w:top w:val="none" w:color="FFFFFF" w:sz="0"/>
              <w:left w:val="none" w:color="FFFFFF" w:sz="0"/>
              <w:bottom w:val="none" w:color="FFFFFF" w:sz="0"/>
              <w:right w:val="none" w:color="FFFFFF" w:sz="0"/>
            </w:tcBorders>
            <w:shd w:fill="2563EB" w:val="clear"/>
            <w:tcMar>
              <w:top w:type="dxa" w:w="72"/>
              <w:left w:type="dxa" w:w="120"/>
              <w:bottom w:type="dxa" w:w="72"/>
              <w:right w:type="dxa" w:w="120"/>
            </w:tcMar>
          </w:tcPr>
          <w:p>
            <w:pPr>
              <w:spacing w:before="0" w:after="80" w:line="288"/>
              <w:jc w:val="left"/>
            </w:pPr>
            <w:r>
              <w:rPr>
                <w:rFonts w:ascii="Arial" w:cs="Arial" w:eastAsia="Arial" w:hAnsi="Arial"/>
                <w:b/>
                <w:bCs/>
                <w:color w:val="FFFFFF"/>
                <w:sz w:val="18"/>
                <w:szCs w:val="18"/>
              </w:rPr>
              <w:t xml:space="preserve">Provider</w:t>
            </w:r>
          </w:p>
        </w:tc>
        <w:tc>
          <w:tcPr>
            <w:tcW w:type="dxa" w:w="1960"/>
            <w:tcBorders>
              <w:top w:val="none" w:color="FFFFFF" w:sz="0"/>
              <w:left w:val="none" w:color="FFFFFF" w:sz="0"/>
              <w:bottom w:val="none" w:color="FFFFFF" w:sz="0"/>
              <w:right w:val="none" w:color="FFFFFF" w:sz="0"/>
            </w:tcBorders>
            <w:shd w:fill="2563EB" w:val="clear"/>
            <w:tcMar>
              <w:top w:type="dxa" w:w="72"/>
              <w:left w:type="dxa" w:w="120"/>
              <w:bottom w:type="dxa" w:w="72"/>
              <w:right w:type="dxa" w:w="120"/>
            </w:tcMar>
          </w:tcPr>
          <w:p>
            <w:pPr>
              <w:spacing w:before="0" w:after="80" w:line="288"/>
              <w:jc w:val="left"/>
            </w:pPr>
            <w:r>
              <w:rPr>
                <w:rFonts w:ascii="Arial" w:cs="Arial" w:eastAsia="Arial" w:hAnsi="Arial"/>
                <w:b/>
                <w:bCs/>
                <w:color w:val="FFFFFF"/>
                <w:sz w:val="18"/>
                <w:szCs w:val="18"/>
              </w:rPr>
              <w:t xml:space="preserve">Total Calls</w:t>
            </w:r>
          </w:p>
        </w:tc>
        <w:tc>
          <w:tcPr>
            <w:tcW w:type="dxa" w:w="1960"/>
            <w:tcBorders>
              <w:top w:val="none" w:color="FFFFFF" w:sz="0"/>
              <w:left w:val="none" w:color="FFFFFF" w:sz="0"/>
              <w:bottom w:val="none" w:color="FFFFFF" w:sz="0"/>
              <w:right w:val="none" w:color="FFFFFF" w:sz="0"/>
            </w:tcBorders>
            <w:shd w:fill="2563EB" w:val="clear"/>
            <w:tcMar>
              <w:top w:type="dxa" w:w="72"/>
              <w:left w:type="dxa" w:w="120"/>
              <w:bottom w:type="dxa" w:w="72"/>
              <w:right w:type="dxa" w:w="120"/>
            </w:tcMar>
          </w:tcPr>
          <w:p>
            <w:pPr>
              <w:spacing w:before="0" w:after="80" w:line="288"/>
              <w:jc w:val="left"/>
            </w:pPr>
            <w:r>
              <w:rPr>
                <w:rFonts w:ascii="Arial" w:cs="Arial" w:eastAsia="Arial" w:hAnsi="Arial"/>
                <w:b/>
                <w:bCs/>
                <w:color w:val="FFFFFF"/>
                <w:sz w:val="18"/>
                <w:szCs w:val="18"/>
              </w:rPr>
              <w:t xml:space="preserve">Success Rate</w:t>
            </w:r>
          </w:p>
        </w:tc>
        <w:tc>
          <w:tcPr>
            <w:tcW w:type="dxa" w:w="1960"/>
            <w:tcBorders>
              <w:top w:val="none" w:color="FFFFFF" w:sz="0"/>
              <w:left w:val="none" w:color="FFFFFF" w:sz="0"/>
              <w:bottom w:val="none" w:color="FFFFFF" w:sz="0"/>
              <w:right w:val="none" w:color="FFFFFF" w:sz="0"/>
            </w:tcBorders>
            <w:shd w:fill="2563EB" w:val="clear"/>
            <w:tcMar>
              <w:top w:type="dxa" w:w="72"/>
              <w:left w:type="dxa" w:w="120"/>
              <w:bottom w:type="dxa" w:w="72"/>
              <w:right w:type="dxa" w:w="120"/>
            </w:tcMar>
          </w:tcPr>
          <w:p>
            <w:pPr>
              <w:spacing w:before="0" w:after="80" w:line="288"/>
              <w:jc w:val="left"/>
            </w:pPr>
            <w:r>
              <w:rPr>
                <w:rFonts w:ascii="Arial" w:cs="Arial" w:eastAsia="Arial" w:hAnsi="Arial"/>
                <w:b/>
                <w:bCs/>
                <w:color w:val="FFFFFF"/>
                <w:sz w:val="18"/>
                <w:szCs w:val="18"/>
              </w:rPr>
              <w:t xml:space="preserve">Failed Calls</w:t>
            </w:r>
          </w:p>
        </w:tc>
        <w:tc>
          <w:tcPr>
            <w:tcW w:type="dxa" w:w="1680"/>
            <w:tcBorders>
              <w:top w:val="none" w:color="FFFFFF" w:sz="0"/>
              <w:left w:val="none" w:color="FFFFFF" w:sz="0"/>
              <w:bottom w:val="none" w:color="FFFFFF" w:sz="0"/>
              <w:right w:val="none" w:color="FFFFFF" w:sz="0"/>
            </w:tcBorders>
            <w:shd w:fill="2563EB" w:val="clear"/>
            <w:tcMar>
              <w:top w:type="dxa" w:w="72"/>
              <w:left w:type="dxa" w:w="120"/>
              <w:bottom w:type="dxa" w:w="72"/>
              <w:right w:type="dxa" w:w="120"/>
            </w:tcMar>
          </w:tcPr>
          <w:p>
            <w:pPr>
              <w:spacing w:before="0" w:after="80" w:line="288"/>
              <w:jc w:val="left"/>
            </w:pPr>
            <w:r>
              <w:rPr>
                <w:rFonts w:ascii="Arial" w:cs="Arial" w:eastAsia="Arial" w:hAnsi="Arial"/>
                <w:b/>
                <w:bCs/>
                <w:color w:val="FFFFFF"/>
                <w:sz w:val="18"/>
                <w:szCs w:val="18"/>
              </w:rPr>
              <w:t xml:space="preserve">Services</w:t>
            </w:r>
          </w:p>
        </w:tc>
      </w:tr>
      <w:tr>
        <w:tc>
          <w:tcPr>
            <w:tcW w:type="dxa" w:w="252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Surepass</w:t>
            </w:r>
          </w:p>
        </w:tc>
        <w:tc>
          <w:tcPr>
            <w:tcW w:type="dxa" w:w="1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60,784</w:t>
            </w:r>
          </w:p>
        </w:tc>
        <w:tc>
          <w:tcPr>
            <w:tcW w:type="dxa" w:w="1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100%</w:t>
            </w:r>
          </w:p>
        </w:tc>
        <w:tc>
          <w:tcPr>
            <w:tcW w:type="dxa" w:w="1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0</w:t>
            </w:r>
          </w:p>
        </w:tc>
        <w:tc>
          <w:tcPr>
            <w:tcW w:type="dxa" w:w="16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4</w:t>
            </w:r>
          </w:p>
        </w:tc>
      </w:tr>
      <w:tr>
        <w:tc>
          <w:tcPr>
            <w:tcW w:type="dxa" w:w="25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Sandbox</w:t>
            </w:r>
          </w:p>
        </w:tc>
        <w:tc>
          <w:tcPr>
            <w:tcW w:type="dxa" w:w="1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16,239</w:t>
            </w:r>
          </w:p>
        </w:tc>
        <w:tc>
          <w:tcPr>
            <w:tcW w:type="dxa" w:w="1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96.28%</w:t>
            </w:r>
          </w:p>
        </w:tc>
        <w:tc>
          <w:tcPr>
            <w:tcW w:type="dxa" w:w="1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604</w:t>
            </w:r>
          </w:p>
        </w:tc>
        <w:tc>
          <w:tcPr>
            <w:tcW w:type="dxa" w:w="1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3</w:t>
            </w:r>
          </w:p>
        </w:tc>
      </w:tr>
      <w:tr>
        <w:tc>
          <w:tcPr>
            <w:tcW w:type="dxa" w:w="252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AWS Rekognition</w:t>
            </w:r>
          </w:p>
        </w:tc>
        <w:tc>
          <w:tcPr>
            <w:tcW w:type="dxa" w:w="1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1,073</w:t>
            </w:r>
          </w:p>
        </w:tc>
        <w:tc>
          <w:tcPr>
            <w:tcW w:type="dxa" w:w="1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98.23%</w:t>
            </w:r>
          </w:p>
        </w:tc>
        <w:tc>
          <w:tcPr>
            <w:tcW w:type="dxa" w:w="1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19</w:t>
            </w:r>
          </w:p>
        </w:tc>
        <w:tc>
          <w:tcPr>
            <w:tcW w:type="dxa" w:w="16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3</w:t>
            </w:r>
          </w:p>
        </w:tc>
      </w:tr>
      <w:tr>
        <w:tc>
          <w:tcPr>
            <w:tcW w:type="dxa" w:w="25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Credit Bureau</w:t>
            </w:r>
          </w:p>
        </w:tc>
        <w:tc>
          <w:tcPr>
            <w:tcW w:type="dxa" w:w="1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21,529</w:t>
            </w:r>
          </w:p>
        </w:tc>
        <w:tc>
          <w:tcPr>
            <w:tcW w:type="dxa" w:w="1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22.9%</w:t>
            </w:r>
          </w:p>
        </w:tc>
        <w:tc>
          <w:tcPr>
            <w:tcW w:type="dxa" w:w="1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16,598</w:t>
            </w:r>
          </w:p>
        </w:tc>
        <w:tc>
          <w:tcPr>
            <w:tcW w:type="dxa" w:w="1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1</w:t>
            </w:r>
          </w:p>
        </w:tc>
      </w:tr>
    </w:tbl>
    <w:p>
      <w:pPr>
        <w:spacing w:before="40" w:after="80" w:line="288"/>
        <w:jc w:val="left"/>
      </w:pPr>
      <w:r>
        <w:rPr>
          <w:rFonts w:ascii="Arial" w:cs="Arial" w:eastAsia="Arial" w:hAnsi="Arial"/>
          <w:color w:val="1B3A6B"/>
          <w:sz w:val="20"/>
          <w:szCs w:val="20"/>
        </w:rPr>
        <w:t xml:space="preserve"/>
      </w:r>
    </w:p>
    <w:p>
      <w:pPr>
        <w:spacing w:before="0" w:after="40" w:line="288"/>
        <w:jc w:val="left"/>
      </w:pPr>
      <w:r>
        <w:rPr>
          <w:rFonts w:ascii="Arial" w:cs="Arial" w:eastAsia="Arial" w:hAnsi="Arial"/>
          <w:b/>
          <w:bCs/>
          <w:color w:val="1B3A6B"/>
          <w:sz w:val="20"/>
          <w:szCs w:val="20"/>
        </w:rPr>
        <w:t xml:space="preserve">Active Provider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960"/>
        <w:gridCol w:w="960"/>
        <w:gridCol w:w="1200"/>
        <w:gridCol w:w="1280"/>
      </w:tblGrid>
      <w:tr>
        <w:tc>
          <w:tcPr>
            <w:tcW w:type="dxa" w:w="3000"/>
            <w:tcBorders>
              <w:top w:val="none" w:color="FFFFFF" w:sz="0"/>
              <w:left w:val="none" w:color="FFFFFF" w:sz="0"/>
              <w:bottom w:val="none" w:color="FFFFFF" w:sz="0"/>
              <w:right w:val="none" w:color="FFFFFF" w:sz="0"/>
            </w:tcBorders>
            <w:shd w:fill="2563EB" w:val="clear"/>
            <w:tcMar>
              <w:top w:type="dxa" w:w="72"/>
              <w:left w:type="dxa" w:w="120"/>
              <w:bottom w:type="dxa" w:w="72"/>
              <w:right w:type="dxa" w:w="120"/>
            </w:tcMar>
          </w:tcPr>
          <w:p>
            <w:pPr>
              <w:spacing w:before="0" w:after="80" w:line="288"/>
              <w:jc w:val="left"/>
            </w:pPr>
            <w:r>
              <w:rPr>
                <w:rFonts w:ascii="Arial" w:cs="Arial" w:eastAsia="Arial" w:hAnsi="Arial"/>
                <w:b/>
                <w:bCs/>
                <w:color w:val="FFFFFF"/>
                <w:sz w:val="18"/>
                <w:szCs w:val="18"/>
              </w:rPr>
              <w:t xml:space="preserve">Service</w:t>
            </w:r>
          </w:p>
        </w:tc>
        <w:tc>
          <w:tcPr>
            <w:tcW w:type="dxa" w:w="1680"/>
            <w:tcBorders>
              <w:top w:val="none" w:color="FFFFFF" w:sz="0"/>
              <w:left w:val="none" w:color="FFFFFF" w:sz="0"/>
              <w:bottom w:val="none" w:color="FFFFFF" w:sz="0"/>
              <w:right w:val="none" w:color="FFFFFF" w:sz="0"/>
            </w:tcBorders>
            <w:shd w:fill="2563EB" w:val="clear"/>
            <w:tcMar>
              <w:top w:type="dxa" w:w="72"/>
              <w:left w:type="dxa" w:w="120"/>
              <w:bottom w:type="dxa" w:w="72"/>
              <w:right w:type="dxa" w:w="120"/>
            </w:tcMar>
          </w:tcPr>
          <w:p>
            <w:pPr>
              <w:spacing w:before="0" w:after="80" w:line="288"/>
              <w:jc w:val="left"/>
            </w:pPr>
            <w:r>
              <w:rPr>
                <w:rFonts w:ascii="Arial" w:cs="Arial" w:eastAsia="Arial" w:hAnsi="Arial"/>
                <w:b/>
                <w:bCs/>
                <w:color w:val="FFFFFF"/>
                <w:sz w:val="18"/>
                <w:szCs w:val="18"/>
              </w:rPr>
              <w:t xml:space="preserve">Provider</w:t>
            </w:r>
          </w:p>
        </w:tc>
        <w:tc>
          <w:tcPr>
            <w:tcW w:type="dxa" w:w="960"/>
            <w:tcBorders>
              <w:top w:val="none" w:color="FFFFFF" w:sz="0"/>
              <w:left w:val="none" w:color="FFFFFF" w:sz="0"/>
              <w:bottom w:val="none" w:color="FFFFFF" w:sz="0"/>
              <w:right w:val="none" w:color="FFFFFF" w:sz="0"/>
            </w:tcBorders>
            <w:shd w:fill="2563EB" w:val="clear"/>
            <w:tcMar>
              <w:top w:type="dxa" w:w="72"/>
              <w:left w:type="dxa" w:w="120"/>
              <w:bottom w:type="dxa" w:w="72"/>
              <w:right w:type="dxa" w:w="120"/>
            </w:tcMar>
          </w:tcPr>
          <w:p>
            <w:pPr>
              <w:spacing w:before="0" w:after="80" w:line="288"/>
              <w:jc w:val="left"/>
            </w:pPr>
            <w:r>
              <w:rPr>
                <w:rFonts w:ascii="Arial" w:cs="Arial" w:eastAsia="Arial" w:hAnsi="Arial"/>
                <w:b/>
                <w:bCs/>
                <w:color w:val="FFFFFF"/>
                <w:sz w:val="18"/>
                <w:szCs w:val="18"/>
              </w:rPr>
              <w:t xml:space="preserve">Active</w:t>
            </w:r>
          </w:p>
        </w:tc>
        <w:tc>
          <w:tcPr>
            <w:tcW w:type="dxa" w:w="960"/>
            <w:tcBorders>
              <w:top w:val="none" w:color="FFFFFF" w:sz="0"/>
              <w:left w:val="none" w:color="FFFFFF" w:sz="0"/>
              <w:bottom w:val="none" w:color="FFFFFF" w:sz="0"/>
              <w:right w:val="none" w:color="FFFFFF" w:sz="0"/>
            </w:tcBorders>
            <w:shd w:fill="2563EB" w:val="clear"/>
            <w:tcMar>
              <w:top w:type="dxa" w:w="72"/>
              <w:left w:type="dxa" w:w="120"/>
              <w:bottom w:type="dxa" w:w="72"/>
              <w:right w:type="dxa" w:w="120"/>
            </w:tcMar>
          </w:tcPr>
          <w:p>
            <w:pPr>
              <w:spacing w:before="0" w:after="80" w:line="288"/>
              <w:jc w:val="left"/>
            </w:pPr>
            <w:r>
              <w:rPr>
                <w:rFonts w:ascii="Arial" w:cs="Arial" w:eastAsia="Arial" w:hAnsi="Arial"/>
                <w:b/>
                <w:bCs/>
                <w:color w:val="FFFFFF"/>
                <w:sz w:val="18"/>
                <w:szCs w:val="18"/>
              </w:rPr>
              <w:t xml:space="preserve">Priority</w:t>
            </w:r>
          </w:p>
        </w:tc>
        <w:tc>
          <w:tcPr>
            <w:tcW w:type="dxa" w:w="1200"/>
            <w:tcBorders>
              <w:top w:val="none" w:color="FFFFFF" w:sz="0"/>
              <w:left w:val="none" w:color="FFFFFF" w:sz="0"/>
              <w:bottom w:val="none" w:color="FFFFFF" w:sz="0"/>
              <w:right w:val="none" w:color="FFFFFF" w:sz="0"/>
            </w:tcBorders>
            <w:shd w:fill="2563EB" w:val="clear"/>
            <w:tcMar>
              <w:top w:type="dxa" w:w="72"/>
              <w:left w:type="dxa" w:w="120"/>
              <w:bottom w:type="dxa" w:w="72"/>
              <w:right w:type="dxa" w:w="120"/>
            </w:tcMar>
          </w:tcPr>
          <w:p>
            <w:pPr>
              <w:spacing w:before="0" w:after="80" w:line="288"/>
              <w:jc w:val="left"/>
            </w:pPr>
            <w:r>
              <w:rPr>
                <w:rFonts w:ascii="Arial" w:cs="Arial" w:eastAsia="Arial" w:hAnsi="Arial"/>
                <w:b/>
                <w:bCs/>
                <w:color w:val="FFFFFF"/>
                <w:sz w:val="18"/>
                <w:szCs w:val="18"/>
              </w:rPr>
              <w:t xml:space="preserve">Cost/Call</w:t>
            </w:r>
          </w:p>
        </w:tc>
        <w:tc>
          <w:tcPr>
            <w:tcW w:type="dxa" w:w="1280"/>
            <w:tcBorders>
              <w:top w:val="none" w:color="FFFFFF" w:sz="0"/>
              <w:left w:val="none" w:color="FFFFFF" w:sz="0"/>
              <w:bottom w:val="none" w:color="FFFFFF" w:sz="0"/>
              <w:right w:val="none" w:color="FFFFFF" w:sz="0"/>
            </w:tcBorders>
            <w:shd w:fill="2563EB" w:val="clear"/>
            <w:tcMar>
              <w:top w:type="dxa" w:w="72"/>
              <w:left w:type="dxa" w:w="120"/>
              <w:bottom w:type="dxa" w:w="72"/>
              <w:right w:type="dxa" w:w="120"/>
            </w:tcMar>
          </w:tcPr>
          <w:p>
            <w:pPr>
              <w:spacing w:before="0" w:after="80" w:line="288"/>
              <w:jc w:val="left"/>
            </w:pPr>
            <w:r>
              <w:rPr>
                <w:rFonts w:ascii="Arial" w:cs="Arial" w:eastAsia="Arial" w:hAnsi="Arial"/>
                <w:b/>
                <w:bCs/>
                <w:color w:val="FFFFFF"/>
                <w:sz w:val="18"/>
                <w:szCs w:val="18"/>
              </w:rPr>
              <w:t xml:space="preserve">Timeout</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Aadhaar Verification</w:t>
            </w:r>
          </w:p>
        </w:tc>
        <w:tc>
          <w:tcPr>
            <w:tcW w:type="dxa" w:w="16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Surepass</w:t>
            </w:r>
          </w:p>
        </w:tc>
        <w:tc>
          <w:tcPr>
            <w:tcW w:type="dxa" w:w="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Yes</w:t>
            </w:r>
          </w:p>
        </w:tc>
        <w:tc>
          <w:tcPr>
            <w:tcW w:type="dxa" w:w="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1</w:t>
            </w:r>
          </w:p>
        </w:tc>
        <w:tc>
          <w:tcPr>
            <w:tcW w:type="dxa" w:w="1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₹3.00</w:t>
            </w:r>
          </w:p>
        </w:tc>
        <w:tc>
          <w:tcPr>
            <w:tcW w:type="dxa" w:w="12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8,000ms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Aadhaar Verification</w:t>
            </w:r>
          </w:p>
        </w:tc>
        <w:tc>
          <w:tcPr>
            <w:tcW w:type="dxa" w:w="1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Sandbox</w:t>
            </w:r>
          </w:p>
        </w:tc>
        <w:tc>
          <w:tcPr>
            <w:tcW w:type="dxa" w:w="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Yes</w:t>
            </w:r>
          </w:p>
        </w:tc>
        <w:tc>
          <w:tcPr>
            <w:tcW w:type="dxa" w:w="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2</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₹0</w:t>
            </w:r>
          </w:p>
        </w:tc>
        <w:tc>
          <w:tcPr>
            <w:tcW w:type="dxa" w:w="1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8,000ms</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Bank Account Verification</w:t>
            </w:r>
          </w:p>
        </w:tc>
        <w:tc>
          <w:tcPr>
            <w:tcW w:type="dxa" w:w="16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Sandbox</w:t>
            </w:r>
          </w:p>
        </w:tc>
        <w:tc>
          <w:tcPr>
            <w:tcW w:type="dxa" w:w="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No</w:t>
            </w:r>
          </w:p>
        </w:tc>
        <w:tc>
          <w:tcPr>
            <w:tcW w:type="dxa" w:w="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1</w:t>
            </w:r>
          </w:p>
        </w:tc>
        <w:tc>
          <w:tcPr>
            <w:tcW w:type="dxa" w:w="1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₹1.75</w:t>
            </w:r>
          </w:p>
        </w:tc>
        <w:tc>
          <w:tcPr>
            <w:tcW w:type="dxa" w:w="12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8,000ms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Bank Account Verification</w:t>
            </w:r>
          </w:p>
        </w:tc>
        <w:tc>
          <w:tcPr>
            <w:tcW w:type="dxa" w:w="1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Surepass</w:t>
            </w:r>
          </w:p>
        </w:tc>
        <w:tc>
          <w:tcPr>
            <w:tcW w:type="dxa" w:w="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Yes</w:t>
            </w:r>
          </w:p>
        </w:tc>
        <w:tc>
          <w:tcPr>
            <w:tcW w:type="dxa" w:w="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2</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₹4.00</w:t>
            </w:r>
          </w:p>
        </w:tc>
        <w:tc>
          <w:tcPr>
            <w:tcW w:type="dxa" w:w="1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8,000ms</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PAN Verification</w:t>
            </w:r>
          </w:p>
        </w:tc>
        <w:tc>
          <w:tcPr>
            <w:tcW w:type="dxa" w:w="16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Surepass</w:t>
            </w:r>
          </w:p>
        </w:tc>
        <w:tc>
          <w:tcPr>
            <w:tcW w:type="dxa" w:w="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Yes</w:t>
            </w:r>
          </w:p>
        </w:tc>
        <w:tc>
          <w:tcPr>
            <w:tcW w:type="dxa" w:w="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1</w:t>
            </w:r>
          </w:p>
        </w:tc>
        <w:tc>
          <w:tcPr>
            <w:tcW w:type="dxa" w:w="1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₹3.00</w:t>
            </w:r>
          </w:p>
        </w:tc>
        <w:tc>
          <w:tcPr>
            <w:tcW w:type="dxa" w:w="12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10,000ms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PAN Verification</w:t>
            </w:r>
          </w:p>
        </w:tc>
        <w:tc>
          <w:tcPr>
            <w:tcW w:type="dxa" w:w="1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Sandbox</w:t>
            </w:r>
          </w:p>
        </w:tc>
        <w:tc>
          <w:tcPr>
            <w:tcW w:type="dxa" w:w="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Yes</w:t>
            </w:r>
          </w:p>
        </w:tc>
        <w:tc>
          <w:tcPr>
            <w:tcW w:type="dxa" w:w="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2</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₹0.50</w:t>
            </w:r>
          </w:p>
        </w:tc>
        <w:tc>
          <w:tcPr>
            <w:tcW w:type="dxa" w:w="1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before="0" w:after="80" w:line="288"/>
              <w:jc w:val="left"/>
            </w:pPr>
            <w:r>
              <w:rPr>
                <w:rFonts w:ascii="Arial" w:cs="Arial" w:eastAsia="Arial" w:hAnsi="Arial"/>
                <w:color w:val="1B3A6B"/>
                <w:sz w:val="18"/>
                <w:szCs w:val="18"/>
              </w:rPr>
              <w:t xml:space="preserve">10,000ms</w:t>
            </w:r>
          </w:p>
        </w:tc>
      </w:tr>
    </w:tbl>
    <w:p>
      <w:pPr>
        <w:spacing w:before="60" w:after="80" w:line="288"/>
        <w:jc w:val="left"/>
      </w:pPr>
      <w:r>
        <w:rPr>
          <w:rFonts w:ascii="Arial" w:cs="Arial" w:eastAsia="Arial" w:hAnsi="Arial"/>
          <w:color w:val="1B3A6B"/>
          <w:sz w:val="20"/>
          <w:szCs w:val="20"/>
        </w:rPr>
        <w:t xml:space="preserve"/>
      </w:r>
    </w:p>
    <w:p>
      <w:pPr>
        <w:pBdr>
          <w:bottom w:val="single" w:color="2563EB" w:sz="6" w:space="1"/>
        </w:pBdr>
        <w:spacing w:before="0" w:after="56" w:line="288"/>
        <w:jc w:val="left"/>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160"/>
              <w:left w:type="dxa" w:w="280"/>
              <w:bottom w:type="dxa" w:w="160"/>
              <w:right w:type="dxa" w:w="160"/>
            </w:tcMar>
          </w:tcPr>
          <w:p>
            <w:pPr>
              <w:spacing w:before="0" w:after="80" w:line="288"/>
              <w:jc w:val="left"/>
            </w:pPr>
            <w:r>
              <w:rPr>
                <w:rFonts w:ascii="Arial" w:cs="Arial" w:eastAsia="Arial" w:hAnsi="Arial"/>
                <w:b/>
                <w:bCs/>
                <w:color w:val="FFFFFF"/>
                <w:sz w:val="24"/>
                <w:szCs w:val="24"/>
              </w:rPr>
              <w:t xml:space="preserve">How This Dashboard Helps Operations</w:t>
            </w:r>
          </w:p>
        </w:tc>
      </w:tr>
    </w:tbl>
    <w:p>
      <w:pPr>
        <w:spacing w:before="48" w:after="80" w:line="288"/>
        <w:jc w:val="left"/>
      </w:pPr>
      <w:r>
        <w:rPr>
          <w:rFonts w:ascii="Arial" w:cs="Arial" w:eastAsia="Arial" w:hAnsi="Arial"/>
          <w:color w:val="1B3A6B"/>
          <w:sz w:val="20"/>
          <w:szCs w:val="20"/>
        </w:rPr>
        <w:t xml:space="preserve"/>
      </w:r>
    </w:p>
    <w:p>
      <w:pPr>
        <w:spacing w:before="0" w:after="56" w:line="300"/>
        <w:jc w:val="left"/>
      </w:pPr>
      <w:r>
        <w:rPr>
          <w:rFonts w:ascii="Arial" w:cs="Arial" w:eastAsia="Arial" w:hAnsi="Arial"/>
          <w:color w:val="475569"/>
          <w:sz w:val="19"/>
          <w:szCs w:val="19"/>
        </w:rPr>
        <w:t xml:space="preserve">This dashboard is the primary tool for the technology team to monitor integration health, manage provider reliability, and control API costs. Both tabs work together — Tab 1 identifies what is failing, Tab 2 explains the routing and cost context behind those failures.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color="FFFFFF" w:sz="0"/>
              <w:left w:val="none" w:color="FFFFFF" w:sz="0"/>
              <w:bottom w:val="none" w:color="FFFFFF" w:sz="0"/>
              <w:right w:val="none" w:color="FFFFFF" w:sz="0"/>
            </w:tcBorders>
            <w:shd w:fill="B91C1C"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Credit Bureau (Critical)</w:t>
            </w:r>
          </w:p>
        </w:tc>
        <w:tc>
          <w:tcPr>
            <w:tcW w:type="dxa" w:w="76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A 77.1% failure rate on 21,529 calls is the most urgent issue in the entire dashboard. Every failed Credit Bureau call means a BRE decision could not be made, directly contributing to the 29.4% null/pending BRE rate visible in the LOS Analytics dashboard. Escalate to the Credit Bureau provider immediately, review API credentials and rate limits, and investigate whether HTTP 433 errors indicate quota exhaustion or an auth failure.</w:t>
            </w:r>
          </w:p>
        </w:tc>
      </w:tr>
    </w:tbl>
    <w:p>
      <w:pPr>
        <w:spacing w:before="24"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color="FFFFFF" w:sz="0"/>
              <w:left w:val="none" w:color="FFFFFF" w:sz="0"/>
              <w:bottom w:val="none" w:color="FFFFFF" w:sz="0"/>
              <w:right w:val="none" w:color="FFFFFF" w:sz="0"/>
            </w:tcBorders>
            <w:shd w:fill="B45309"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AWS Liveness Session</w:t>
            </w:r>
          </w:p>
        </w:tc>
        <w:tc>
          <w:tcPr>
            <w:tcW w:type="dxa" w:w="76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CREATE_LIVENESS_SESSION has a 92.31% failure rate across 13 calls. While the volume is low, this service is part of the face verification flow. Check AWS Rekognition credentials and region configuration — this is most likely a setup error rather than a provider reliability issue.</w:t>
            </w:r>
          </w:p>
        </w:tc>
      </w:tr>
    </w:tbl>
    <w:p>
      <w:pPr>
        <w:spacing w:before="24"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color="FFFFFF" w:sz="0"/>
              <w:left w:val="none" w:color="FFFFFF" w:sz="0"/>
              <w:bottom w:val="none" w:color="FFFFFF" w:sz="0"/>
              <w:right w:val="none" w:color="FFFFFF" w:sz="0"/>
            </w:tcBorders>
            <w:shd w:fill="0F766E"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API Success Rates</w:t>
            </w:r>
          </w:p>
        </w:tc>
        <w:tc>
          <w:tcPr>
            <w:tcW w:type="dxa" w:w="76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Surepass's 100% success rate across 60,784 calls confirms it is the most reliable provider on the platform. Where Surepass is the active Priority 1 provider (Aadhaar, PAN), the system is operating well. Sandbox's 96.28% rate is acceptable as a fallback. The team should use the Daily API Call Volume trend to correlate failure spikes with application intake peaks and proactively manage rate limits.</w:t>
            </w:r>
          </w:p>
        </w:tc>
      </w:tr>
    </w:tbl>
    <w:p>
      <w:pPr>
        <w:spacing w:before="24"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color="FFFFFF" w:sz="0"/>
              <w:left w:val="none" w:color="FFFFFF" w:sz="0"/>
              <w:bottom w:val="none" w:color="FFFFFF" w:sz="0"/>
              <w:right w:val="none" w:color="FFFFFF" w:sz="0"/>
            </w:tcBorders>
            <w:shd w:fill="2563EB"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Provider Cost &amp; Config</w:t>
            </w:r>
          </w:p>
        </w:tc>
        <w:tc>
          <w:tcPr>
            <w:tcW w:type="dxa" w:w="76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All API cost fields show ₹0 — the cost tracking pipeline needs to be fixed to record actual spend. Without this, it is impossible to calculate true cost per verification or compare provider economics. The Bank Account Verification routing has Sandbox (₹1.75/call, cheaper) marked inactive while Surepass (₹4.00/call, more expensive) handles all traffic — re-activating Sandbox here once validated would reduce per-call cost by 56%.</w:t>
            </w:r>
          </w:p>
        </w:tc>
      </w:tr>
    </w:tbl>
    <w:p>
      <w:pPr>
        <w:spacing w:before="24" w:after="80" w:line="288"/>
        <w:jc w:val="left"/>
      </w:pPr>
      <w:r>
        <w:rPr>
          <w:rFonts w:ascii="Arial" w:cs="Arial" w:eastAsia="Arial" w:hAnsi="Arial"/>
          <w:color w:val="1B3A6B"/>
          <w:sz w:val="20"/>
          <w:szCs w:val="20"/>
        </w:rPr>
        <w:t xml:space="preserve"/>
      </w:r>
    </w:p>
    <w:p>
      <w:pPr>
        <w:spacing w:before="48" w:after="80" w:line="288"/>
        <w:jc w:val="left"/>
      </w:pPr>
      <w:r>
        <w:rPr>
          <w:rFonts w:ascii="Arial" w:cs="Arial" w:eastAsia="Arial" w:hAnsi="Arial"/>
          <w:color w:val="1B3A6B"/>
          <w:sz w:val="20"/>
          <w:szCs w:val="20"/>
        </w:rPr>
        <w:t xml:space="preserve"/>
      </w:r>
    </w:p>
    <w:p>
      <w:pPr>
        <w:pBdr>
          <w:bottom w:val="single" w:color="2563EB" w:sz="6" w:space="1"/>
        </w:pBdr>
        <w:spacing w:before="0" w:after="40" w:line="288"/>
        <w:jc w:val="left"/>
      </w:pPr>
    </w:p>
    <w:p>
      <w:pPr>
        <w:spacing w:before="0" w:after="80" w:line="300"/>
        <w:jc w:val="left"/>
      </w:pPr>
      <w:r>
        <w:rPr>
          <w:rFonts w:ascii="Arial" w:cs="Arial" w:eastAsia="Arial" w:hAnsi="Arial"/>
          <w:i/>
          <w:iCs/>
          <w:color w:val="475569"/>
          <w:sz w:val="19"/>
          <w:szCs w:val="19"/>
        </w:rPr>
        <w:t xml:space="preserve">Fixing the Credit Bureau integration is the single highest-impact technical action available — it directly unlocks BRE decision quality and improves downstream approval rates across the entire loan origination pipeline.</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80" w:line="288"/>
      <w:jc w:val="center"/>
    </w:pPr>
    <w:r>
      <w:rPr>
        <w:rFonts w:ascii="Arial" w:cs="Arial" w:eastAsia="Arial" w:hAnsi="Arial"/>
        <w:i/>
        <w:iCs/>
        <w:color w:val="475569"/>
        <w:sz w:val="16"/>
        <w:szCs w:val="16"/>
      </w:rPr>
      <w:t xml:space="preserve">Third-Party API Health Analytics  —  Dashboard Summary  |  Quikkred Technology Team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3A6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2026-03-21T06:04:17.956Z</dcterms:created>
  <dcterms:modified xsi:type="dcterms:W3CDTF">2026-03-21T06:04:17.957Z</dcterms:modified>
</cp:coreProperties>
</file>

<file path=docProps/custom.xml><?xml version="1.0" encoding="utf-8"?>
<Properties xmlns="http://schemas.openxmlformats.org/officeDocument/2006/custom-properties" xmlns:vt="http://schemas.openxmlformats.org/officeDocument/2006/docPropsVTypes"/>
</file>