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spacing w:before="0" w:after="20" w:line="288"/>
              <w:jc w:val="left"/>
            </w:pPr>
            <w:r>
              <w:rPr>
                <w:rFonts w:ascii="Arial" w:cs="Arial" w:eastAsia="Arial" w:hAnsi="Arial"/>
                <w:b/>
                <w:bCs/>
                <w:color w:val="FFFFFF"/>
                <w:sz w:val="34"/>
                <w:szCs w:val="34"/>
              </w:rPr>
              <w:t xml:space="preserve">Operations Analytics</w:t>
            </w:r>
          </w:p>
          <w:p>
            <w:pPr>
              <w:spacing w:before="0" w:after="80" w:line="288"/>
              <w:jc w:val="left"/>
            </w:pPr>
            <w:r>
              <w:rPr>
                <w:rFonts w:ascii="Arial" w:cs="Arial" w:eastAsia="Arial" w:hAnsi="Arial"/>
                <w:i/>
                <w:iCs/>
                <w:color w:val="BFD4F5"/>
                <w:sz w:val="19"/>
                <w:szCs w:val="19"/>
              </w:rPr>
              <w:t xml:space="preserve">Dashboard Summary  —  Quikkred</w:t>
            </w:r>
          </w:p>
        </w:tc>
      </w:tr>
    </w:tbl>
    <w:p>
      <w:pPr>
        <w:spacing w:before="56" w:after="80" w:line="288"/>
        <w:jc w:val="left"/>
      </w:pPr>
      <w:r>
        <w:rPr>
          <w:rFonts w:ascii="Arial" w:cs="Arial" w:eastAsia="Arial" w:hAnsi="Arial"/>
          <w:color w:val="1B3A6B"/>
          <w:sz w:val="20"/>
          <w:szCs w:val="20"/>
        </w:rPr>
        <w:t xml:space="preserve"/>
      </w:r>
    </w:p>
    <w:p>
      <w:pPr>
        <w:spacing w:before="0" w:after="80" w:line="300"/>
        <w:jc w:val="left"/>
      </w:pPr>
      <w:r>
        <w:rPr>
          <w:rFonts w:ascii="Arial" w:cs="Arial" w:eastAsia="Arial" w:hAnsi="Arial"/>
          <w:color w:val="475569"/>
          <w:sz w:val="19"/>
          <w:szCs w:val="19"/>
        </w:rPr>
        <w:t xml:space="preserve">The Operations Analytics dashboard is Quikkred's command centre for day-to-day operational visibility. Covering six tabs, it monitors agent activity, customer support health, notification delivery, AI call performance, autopay mandate status, and instant form lead management — giving operations leadership a single view of team efficiency, system reliability, and borrower engagement across every touchpoint.</w:t>
      </w:r>
    </w:p>
    <w:p>
      <w:pPr>
        <w:pBdr>
          <w:bottom w:val="single" w:color="2563EB" w:sz="6" w:space="1"/>
        </w:pBdr>
        <w:spacing w:before="0" w:after="56" w:line="288"/>
        <w:jc w:val="left"/>
      </w:pPr>
    </w:p>
    <w:p>
      <w:pPr>
        <w:spacing w:before="0" w:after="56" w:line="288"/>
        <w:jc w:val="left"/>
      </w:pPr>
      <w:r>
        <w:rPr>
          <w:rFonts w:ascii="Arial" w:cs="Arial" w:eastAsia="Arial" w:hAnsi="Arial"/>
          <w:b/>
          <w:bCs/>
          <w:color w:val="1B3A6B"/>
          <w:sz w:val="24"/>
          <w:szCs w:val="24"/>
        </w:rPr>
        <w:t xml:space="preserve">Dashboard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2563EB"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1</w:t>
            </w:r>
          </w:p>
          <w:p>
            <w:pPr>
              <w:spacing w:before="0" w:after="80" w:line="288"/>
              <w:jc w:val="center"/>
            </w:pPr>
            <w:r>
              <w:rPr>
                <w:rFonts w:ascii="Arial" w:cs="Arial" w:eastAsia="Arial" w:hAnsi="Arial"/>
                <w:b/>
                <w:bCs/>
                <w:color w:val="FFFFFF"/>
                <w:sz w:val="17"/>
                <w:szCs w:val="17"/>
              </w:rPr>
              <w:t xml:space="preserve">Agent
Performance</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Provides a full directory and role breakdown of the 34 agents currently on the Quikkred platform. The Agent Summary Table shows names, roles, employment status, and work location for all staff. The team is predominantly office-based and active, with one agent (Tushar Rathor) marked INACTIVE. Roles span CEO (35.29%), Collection Agent (44.12%), Support (11.76%), Credit Manager, Verifier, and Admin (each at 2.94%).</w:t>
            </w:r>
          </w:p>
          <w:p>
            <w:pPr>
              <w:spacing w:before="40" w:after="80" w:line="300"/>
              <w:jc w:val="left"/>
            </w:pPr>
            <w:r>
              <w:rPr>
                <w:rFonts w:ascii="Arial" w:cs="Arial" w:eastAsia="Arial" w:hAnsi="Arial"/>
                <w:color w:val="475569"/>
                <w:sz w:val="19"/>
                <w:szCs w:val="19"/>
              </w:rPr>
              <w:t xml:space="preserve">The Applications Processed Per Agent section and Agent Login Activity (Last 30 Days) both show no data — indicating that per-agent productivity tracking and login audit logging are not yet capturing data. These are the two most important metrics for operations management and need to be instrumented before this tab becomes actionable.</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4338CA"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2</w:t>
            </w:r>
          </w:p>
          <w:p>
            <w:pPr>
              <w:spacing w:before="0" w:after="80" w:line="288"/>
              <w:jc w:val="center"/>
            </w:pPr>
            <w:r>
              <w:rPr>
                <w:rFonts w:ascii="Arial" w:cs="Arial" w:eastAsia="Arial" w:hAnsi="Arial"/>
                <w:b/>
                <w:bCs/>
                <w:color w:val="FFFFFF"/>
                <w:sz w:val="17"/>
                <w:szCs w:val="17"/>
              </w:rPr>
              <w:t xml:space="preserve">Support
Tickets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Tracks the full lifecycle of customer support tickets. Of 2,778 total tickets raised, 2,403 are Closed (86.5%), 374 have been Reopened (13.5%), and just 1 is In Progress. Open tickets and Resolved tickets both show 0 — confirming that the resolution workflow routes tickets directly to Closed rather than through a Resolved state. Average resolution time is 762.11 hours (~31 days), which is significantly high.</w:t>
            </w:r>
          </w:p>
          <w:p>
            <w:pPr>
              <w:spacing w:before="40" w:after="80" w:line="300"/>
              <w:jc w:val="left"/>
            </w:pPr>
            <w:r>
              <w:rPr>
                <w:rFonts w:ascii="Arial" w:cs="Arial" w:eastAsia="Arial" w:hAnsi="Arial"/>
                <w:color w:val="475569"/>
                <w:sz w:val="19"/>
                <w:szCs w:val="19"/>
              </w:rPr>
              <w:t xml:space="preserve">Tickets are split across Technical Issue (19.19%), Loan Inquiry (18.93%), Payment Issue (15.77%), KYC Verification (13.71%), and Complaint (11.56%). 97.3% of tickets arrive via Web. The 13.46% reopened ticket rate signals that a material share of issues are not being resolved satisfactorily on first contact. Satisfaction Rating data is not yet available.</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0F766E"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3</w:t>
            </w:r>
          </w:p>
          <w:p>
            <w:pPr>
              <w:spacing w:before="0" w:after="80" w:line="288"/>
              <w:jc w:val="center"/>
            </w:pPr>
            <w:r>
              <w:rPr>
                <w:rFonts w:ascii="Arial" w:cs="Arial" w:eastAsia="Arial" w:hAnsi="Arial"/>
                <w:b/>
                <w:bCs/>
                <w:color w:val="FFFFFF"/>
                <w:sz w:val="17"/>
                <w:szCs w:val="17"/>
              </w:rPr>
              <w:t xml:space="preserve">Notification &amp;
Email Analytics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Monitors push notification and email delivery performance. Of 75,595 total push notifications sent, 90.64% are ACCOUNT_CREATED type and 9.36% are APPLICATION_UPDATE. The critical concern is the notification status split: 99.93% are in PENDING status and only 0.07% have been READ — virtually no notifications are being engaged with by borrowers.</w:t>
            </w:r>
          </w:p>
          <w:p>
            <w:pPr>
              <w:spacing w:before="40" w:after="80" w:line="300"/>
              <w:jc w:val="left"/>
            </w:pPr>
            <w:r>
              <w:rPr>
                <w:rFonts w:ascii="Arial" w:cs="Arial" w:eastAsia="Arial" w:hAnsi="Arial"/>
                <w:color w:val="475569"/>
                <w:sz w:val="19"/>
                <w:szCs w:val="19"/>
              </w:rPr>
              <w:t xml:space="preserve">Email performance is a strong contrast: 5,025 emails of the "Loan Application Under Credit Review" type were sent with a 100% delivery rate and 0 failures. Daily email volumes peaked at 582 in mid-February 2026. The disconnect between push (near-zero read rate) and email (100% delivery) highlights push notification engagement as the most urgent communication channel to fix.</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6D28D9"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4</w:t>
            </w:r>
          </w:p>
          <w:p>
            <w:pPr>
              <w:spacing w:before="0" w:after="80" w:line="288"/>
              <w:jc w:val="center"/>
            </w:pPr>
            <w:r>
              <w:rPr>
                <w:rFonts w:ascii="Arial" w:cs="Arial" w:eastAsia="Arial" w:hAnsi="Arial"/>
                <w:b/>
                <w:bCs/>
                <w:color w:val="FFFFFF"/>
                <w:sz w:val="17"/>
                <w:szCs w:val="17"/>
              </w:rPr>
              <w:t xml:space="preserve">AI Call
Analytics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Tracks the performance of AI-driven outbound calls for collections. Of 8,640 total AI calls made, 1,841 were answered (21.31% answer rate), 6,752 received no answer (78.15%), and 23 failed. Average call duration is 9.54 seconds — very short, suggesting most answered calls result in minimal engagement. Peak daily call volume reached 11,944 on 21 February 2026.</w:t>
            </w:r>
          </w:p>
          <w:p>
            <w:pPr>
              <w:spacing w:before="40" w:after="80" w:line="300"/>
              <w:jc w:val="left"/>
            </w:pPr>
            <w:r>
              <w:rPr>
                <w:rFonts w:ascii="Arial" w:cs="Arial" w:eastAsia="Arial" w:hAnsi="Arial"/>
                <w:color w:val="475569"/>
                <w:sz w:val="19"/>
                <w:szCs w:val="19"/>
              </w:rPr>
              <w:t xml:space="preserve">By DPD category, Soft Reminder has the highest call volume (3,997) with a 21.3% answer rate, followed by Professional (2,634, 13.1%). Pre-Due Reminder has the best answer rate at 41.38% (406 calls, 168 answered). Inbound Callback shows a 100% answer rate on 286 calls — the most effective category. AI Calls by Amount Owed shows the ₹10K–₹15K band receives the most calls (2,489) with a 21.05% answer rate.</w:t>
            </w:r>
          </w:p>
        </w:tc>
      </w:tr>
    </w:tbl>
    <w:p>
      <w:pPr>
        <w:spacing w:before="36" w:after="80" w:line="288"/>
        <w:jc w:val="left"/>
      </w:pPr>
      <w:r>
        <w:rPr>
          <w:rFonts w:ascii="Arial" w:cs="Arial" w:eastAsia="Arial" w:hAnsi="Arial"/>
          <w:color w:val="1B3A6B"/>
          <w:sz w:val="20"/>
          <w:szCs w:val="20"/>
        </w:rPr>
        <w:t xml:space="preserve"/>
      </w:r>
    </w:p>
    <w:p>
      <w:pPr>
        <w:spacing w:before="0" w:after="80" w:line="288"/>
        <w:jc w:val="left"/>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B91C1C"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5</w:t>
            </w:r>
          </w:p>
          <w:p>
            <w:pPr>
              <w:spacing w:before="0" w:after="80" w:line="288"/>
              <w:jc w:val="center"/>
            </w:pPr>
            <w:r>
              <w:rPr>
                <w:rFonts w:ascii="Arial" w:cs="Arial" w:eastAsia="Arial" w:hAnsi="Arial"/>
                <w:b/>
                <w:bCs/>
                <w:color w:val="FFFFFF"/>
                <w:sz w:val="17"/>
                <w:szCs w:val="17"/>
              </w:rPr>
              <w:t xml:space="preserve">Mandate &amp;
Autopay Tracking</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Tracks the status of autopay mandates set up for loan repayments. The headline numbers are stark: 824 total mandates, 824 cancelled, 0 active, 0 created, 0 failed, 0 expired, and a 0% activation rate. Every mandate that was ever created has been cancelled. The Mandate Type Distribution shows 97.94% were "pending" type and 2.06% were UPI mandates.</w:t>
            </w:r>
          </w:p>
          <w:p>
            <w:pPr>
              <w:spacing w:before="40" w:after="80" w:line="300"/>
              <w:jc w:val="left"/>
            </w:pPr>
            <w:r>
              <w:rPr>
                <w:rFonts w:ascii="Arial" w:cs="Arial" w:eastAsia="Arial" w:hAnsi="Arial"/>
                <w:color w:val="475569"/>
                <w:sz w:val="19"/>
                <w:szCs w:val="19"/>
              </w:rPr>
              <w:t xml:space="preserve">The Mandate Creation Trend shows a single burst of activity: 813 mandates created on 20 January 2026, with 11 on 21 January and 0 thereafter. No mandates have been activated at any point. This is a critical operational gap — without active autopay mandates, loan repayments depend entirely on manual borrower action, increasing default risk and collections workload.</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B45309"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6</w:t>
            </w:r>
          </w:p>
          <w:p>
            <w:pPr>
              <w:spacing w:before="0" w:after="80" w:line="288"/>
              <w:jc w:val="center"/>
            </w:pPr>
            <w:r>
              <w:rPr>
                <w:rFonts w:ascii="Arial" w:cs="Arial" w:eastAsia="Arial" w:hAnsi="Arial"/>
                <w:b/>
                <w:bCs/>
                <w:color w:val="FFFFFF"/>
                <w:sz w:val="17"/>
                <w:szCs w:val="17"/>
              </w:rPr>
              <w:t xml:space="preserve">Lead Management
(Instant Forms)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Monitors leads captured through Meta Instant Forms and other quick-apply channels. A total of 17,095 leads have been captured, all currently in NEW status (100%). The Lead Conversion table shows 0 leads Contacted, 0 in Follow Up, 0 Interested, and 0 Converted — meaning not a single lead from this channel has been worked by the sales or operations team.</w:t>
            </w:r>
          </w:p>
          <w:p>
            <w:pPr>
              <w:spacing w:before="40" w:after="80" w:line="300"/>
              <w:jc w:val="left"/>
            </w:pPr>
            <w:r>
              <w:rPr>
                <w:rFonts w:ascii="Arial" w:cs="Arial" w:eastAsia="Arial" w:hAnsi="Arial"/>
                <w:color w:val="475569"/>
                <w:sz w:val="19"/>
                <w:szCs w:val="19"/>
              </w:rPr>
              <w:t xml:space="preserve">Daily lead volume peaked at 1,730 in early February 2026, with a secondary peak of 1,271 in early March. The Lead Requested Amount Distribution shows the ₹20K–₹30K band is the most common request (5,852 leads), followed by ₹0–₹10K (4,571) and ₹10K–₹20K (3,633). The complete absence of follow-up activity on 17,095 leads represents a significant missed revenue opportunity.</w:t>
            </w:r>
          </w:p>
        </w:tc>
      </w:tr>
    </w:tbl>
    <w:p>
      <w:pPr>
        <w:spacing w:before="36" w:after="80" w:line="288"/>
        <w:jc w:val="left"/>
      </w:pPr>
      <w:r>
        <w:rPr>
          <w:rFonts w:ascii="Arial" w:cs="Arial" w:eastAsia="Arial" w:hAnsi="Arial"/>
          <w:color w:val="1B3A6B"/>
          <w:sz w:val="20"/>
          <w:szCs w:val="20"/>
        </w:rPr>
        <w:t xml:space="preserve"/>
      </w:r>
    </w:p>
    <w:p>
      <w:pPr>
        <w:spacing w:before="56" w:after="80" w:line="288"/>
        <w:jc w:val="left"/>
      </w:pPr>
      <w:r>
        <w:rPr>
          <w:rFonts w:ascii="Arial" w:cs="Arial" w:eastAsia="Arial" w:hAnsi="Arial"/>
          <w:color w:val="1B3A6B"/>
          <w:sz w:val="20"/>
          <w:szCs w:val="20"/>
        </w:rPr>
        <w:t xml:space="preserve"/>
      </w:r>
    </w:p>
    <w:p>
      <w:pPr>
        <w:pBdr>
          <w:bottom w:val="single" w:color="2563EB" w:sz="6" w:space="1"/>
        </w:pBdr>
        <w:spacing w:before="0" w:after="56" w:line="288"/>
        <w:jc w:val="left"/>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60"/>
              <w:left w:type="dxa" w:w="280"/>
              <w:bottom w:type="dxa" w:w="160"/>
              <w:right w:type="dxa" w:w="160"/>
            </w:tcMar>
          </w:tcPr>
          <w:p>
            <w:pPr>
              <w:spacing w:before="0" w:after="80" w:line="288"/>
              <w:jc w:val="left"/>
            </w:pPr>
            <w:r>
              <w:rPr>
                <w:rFonts w:ascii="Arial" w:cs="Arial" w:eastAsia="Arial" w:hAnsi="Arial"/>
                <w:b/>
                <w:bCs/>
                <w:color w:val="FFFFFF"/>
                <w:sz w:val="24"/>
                <w:szCs w:val="24"/>
              </w:rPr>
              <w:t xml:space="preserve">How This Dashboard Helps Operations</w:t>
            </w:r>
          </w:p>
        </w:tc>
      </w:tr>
    </w:tbl>
    <w:p>
      <w:pPr>
        <w:spacing w:before="48" w:after="80" w:line="288"/>
        <w:jc w:val="left"/>
      </w:pPr>
      <w:r>
        <w:rPr>
          <w:rFonts w:ascii="Arial" w:cs="Arial" w:eastAsia="Arial" w:hAnsi="Arial"/>
          <w:color w:val="1B3A6B"/>
          <w:sz w:val="20"/>
          <w:szCs w:val="20"/>
        </w:rPr>
        <w:t xml:space="preserve"/>
      </w:r>
    </w:p>
    <w:p>
      <w:pPr>
        <w:spacing w:before="0" w:after="56" w:line="300"/>
        <w:jc w:val="left"/>
      </w:pPr>
      <w:r>
        <w:rPr>
          <w:rFonts w:ascii="Arial" w:cs="Arial" w:eastAsia="Arial" w:hAnsi="Arial"/>
          <w:color w:val="475569"/>
          <w:sz w:val="19"/>
          <w:szCs w:val="19"/>
        </w:rPr>
        <w:t xml:space="preserve">This dashboard surfaces the most critical operational gaps across Quikkred's teams — several of which require immediate action rather than monitoring. The tab-by-tab signals below outline the highest-priority items for operations leadership.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2563EB"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Agent Performance</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Instrument per-agent application processing and login tracking immediately — without this data the tab is a directory, not a performance tool. Set targets for applications processed per agent per week and use login activity to identify inactive accounts that should be deprovisioned.</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4338CA"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Support Tickets</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The 762-hour average resolution time (~31 days) and 13.46% reopened rate are the two metrics requiring immediate attention. Introduce a formal Resolved state between In Progress and Closed, and set a target resolution SLA of 48 hours for Tier 1 issues. Technical Issue and Loan Inquiry together make up 38% of tickets — these are candidates for self-service FAQ or chatbot deflection.</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0F766E"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Notification &amp; Email</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A 99.93% pending rate on push notifications means borrowers are not receiving or engaging with platform communications. Audit whether notifications are being delivered to device OS notification trays and check opt-in rates. Email's 100% delivery rate confirms infrastructure is sound — expand email templates to cover EMI reminders, overdue notices, and disbursement confirmations.</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6D28D9"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AI Call Analytics</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The 21.31% answer rate means nearly 4 in 5 calls go unanswered. Pre-Due Reminder calls show the best answer rate (41.38%) — prioritise this DPD category and schedule calls between 10:00–12:00 and 18:00–20:00 IST when borrowers are most reachable. The 9.54-second average call duration suggests the AI script needs to be more engaging to hold borrower attention past the opening seconds.</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B91C1C"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Mandate &amp; Autopay</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100% mandate cancellation rate is a critical collections risk. Investigate why all 824 mandates created in January 2026 were cancelled — whether this was a technical failure, a bank integration issue, or deliberate cancellation by borrowers. Re-activating autopay mandates should be treated as an urgent collections priority to reduce manual follow-up load.</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Lead Management</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17,095 unworked leads with 0% contact rate is the single largest untapped revenue opportunity visible in this dashboard. Assign leads to Collection Agents immediately, set a 24-hour first-contact SLA, and build a follow-up cadence. The ₹20K–₹30K lead segment (5,852 leads) aligns with the platform's core loan product and should be the first priority for outreach.</w:t>
            </w:r>
          </w:p>
        </w:tc>
      </w:tr>
    </w:tbl>
    <w:p>
      <w:pPr>
        <w:spacing w:before="24" w:after="80" w:line="288"/>
        <w:jc w:val="left"/>
      </w:pPr>
      <w:r>
        <w:rPr>
          <w:rFonts w:ascii="Arial" w:cs="Arial" w:eastAsia="Arial" w:hAnsi="Arial"/>
          <w:color w:val="1B3A6B"/>
          <w:sz w:val="20"/>
          <w:szCs w:val="20"/>
        </w:rPr>
        <w:t xml:space="preserve"/>
      </w:r>
    </w:p>
    <w:p>
      <w:pPr>
        <w:spacing w:before="48" w:after="80" w:line="288"/>
        <w:jc w:val="left"/>
      </w:pPr>
      <w:r>
        <w:rPr>
          <w:rFonts w:ascii="Arial" w:cs="Arial" w:eastAsia="Arial" w:hAnsi="Arial"/>
          <w:color w:val="1B3A6B"/>
          <w:sz w:val="20"/>
          <w:szCs w:val="20"/>
        </w:rPr>
        <w:t xml:space="preserve"/>
      </w:r>
    </w:p>
    <w:p>
      <w:pPr>
        <w:pBdr>
          <w:bottom w:val="single" w:color="2563EB" w:sz="6" w:space="1"/>
        </w:pBdr>
        <w:spacing w:before="0" w:after="40" w:line="288"/>
        <w:jc w:val="left"/>
      </w:pPr>
    </w:p>
    <w:p>
      <w:pPr>
        <w:spacing w:before="0" w:after="80" w:line="300"/>
        <w:jc w:val="left"/>
      </w:pPr>
      <w:r>
        <w:rPr>
          <w:rFonts w:ascii="Arial" w:cs="Arial" w:eastAsia="Arial" w:hAnsi="Arial"/>
          <w:i/>
          <w:iCs/>
          <w:color w:val="475569"/>
          <w:sz w:val="19"/>
          <w:szCs w:val="19"/>
        </w:rPr>
        <w:t xml:space="preserve">Across all six tabs, the Operations Analytics dashboard reveals a platform at an early but critical inflection point — infrastructure is in place, volumes are growing, but several key workflows (mandate activation, lead follow-up, push engagement, and agent tracking) need to be operationalised before the data becomes a management tool rather than a gap report.</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80" w:line="288"/>
      <w:jc w:val="center"/>
    </w:pPr>
    <w:r>
      <w:rPr>
        <w:rFonts w:ascii="Arial" w:cs="Arial" w:eastAsia="Arial" w:hAnsi="Arial"/>
        <w:i/>
        <w:iCs/>
        <w:color w:val="475569"/>
        <w:sz w:val="16"/>
        <w:szCs w:val="16"/>
      </w:rPr>
      <w:t xml:space="preserve">Operations Analytics  —  Dashboard Summary  |  Quikkred Technology Team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3A6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2026-03-21T06:01:52.503Z</dcterms:created>
  <dcterms:modified xsi:type="dcterms:W3CDTF">2026-03-21T06:01:52.505Z</dcterms:modified>
</cp:coreProperties>
</file>

<file path=docProps/custom.xml><?xml version="1.0" encoding="utf-8"?>
<Properties xmlns="http://schemas.openxmlformats.org/officeDocument/2006/custom-properties" xmlns:vt="http://schemas.openxmlformats.org/officeDocument/2006/docPropsVTypes"/>
</file>