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before="0" w:after="20" w:line="288"/>
              <w:jc w:val="left"/>
            </w:pPr>
            <w:r>
              <w:rPr>
                <w:rFonts w:ascii="Arial" w:cs="Arial" w:eastAsia="Arial" w:hAnsi="Arial"/>
                <w:b/>
                <w:bCs/>
                <w:color w:val="FFFFFF"/>
                <w:sz w:val="32"/>
                <w:szCs w:val="32"/>
              </w:rPr>
              <w:t xml:space="preserve">Compliance &amp; Audit Analytics</w:t>
            </w:r>
          </w:p>
          <w:p>
            <w:pPr>
              <w:spacing w:before="0" w:after="80" w:line="288"/>
              <w:jc w:val="left"/>
            </w:pPr>
            <w:r>
              <w:rPr>
                <w:rFonts w:ascii="Arial" w:cs="Arial" w:eastAsia="Arial" w:hAnsi="Arial"/>
                <w:i/>
                <w:iCs/>
                <w:color w:val="BFD4F5"/>
                <w:sz w:val="19"/>
                <w:szCs w:val="19"/>
              </w:rPr>
              <w:t xml:space="preserve">Dashboard Summary  —  Quikkred</w:t>
            </w:r>
          </w:p>
        </w:tc>
      </w:tr>
    </w:tbl>
    <w:p>
      <w:pPr>
        <w:spacing w:before="56" w:after="80" w:line="288"/>
        <w:jc w:val="left"/>
      </w:pPr>
      <w:r>
        <w:rPr>
          <w:rFonts w:ascii="Arial" w:cs="Arial" w:eastAsia="Arial" w:hAnsi="Arial"/>
          <w:color w:val="1B3A6B"/>
          <w:sz w:val="20"/>
          <w:szCs w:val="20"/>
        </w:rPr>
        <w:t xml:space="preserve"/>
      </w:r>
    </w:p>
    <w:p>
      <w:pPr>
        <w:spacing w:before="0" w:after="80" w:line="300"/>
        <w:jc w:val="left"/>
      </w:pPr>
      <w:r>
        <w:rPr>
          <w:rFonts w:ascii="Arial" w:cs="Arial" w:eastAsia="Arial" w:hAnsi="Arial"/>
          <w:color w:val="475569"/>
          <w:sz w:val="19"/>
          <w:szCs w:val="19"/>
        </w:rPr>
        <w:t xml:space="preserve">The Compliance &amp; Audit Analytics dashboard provides Quikkred's risk, compliance, and technology teams with visibility into system activity logs and post-disbursement borrower account health. Across two tabs, it tracks the volume and integrity of audit events generated by the platform, and monitors active bank account balances for disbursed borrowers to detect low-balance and high-debit risk signals early.</w:t>
      </w:r>
    </w:p>
    <w:p>
      <w:pPr>
        <w:pBdr>
          <w:bottom w:val="single" w:color="2563EB" w:sz="6" w:space="1"/>
        </w:pBdr>
        <w:spacing w:before="0" w:after="56" w:line="288"/>
        <w:jc w:val="left"/>
      </w:pPr>
    </w:p>
    <w:p>
      <w:pPr>
        <w:spacing w:before="0" w:after="56" w:line="288"/>
        <w:jc w:val="left"/>
      </w:pPr>
      <w:r>
        <w:rPr>
          <w:rFonts w:ascii="Arial" w:cs="Arial" w:eastAsia="Arial" w:hAnsi="Arial"/>
          <w:b/>
          <w:bCs/>
          <w:color w:val="1B3A6B"/>
          <w:sz w:val="24"/>
          <w:szCs w:val="24"/>
        </w:rPr>
        <w:t xml:space="preserve">Dashboard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1</w:t>
            </w:r>
          </w:p>
          <w:p>
            <w:pPr>
              <w:spacing w:before="0" w:after="80" w:line="288"/>
              <w:jc w:val="center"/>
            </w:pPr>
            <w:r>
              <w:rPr>
                <w:rFonts w:ascii="Arial" w:cs="Arial" w:eastAsia="Arial" w:hAnsi="Arial"/>
                <w:b/>
                <w:bCs/>
                <w:color w:val="FFFFFF"/>
                <w:sz w:val="17"/>
                <w:szCs w:val="17"/>
              </w:rPr>
              <w:t xml:space="preserve">Audit
Trail</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Captures all system-level activity across the Quikkred platform for compliance and forensic purposes. The single confirmed data point is an Audit Log Volume of 4,452,804 entries — confirming that the platform is generating a substantial and active audit trail. This volume indicates comprehensive event logging is in place across API calls, user actions, and system events.</w:t>
            </w:r>
          </w:p>
          <w:p>
            <w:pPr>
              <w:spacing w:before="40" w:after="80" w:line="300"/>
              <w:jc w:val="left"/>
            </w:pPr>
            <w:r>
              <w:rPr>
                <w:rFonts w:ascii="Arial" w:cs="Arial" w:eastAsia="Arial" w:hAnsi="Arial"/>
                <w:color w:val="475569"/>
                <w:sz w:val="19"/>
                <w:szCs w:val="19"/>
              </w:rPr>
              <w:t xml:space="preserve">However, every visual chart in this tab — Action Type Distribution, Daily API Request Volume, Top Endpoints by Volume, Error Rate by Endpoint, Severity Distribution, HTTP Method Distribution, and User Activity (Most Active Users) — encountered a rendering error and could not be displayed in the export. The underlying data exists (evidenced by the 4.45M log count) but a dashboard rendering or data pipeline issue is preventing chart visualisation. This needs to be resolved before the tab can be used operationally.</w:t>
            </w:r>
          </w:p>
        </w:tc>
      </w:tr>
    </w:tbl>
    <w:p>
      <w:pPr>
        <w:spacing w:before="36" w:after="80" w:line="288"/>
        <w:jc w:val="left"/>
      </w:pPr>
      <w:r>
        <w:rPr>
          <w:rFonts w:ascii="Arial" w:cs="Arial" w:eastAsia="Arial" w:hAnsi="Arial"/>
          <w:color w:val="1B3A6B"/>
          <w:sz w:val="20"/>
          <w:szCs w:val="20"/>
        </w:rPr>
        <w:t xml:space="preserve"/>
      </w:r>
    </w:p>
    <w:p>
      <w:pPr>
        <w:spacing w:before="40"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D28D9" w:sz="1"/>
              <w:left w:val="single" w:color="6D28D9" w:sz="1"/>
              <w:bottom w:val="single" w:color="6D28D9" w:sz="1"/>
              <w:right w:val="single" w:color="6D28D9" w:sz="1"/>
            </w:tcBorders>
            <w:shd w:fill="F5F3FF" w:val="clear"/>
            <w:tcMar>
              <w:top w:type="dxa" w:w="140"/>
              <w:left w:type="dxa" w:w="160"/>
              <w:bottom w:type="dxa" w:w="140"/>
              <w:right w:type="dxa" w:w="160"/>
            </w:tcMar>
          </w:tcPr>
          <w:p>
            <w:pPr>
              <w:spacing w:before="0" w:after="16" w:line="288"/>
              <w:jc w:val="center"/>
            </w:pPr>
            <w:r>
              <w:rPr>
                <w:rFonts w:ascii="Arial" w:cs="Arial" w:eastAsia="Arial" w:hAnsi="Arial"/>
                <w:b/>
                <w:bCs/>
                <w:color w:val="6D28D9"/>
                <w:sz w:val="36"/>
                <w:szCs w:val="36"/>
              </w:rPr>
              <w:t xml:space="preserve">4,452,804</w:t>
            </w:r>
          </w:p>
          <w:p>
            <w:pPr>
              <w:spacing w:before="0" w:after="80" w:line="288"/>
              <w:jc w:val="center"/>
            </w:pPr>
            <w:r>
              <w:rPr>
                <w:rFonts w:ascii="Arial" w:cs="Arial" w:eastAsia="Arial" w:hAnsi="Arial"/>
                <w:i/>
                <w:iCs/>
                <w:color w:val="475569"/>
                <w:sz w:val="18"/>
                <w:szCs w:val="18"/>
              </w:rPr>
              <w:t xml:space="preserve">Total Audit Log Entries  —  the only confirmed metric visible in this tab</w:t>
            </w:r>
          </w:p>
        </w:tc>
      </w:tr>
    </w:tbl>
    <w:p>
      <w:pPr>
        <w:spacing w:before="60"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15803D"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2</w:t>
            </w:r>
          </w:p>
          <w:p>
            <w:pPr>
              <w:spacing w:before="0" w:after="80" w:line="288"/>
              <w:jc w:val="center"/>
            </w:pPr>
            <w:r>
              <w:rPr>
                <w:rFonts w:ascii="Arial" w:cs="Arial" w:eastAsia="Arial" w:hAnsi="Arial"/>
                <w:b/>
                <w:bCs/>
                <w:color w:val="FFFFFF"/>
                <w:sz w:val="17"/>
                <w:szCs w:val="17"/>
              </w:rPr>
              <w:t xml:space="preserve">Balance Monitor
(Post-Disbursement)</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Monitors the bank account balances of disbursed borrowers to identify repayment risk before EMI due dates. Of 163 total borrowers being monitored, 108 have monitoring enabled and all 163 hold Active Consent — meaning 100% of monitored borrowers have provided consent for account balance fetching. Revoked Consent count is 0, a strong data access health signal.</w:t>
            </w:r>
          </w:p>
          <w:p>
            <w:pPr>
              <w:spacing w:before="40" w:after="80" w:line="300"/>
              <w:jc w:val="left"/>
            </w:pPr>
            <w:r>
              <w:rPr>
                <w:rFonts w:ascii="Arial" w:cs="Arial" w:eastAsia="Arial" w:hAnsi="Arial"/>
                <w:color w:val="475569"/>
                <w:sz w:val="19"/>
                <w:szCs w:val="19"/>
              </w:rPr>
              <w:t xml:space="preserve">The platform has made 310 total balance fetches across 153 monitors, with an average of just 0.24 consecutive failures and 124 successful last fetches. Alert Distribution shows 251 LOW_BALANCE alerts, 150 ZERO_BALANCE alerts, and 2 HIGH_DEBIT_ACTIVITY alerts — indicating that a significant proportion of the disbursed portfolio is showing financial stress signals that could affect repayment capacity.</w:t>
            </w:r>
          </w:p>
        </w:tc>
      </w:tr>
    </w:tbl>
    <w:p>
      <w:pPr>
        <w:spacing w:before="36" w:after="80" w:line="288"/>
        <w:jc w:val="left"/>
      </w:pPr>
      <w:r>
        <w:rPr>
          <w:rFonts w:ascii="Arial" w:cs="Arial" w:eastAsia="Arial" w:hAnsi="Arial"/>
          <w:color w:val="1B3A6B"/>
          <w:sz w:val="20"/>
          <w:szCs w:val="20"/>
        </w:rPr>
        <w:t xml:space="preserve"/>
      </w:r>
    </w:p>
    <w:p>
      <w:pPr>
        <w:spacing w:before="40"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15803D" w:sz="1"/>
              <w:left w:val="single" w:color="15803D" w:sz="1"/>
              <w:bottom w:val="single" w:color="15803D" w:sz="1"/>
              <w:right w:val="single" w:color="15803D" w:sz="1"/>
            </w:tcBorders>
            <w:shd w:fill="DCFCE7" w:val="clear"/>
            <w:tcMar>
              <w:top w:type="dxa" w:w="120"/>
              <w:left w:type="dxa" w:w="80"/>
              <w:bottom w:type="dxa" w:w="120"/>
              <w:right w:type="dxa" w:w="80"/>
            </w:tcMar>
          </w:tcPr>
          <w:p>
            <w:pPr>
              <w:spacing w:before="0" w:after="80" w:line="288"/>
              <w:jc w:val="center"/>
            </w:pPr>
            <w:r>
              <w:rPr>
                <w:rFonts w:ascii="Arial" w:cs="Arial" w:eastAsia="Arial" w:hAnsi="Arial"/>
                <w:b/>
                <w:bCs/>
                <w:color w:val="15803D"/>
                <w:sz w:val="28"/>
                <w:szCs w:val="28"/>
              </w:rPr>
              <w:t xml:space="preserve">163</w:t>
            </w:r>
          </w:p>
          <w:p>
            <w:pPr>
              <w:spacing w:before="0" w:after="80" w:line="288"/>
              <w:jc w:val="center"/>
            </w:pPr>
            <w:r>
              <w:rPr>
                <w:rFonts w:ascii="Arial" w:cs="Arial" w:eastAsia="Arial" w:hAnsi="Arial"/>
                <w:color w:val="475569"/>
                <w:sz w:val="17"/>
                <w:szCs w:val="17"/>
              </w:rPr>
              <w:t xml:space="preserve">Total Monitored</w:t>
            </w:r>
          </w:p>
        </w:tc>
        <w:tc>
          <w:tcPr>
            <w:tcW w:type="dxa" w:w="2520"/>
            <w:tcBorders>
              <w:top w:val="single" w:color="15803D" w:sz="1"/>
              <w:left w:val="single" w:color="15803D" w:sz="1"/>
              <w:bottom w:val="single" w:color="15803D" w:sz="1"/>
              <w:right w:val="single" w:color="15803D" w:sz="1"/>
            </w:tcBorders>
            <w:shd w:fill="DCFCE7" w:val="clear"/>
            <w:tcMar>
              <w:top w:type="dxa" w:w="120"/>
              <w:left w:type="dxa" w:w="80"/>
              <w:bottom w:type="dxa" w:w="120"/>
              <w:right w:type="dxa" w:w="80"/>
            </w:tcMar>
          </w:tcPr>
          <w:p>
            <w:pPr>
              <w:spacing w:before="0" w:after="80" w:line="288"/>
              <w:jc w:val="center"/>
            </w:pPr>
            <w:r>
              <w:rPr>
                <w:rFonts w:ascii="Arial" w:cs="Arial" w:eastAsia="Arial" w:hAnsi="Arial"/>
                <w:b/>
                <w:bCs/>
                <w:color w:val="15803D"/>
                <w:sz w:val="28"/>
                <w:szCs w:val="28"/>
              </w:rPr>
              <w:t xml:space="preserve">108</w:t>
            </w:r>
          </w:p>
          <w:p>
            <w:pPr>
              <w:spacing w:before="0" w:after="80" w:line="288"/>
              <w:jc w:val="center"/>
            </w:pPr>
            <w:r>
              <w:rPr>
                <w:rFonts w:ascii="Arial" w:cs="Arial" w:eastAsia="Arial" w:hAnsi="Arial"/>
                <w:color w:val="475569"/>
                <w:sz w:val="17"/>
                <w:szCs w:val="17"/>
              </w:rPr>
              <w:t xml:space="preserve">Monitoring Enabled</w:t>
            </w:r>
          </w:p>
        </w:tc>
        <w:tc>
          <w:tcPr>
            <w:tcW w:type="dxa" w:w="2520"/>
            <w:tcBorders>
              <w:top w:val="single" w:color="15803D" w:sz="1"/>
              <w:left w:val="single" w:color="15803D" w:sz="1"/>
              <w:bottom w:val="single" w:color="15803D" w:sz="1"/>
              <w:right w:val="single" w:color="15803D" w:sz="1"/>
            </w:tcBorders>
            <w:shd w:fill="DCFCE7" w:val="clear"/>
            <w:tcMar>
              <w:top w:type="dxa" w:w="120"/>
              <w:left w:type="dxa" w:w="80"/>
              <w:bottom w:type="dxa" w:w="120"/>
              <w:right w:type="dxa" w:w="80"/>
            </w:tcMar>
          </w:tcPr>
          <w:p>
            <w:pPr>
              <w:spacing w:before="0" w:after="80" w:line="288"/>
              <w:jc w:val="center"/>
            </w:pPr>
            <w:r>
              <w:rPr>
                <w:rFonts w:ascii="Arial" w:cs="Arial" w:eastAsia="Arial" w:hAnsi="Arial"/>
                <w:b/>
                <w:bCs/>
                <w:color w:val="15803D"/>
                <w:sz w:val="28"/>
                <w:szCs w:val="28"/>
              </w:rPr>
              <w:t xml:space="preserve">100%</w:t>
            </w:r>
          </w:p>
          <w:p>
            <w:pPr>
              <w:spacing w:before="0" w:after="80" w:line="288"/>
              <w:jc w:val="center"/>
            </w:pPr>
            <w:r>
              <w:rPr>
                <w:rFonts w:ascii="Arial" w:cs="Arial" w:eastAsia="Arial" w:hAnsi="Arial"/>
                <w:color w:val="475569"/>
                <w:sz w:val="17"/>
                <w:szCs w:val="17"/>
              </w:rPr>
              <w:t xml:space="preserve">Active Consent</w:t>
            </w:r>
          </w:p>
        </w:tc>
        <w:tc>
          <w:tcPr>
            <w:tcW w:type="dxa" w:w="2520"/>
            <w:tcBorders>
              <w:top w:val="single" w:color="15803D" w:sz="1"/>
              <w:left w:val="single" w:color="15803D" w:sz="1"/>
              <w:bottom w:val="single" w:color="15803D" w:sz="1"/>
              <w:right w:val="single" w:color="15803D" w:sz="1"/>
            </w:tcBorders>
            <w:shd w:fill="DCFCE7" w:val="clear"/>
            <w:tcMar>
              <w:top w:type="dxa" w:w="120"/>
              <w:left w:type="dxa" w:w="80"/>
              <w:bottom w:type="dxa" w:w="120"/>
              <w:right w:type="dxa" w:w="80"/>
            </w:tcMar>
          </w:tcPr>
          <w:p>
            <w:pPr>
              <w:spacing w:before="0" w:after="80" w:line="288"/>
              <w:jc w:val="center"/>
            </w:pPr>
            <w:r>
              <w:rPr>
                <w:rFonts w:ascii="Arial" w:cs="Arial" w:eastAsia="Arial" w:hAnsi="Arial"/>
                <w:b/>
                <w:bCs/>
                <w:color w:val="15803D"/>
                <w:sz w:val="28"/>
                <w:szCs w:val="28"/>
              </w:rPr>
              <w:t xml:space="preserve">310</w:t>
            </w:r>
          </w:p>
          <w:p>
            <w:pPr>
              <w:spacing w:before="0" w:after="80" w:line="288"/>
              <w:jc w:val="center"/>
            </w:pPr>
            <w:r>
              <w:rPr>
                <w:rFonts w:ascii="Arial" w:cs="Arial" w:eastAsia="Arial" w:hAnsi="Arial"/>
                <w:color w:val="475569"/>
                <w:sz w:val="17"/>
                <w:szCs w:val="17"/>
              </w:rPr>
              <w:t xml:space="preserve">Total Fetches</w:t>
            </w:r>
          </w:p>
        </w:tc>
      </w:tr>
    </w:tbl>
    <w:p>
      <w:pPr>
        <w:spacing w:before="32"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45309" w:sz="1"/>
              <w:left w:val="single" w:color="B45309" w:sz="1"/>
              <w:bottom w:val="single" w:color="B45309" w:sz="1"/>
              <w:right w:val="single" w:color="B45309" w:sz="1"/>
            </w:tcBorders>
            <w:shd w:fill="FEF3C7" w:val="clear"/>
            <w:tcMar>
              <w:top w:type="dxa" w:w="120"/>
              <w:left w:type="dxa" w:w="80"/>
              <w:bottom w:type="dxa" w:w="120"/>
              <w:right w:type="dxa" w:w="80"/>
            </w:tcMar>
          </w:tcPr>
          <w:p>
            <w:pPr>
              <w:spacing w:before="0" w:after="80" w:line="288"/>
              <w:jc w:val="center"/>
            </w:pPr>
            <w:r>
              <w:rPr>
                <w:rFonts w:ascii="Arial" w:cs="Arial" w:eastAsia="Arial" w:hAnsi="Arial"/>
                <w:b/>
                <w:bCs/>
                <w:color w:val="B45309"/>
                <w:sz w:val="28"/>
                <w:szCs w:val="28"/>
              </w:rPr>
              <w:t xml:space="preserve">251</w:t>
            </w:r>
          </w:p>
          <w:p>
            <w:pPr>
              <w:spacing w:before="0" w:after="80" w:line="288"/>
              <w:jc w:val="center"/>
            </w:pPr>
            <w:r>
              <w:rPr>
                <w:rFonts w:ascii="Arial" w:cs="Arial" w:eastAsia="Arial" w:hAnsi="Arial"/>
                <w:color w:val="475569"/>
                <w:sz w:val="17"/>
                <w:szCs w:val="17"/>
              </w:rPr>
              <w:t xml:space="preserve">Low Balance Alerts</w:t>
            </w:r>
          </w:p>
        </w:tc>
        <w:tc>
          <w:tcPr>
            <w:tcW w:type="dxa" w:w="2520"/>
            <w:tcBorders>
              <w:top w:val="single" w:color="B45309" w:sz="1"/>
              <w:left w:val="single" w:color="B45309" w:sz="1"/>
              <w:bottom w:val="single" w:color="B45309" w:sz="1"/>
              <w:right w:val="single" w:color="B45309" w:sz="1"/>
            </w:tcBorders>
            <w:shd w:fill="FEF3C7" w:val="clear"/>
            <w:tcMar>
              <w:top w:type="dxa" w:w="120"/>
              <w:left w:type="dxa" w:w="80"/>
              <w:bottom w:type="dxa" w:w="120"/>
              <w:right w:type="dxa" w:w="80"/>
            </w:tcMar>
          </w:tcPr>
          <w:p>
            <w:pPr>
              <w:spacing w:before="0" w:after="80" w:line="288"/>
              <w:jc w:val="center"/>
            </w:pPr>
            <w:r>
              <w:rPr>
                <w:rFonts w:ascii="Arial" w:cs="Arial" w:eastAsia="Arial" w:hAnsi="Arial"/>
                <w:b/>
                <w:bCs/>
                <w:color w:val="B45309"/>
                <w:sz w:val="28"/>
                <w:szCs w:val="28"/>
              </w:rPr>
              <w:t xml:space="preserve">150</w:t>
            </w:r>
          </w:p>
          <w:p>
            <w:pPr>
              <w:spacing w:before="0" w:after="80" w:line="288"/>
              <w:jc w:val="center"/>
            </w:pPr>
            <w:r>
              <w:rPr>
                <w:rFonts w:ascii="Arial" w:cs="Arial" w:eastAsia="Arial" w:hAnsi="Arial"/>
                <w:color w:val="475569"/>
                <w:sz w:val="17"/>
                <w:szCs w:val="17"/>
              </w:rPr>
              <w:t xml:space="preserve">Zero Balance Alerts</w:t>
            </w:r>
          </w:p>
        </w:tc>
        <w:tc>
          <w:tcPr>
            <w:tcW w:type="dxa" w:w="2520"/>
            <w:tcBorders>
              <w:top w:val="single" w:color="B45309" w:sz="1"/>
              <w:left w:val="single" w:color="B45309" w:sz="1"/>
              <w:bottom w:val="single" w:color="B45309" w:sz="1"/>
              <w:right w:val="single" w:color="B45309" w:sz="1"/>
            </w:tcBorders>
            <w:shd w:fill="FEF3C7" w:val="clear"/>
            <w:tcMar>
              <w:top w:type="dxa" w:w="120"/>
              <w:left w:type="dxa" w:w="80"/>
              <w:bottom w:type="dxa" w:w="120"/>
              <w:right w:type="dxa" w:w="80"/>
            </w:tcMar>
          </w:tcPr>
          <w:p>
            <w:pPr>
              <w:spacing w:before="0" w:after="80" w:line="288"/>
              <w:jc w:val="center"/>
            </w:pPr>
            <w:r>
              <w:rPr>
                <w:rFonts w:ascii="Arial" w:cs="Arial" w:eastAsia="Arial" w:hAnsi="Arial"/>
                <w:b/>
                <w:bCs/>
                <w:color w:val="B45309"/>
                <w:sz w:val="28"/>
                <w:szCs w:val="28"/>
              </w:rPr>
              <w:t xml:space="preserve">2</w:t>
            </w:r>
          </w:p>
          <w:p>
            <w:pPr>
              <w:spacing w:before="0" w:after="80" w:line="288"/>
              <w:jc w:val="center"/>
            </w:pPr>
            <w:r>
              <w:rPr>
                <w:rFonts w:ascii="Arial" w:cs="Arial" w:eastAsia="Arial" w:hAnsi="Arial"/>
                <w:color w:val="475569"/>
                <w:sz w:val="17"/>
                <w:szCs w:val="17"/>
              </w:rPr>
              <w:t xml:space="preserve">High Debit Activity</w:t>
            </w:r>
          </w:p>
        </w:tc>
        <w:tc>
          <w:tcPr>
            <w:tcW w:type="dxa" w:w="2520"/>
            <w:tcBorders>
              <w:top w:val="single" w:color="B45309" w:sz="1"/>
              <w:left w:val="single" w:color="B45309" w:sz="1"/>
              <w:bottom w:val="single" w:color="B45309" w:sz="1"/>
              <w:right w:val="single" w:color="B45309" w:sz="1"/>
            </w:tcBorders>
            <w:shd w:fill="FEF3C7" w:val="clear"/>
            <w:tcMar>
              <w:top w:type="dxa" w:w="120"/>
              <w:left w:type="dxa" w:w="80"/>
              <w:bottom w:type="dxa" w:w="120"/>
              <w:right w:type="dxa" w:w="80"/>
            </w:tcMar>
          </w:tcPr>
          <w:p>
            <w:pPr>
              <w:spacing w:before="0" w:after="80" w:line="288"/>
              <w:jc w:val="center"/>
            </w:pPr>
            <w:r>
              <w:rPr>
                <w:rFonts w:ascii="Arial" w:cs="Arial" w:eastAsia="Arial" w:hAnsi="Arial"/>
                <w:b/>
                <w:bCs/>
                <w:color w:val="B45309"/>
                <w:sz w:val="28"/>
                <w:szCs w:val="28"/>
              </w:rPr>
              <w:t xml:space="preserve">0.24</w:t>
            </w:r>
          </w:p>
          <w:p>
            <w:pPr>
              <w:spacing w:before="0" w:after="80" w:line="288"/>
              <w:jc w:val="center"/>
            </w:pPr>
            <w:r>
              <w:rPr>
                <w:rFonts w:ascii="Arial" w:cs="Arial" w:eastAsia="Arial" w:hAnsi="Arial"/>
                <w:color w:val="475569"/>
                <w:sz w:val="17"/>
                <w:szCs w:val="17"/>
              </w:rPr>
              <w:t xml:space="preserve">Avg Consecutive Failures</w:t>
            </w:r>
          </w:p>
        </w:tc>
      </w:tr>
    </w:tbl>
    <w:p>
      <w:pPr>
        <w:spacing w:before="60" w:after="80" w:line="288"/>
        <w:jc w:val="left"/>
      </w:pPr>
      <w:r>
        <w:rPr>
          <w:rFonts w:ascii="Arial" w:cs="Arial" w:eastAsia="Arial" w:hAnsi="Arial"/>
          <w:color w:val="1B3A6B"/>
          <w:sz w:val="20"/>
          <w:szCs w:val="20"/>
        </w:rPr>
        <w:t xml:space="preserve"/>
      </w:r>
    </w:p>
    <w:p>
      <w:pPr>
        <w:pBdr>
          <w:bottom w:val="single" w:color="2563EB" w:sz="6" w:space="1"/>
        </w:pBdr>
        <w:spacing w:before="0" w:after="56" w:line="288"/>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60"/>
              <w:left w:type="dxa" w:w="280"/>
              <w:bottom w:type="dxa" w:w="160"/>
              <w:right w:type="dxa" w:w="160"/>
            </w:tcMar>
          </w:tcPr>
          <w:p>
            <w:pPr>
              <w:spacing w:before="0" w:after="80" w:line="288"/>
              <w:jc w:val="left"/>
            </w:pPr>
            <w:r>
              <w:rPr>
                <w:rFonts w:ascii="Arial" w:cs="Arial" w:eastAsia="Arial" w:hAnsi="Arial"/>
                <w:b/>
                <w:bCs/>
                <w:color w:val="FFFFFF"/>
                <w:sz w:val="24"/>
                <w:szCs w:val="24"/>
              </w:rPr>
              <w:t xml:space="preserve">How This Dashboard Helps Operations</w:t>
            </w:r>
          </w:p>
        </w:tc>
      </w:tr>
    </w:tbl>
    <w:p>
      <w:pPr>
        <w:spacing w:before="48" w:after="80" w:line="288"/>
        <w:jc w:val="left"/>
      </w:pPr>
      <w:r>
        <w:rPr>
          <w:rFonts w:ascii="Arial" w:cs="Arial" w:eastAsia="Arial" w:hAnsi="Arial"/>
          <w:color w:val="1B3A6B"/>
          <w:sz w:val="20"/>
          <w:szCs w:val="20"/>
        </w:rPr>
        <w:t xml:space="preserve"/>
      </w:r>
    </w:p>
    <w:p>
      <w:pPr>
        <w:spacing w:before="0" w:after="56" w:line="300"/>
        <w:jc w:val="left"/>
      </w:pPr>
      <w:r>
        <w:rPr>
          <w:rFonts w:ascii="Arial" w:cs="Arial" w:eastAsia="Arial" w:hAnsi="Arial"/>
          <w:color w:val="475569"/>
          <w:sz w:val="19"/>
          <w:szCs w:val="19"/>
        </w:rPr>
        <w:t xml:space="preserve">Both tabs serve distinct but equally important compliance functions — one provides the platform's internal audit and security layer, the other provides post-disbursement borrower risk monitoring. Both need technical attention before they reach full operational utility.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6D28D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Audit Trail (Fix Required)</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4.45M audit log entries confirm the logging infrastructure is active, but all seven charts are failing to render. The technology team should investigate whether this is a Metabase query timeout (likely given the data volume), a missing aggregation index on the audit log collection, or a chart configuration error. Until resolved, compliance teams cannot use this tab for security reviews, endpoint monitoring, or user activity audits.</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15803D"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Balance Monitor</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251 Low Balance and 150 Zero Balance alerts across 163 monitored borrowers is a significant early-warning signal for the collections team. Borrowers showing ZERO_BALANCE should be contacted proactively before their EMI due date — waiting until a missed payment adds to DPD and increases collection cost. The 2 HIGH_DEBIT_ACTIVITY alerts should be reviewed individually as they may indicate fraud or financial distress.</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Consent &amp; Coverage</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100% active consent and 0 revoked consents across all monitored borrowers is a positive compliance signal. However, only 108 of 163 borrowers have monitoring enabled — the remaining 55 should be reviewed to understand why monitoring is disabled, and re-enabled where consent exists. Expanding monitoring coverage to all disbursed borrowers will improve collections prediction accuracy.</w:t>
            </w:r>
          </w:p>
        </w:tc>
      </w:tr>
    </w:tbl>
    <w:p>
      <w:pPr>
        <w:spacing w:before="24" w:after="80" w:line="288"/>
        <w:jc w:val="left"/>
      </w:pPr>
      <w:r>
        <w:rPr>
          <w:rFonts w:ascii="Arial" w:cs="Arial" w:eastAsia="Arial" w:hAnsi="Arial"/>
          <w:color w:val="1B3A6B"/>
          <w:sz w:val="20"/>
          <w:szCs w:val="20"/>
        </w:rPr>
        <w:t xml:space="preserve"/>
      </w:r>
    </w:p>
    <w:p>
      <w:pPr>
        <w:spacing w:before="48" w:after="80" w:line="288"/>
        <w:jc w:val="left"/>
      </w:pPr>
      <w:r>
        <w:rPr>
          <w:rFonts w:ascii="Arial" w:cs="Arial" w:eastAsia="Arial" w:hAnsi="Arial"/>
          <w:color w:val="1B3A6B"/>
          <w:sz w:val="20"/>
          <w:szCs w:val="20"/>
        </w:rPr>
        <w:t xml:space="preserve"/>
      </w:r>
    </w:p>
    <w:p>
      <w:pPr>
        <w:pBdr>
          <w:bottom w:val="single" w:color="2563EB" w:sz="6" w:space="1"/>
        </w:pBdr>
        <w:spacing w:before="0" w:after="40" w:line="288"/>
        <w:jc w:val="left"/>
      </w:pPr>
    </w:p>
    <w:p>
      <w:pPr>
        <w:spacing w:before="0" w:after="80" w:line="300"/>
        <w:jc w:val="left"/>
      </w:pPr>
      <w:r>
        <w:rPr>
          <w:rFonts w:ascii="Arial" w:cs="Arial" w:eastAsia="Arial" w:hAnsi="Arial"/>
          <w:i/>
          <w:iCs/>
          <w:color w:val="475569"/>
          <w:sz w:val="19"/>
          <w:szCs w:val="19"/>
        </w:rPr>
        <w:t xml:space="preserve">The Balance Monitor tab is currently the most actionable part of this dashboard — the alert data is live and the collections team should be triaging the 401 low and zero balance alerts today. The Audit Trail tab requires a technical fix before it can serve its compliance purpose.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88"/>
      <w:jc w:val="center"/>
    </w:pPr>
    <w:r>
      <w:rPr>
        <w:rFonts w:ascii="Arial" w:cs="Arial" w:eastAsia="Arial" w:hAnsi="Arial"/>
        <w:i/>
        <w:iCs/>
        <w:color w:val="475569"/>
        <w:sz w:val="16"/>
        <w:szCs w:val="16"/>
      </w:rPr>
      <w:t xml:space="preserve">Compliance &amp; Audit Analytics  —  Dashboard Summary  |  Quikkred Technology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3A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2026-03-21T06:12:10.589Z</dcterms:created>
  <dcterms:modified xsi:type="dcterms:W3CDTF">2026-03-21T06:12:10.590Z</dcterms:modified>
</cp:coreProperties>
</file>

<file path=docProps/custom.xml><?xml version="1.0" encoding="utf-8"?>
<Properties xmlns="http://schemas.openxmlformats.org/officeDocument/2006/custom-properties" xmlns:vt="http://schemas.openxmlformats.org/officeDocument/2006/docPropsVTypes"/>
</file>