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Calibri" w:hAnsi="Calibri"/>
          <w:b/>
          <w:color w:val="1A365D"/>
          <w:sz w:val="42"/>
        </w:rPr>
        <w:t>Comprehensive Legal and Technical Audit and Version 2.1 Knowledge Base for Legal Vault</w:t>
      </w:r>
    </w:p>
    <w:p>
      <w:pPr>
        <w:spacing w:before="0" w:after="80"/>
      </w:pPr>
      <w:r>
        <w:rPr>
          <w:rFonts w:ascii="Calibri" w:hAnsi="Calibri"/>
          <w:i/>
          <w:color w:val="718096"/>
          <w:sz w:val="21"/>
        </w:rPr>
        <w:t>Authoritative Core Corpus for Legal Vault AI Copilot &amp; Retrieval Architecture</w:t>
        <w:br/>
        <w:t>Jurisdiction: Republic of India | Regime: Post-01.07.2024 Transition (BNS / BNSS / BSA) | Version: 2.1 (Production Release)</w:t>
      </w:r>
    </w:p>
    <w:p>
      <w:pPr>
        <w:spacing w:before="0" w:after="320"/>
      </w:pPr>
      <w:r>
        <w:rPr>
          <w:rFonts w:ascii="Calibri" w:hAnsi="Calibri"/>
          <w:b/>
          <w:color w:val="2B6CB0"/>
          <w:sz w:val="19"/>
        </w:rPr>
        <w:t>[Audit Status: Version 2.1 final legal accuracy, currentness &amp; structural correction pass — September 2026]</w:t>
      </w:r>
    </w:p>
    <w:p>
      <w:pPr>
        <w:keepNext/>
        <w:spacing w:before="280" w:after="160"/>
      </w:pPr>
      <w:r>
        <w:rPr>
          <w:rFonts w:ascii="Calibri" w:hAnsi="Calibri"/>
          <w:b/>
          <w:color w:val="1A365D"/>
          <w:sz w:val="30"/>
        </w:rPr>
        <w:t>PART I — INDIAN LAW FOUNDATIONAL KNOWLEDGE BASE (PRODUCTION VERSION 2.1)</w:t>
      </w:r>
    </w:p>
    <w:p>
      <w:pPr>
        <w:keepNext/>
        <w:spacing w:before="240" w:after="120"/>
      </w:pPr>
      <w:r>
        <w:rPr>
          <w:rFonts w:ascii="Calibri" w:hAnsi="Calibri"/>
          <w:b/>
          <w:color w:val="2B6CB0"/>
          <w:sz w:val="26"/>
        </w:rPr>
        <w:t>Section 1: System Purpose, Foundational Invariants &amp; AI Safety Rules</w:t>
      </w:r>
    </w:p>
    <w:p>
      <w:pPr>
        <w:spacing w:before="0" w:after="120" w:line="276" w:lineRule="auto"/>
      </w:pPr>
      <w:r>
        <w:rPr>
          <w:rFonts w:ascii="Calibri" w:hAnsi="Calibri"/>
          <w:b/>
          <w:i w:val="0"/>
          <w:color w:val="1A365D"/>
          <w:sz w:val="21"/>
        </w:rPr>
        <w:t>1.1 Purpose and Operating Scope</w:t>
      </w:r>
    </w:p>
    <w:p>
      <w:pPr>
        <w:spacing w:before="0" w:after="120" w:line="276" w:lineRule="auto"/>
      </w:pPr>
      <w:r>
        <w:rPr>
          <w:rFonts w:ascii="Calibri" w:hAnsi="Calibri"/>
          <w:b w:val="0"/>
          <w:i w:val="0"/>
          <w:color w:val="2D3748"/>
          <w:sz w:val="21"/>
        </w:rPr>
        <w:t>The Legal Vault Foundational Knowledge Base constitutes an authoritative, machine-retrievable legal intelligence corpus designed to power an artificial intelligence copilot for Indian legal research, case-document analysis, and litigation drafting. The corpus provides a structured legal reference layer covering constitutional law, civil procedure, criminal procedure, evidence, contract, commercial disputes, property, family law, insolvency, arbitration, consumer protection, labour transitions, banking, data protection, and technology law.</w:t>
        <w:br/>
        <w:br/>
        <w:t>This document does not purport to contain every statute or judicial ruling in the Republic of India; rather, it establishes a verified foundational layer designed for systematic expansion, continuous temporal auditing, and granular retrieval-augmented generation (RAG).</w:t>
      </w:r>
    </w:p>
    <w:p>
      <w:pPr>
        <w:spacing w:before="0" w:after="120" w:line="276" w:lineRule="auto"/>
      </w:pPr>
      <w:r>
        <w:rPr>
          <w:rFonts w:ascii="Calibri" w:hAnsi="Calibri"/>
          <w:b/>
          <w:i w:val="0"/>
          <w:color w:val="1A365D"/>
          <w:sz w:val="21"/>
        </w:rPr>
        <w:t>1.2 Strict Separation of Case Evidence and Legal Authority</w:t>
      </w:r>
    </w:p>
    <w:p>
      <w:pPr>
        <w:spacing w:before="0" w:after="120" w:line="276" w:lineRule="auto"/>
      </w:pPr>
      <w:r>
        <w:rPr>
          <w:rFonts w:ascii="Calibri" w:hAnsi="Calibri"/>
          <w:b w:val="0"/>
          <w:i w:val="0"/>
          <w:color w:val="2D3748"/>
          <w:sz w:val="21"/>
        </w:rPr>
        <w:t>The copilot operates under an architectural division separating two distinct domains of data:</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Case Evidence Domain:</w:t>
            </w:r>
            <w:r>
              <w:rPr>
                <w:rFonts w:ascii="Calibri" w:hAnsi="Calibri"/>
                <w:color w:val="2D3748"/>
                <w:sz w:val="20"/>
              </w:rPr>
              <w:t xml:space="preserve"> Comprises all factual assertions, pleadings, affidavits, notices, contractual instruments, FIR contents, and judicial orders extracted from documents uploaded by an authorized user to a secure workspace. The system must never assume, extrapolate, or invent case facts not explicitly present in the uploaded case file.</w:t>
            </w:r>
          </w:p>
          <w:p>
            <w:pPr>
              <w:spacing w:before="60" w:after="60" w:line="276" w:lineRule="auto"/>
              <w:ind w:left="173" w:right="173"/>
            </w:pPr>
            <w:r>
              <w:rPr>
                <w:rFonts w:ascii="Calibri" w:hAnsi="Calibri"/>
                <w:b/>
                <w:color w:val="1A365D"/>
                <w:sz w:val="20"/>
              </w:rPr>
              <w:t>Legal Authority Domain:</w:t>
            </w:r>
            <w:r>
              <w:rPr>
                <w:rFonts w:ascii="Calibri" w:hAnsi="Calibri"/>
                <w:color w:val="2D3748"/>
                <w:sz w:val="20"/>
              </w:rPr>
              <w:t xml:space="preserve"> Comprises the verified texts of the Constitution of India, Acts of Parliament, state enactments, official gazette notifications, subordinate rules, and binding judicial precedents. General legal propositions from this domain must never be converted into assumed case facts.</w:t>
            </w:r>
          </w:p>
          <w:p>
            <w:pPr>
              <w:spacing w:before="60" w:after="60" w:line="276" w:lineRule="auto"/>
              <w:ind w:left="173" w:right="173"/>
            </w:pPr>
            <w:r>
              <w:rPr>
                <w:rFonts w:ascii="Calibri" w:hAnsi="Calibri"/>
                <w:b/>
                <w:color w:val="1A365D"/>
                <w:sz w:val="20"/>
              </w:rPr>
              <w:t>The Deductive Link:</w:t>
            </w:r>
            <w:r>
              <w:rPr>
                <w:rFonts w:ascii="Calibri" w:hAnsi="Calibri"/>
                <w:color w:val="2D3748"/>
                <w:sz w:val="20"/>
              </w:rPr>
              <w:t xml:space="preserve"> The copilot applies retrieved Legal Authority strictly to verified Case Evidence to formulate reasoned legal analysis, maintaining complete traceability for every factual and legal proposition.</w:t>
            </w:r>
          </w:p>
        </w:tc>
      </w:tr>
    </w:tbl>
    <w:p>
      <w:pPr>
        <w:spacing w:before="160" w:after="120" w:line="276" w:lineRule="auto"/>
      </w:pPr>
      <w:r>
        <w:rPr>
          <w:rFonts w:ascii="Calibri" w:hAnsi="Calibri"/>
          <w:b/>
          <w:i w:val="0"/>
          <w:color w:val="1A365D"/>
          <w:sz w:val="21"/>
        </w:rPr>
        <w:t>1.3 AI Legal Safety and Anti-Hallucination Rules</w:t>
      </w:r>
    </w:p>
    <w:p>
      <w:pPr>
        <w:spacing w:before="0" w:after="120" w:line="276" w:lineRule="auto"/>
      </w:pPr>
      <w:r>
        <w:rPr>
          <w:rFonts w:ascii="Calibri" w:hAnsi="Calibri"/>
          <w:b w:val="0"/>
          <w:i w:val="0"/>
          <w:color w:val="2D3748"/>
          <w:sz w:val="21"/>
        </w:rPr>
        <w:t>To eliminate confabulation, protect professional standards, and ensure strict compliance, the AI Copilot must adhere to the following mandatory behavioral rules:</w:t>
      </w:r>
    </w:p>
    <w:p>
      <w:pPr>
        <w:spacing w:before="40" w:after="80"/>
        <w:ind w:left="288"/>
      </w:pPr>
      <w:r>
        <w:rPr>
          <w:rFonts w:ascii="Calibri" w:hAnsi="Calibri"/>
          <w:b/>
          <w:color w:val="1A365D"/>
          <w:sz w:val="20"/>
        </w:rPr>
        <w:t xml:space="preserve">• Rule 1 (Zero Citation Invention): </w:t>
      </w:r>
      <w:r>
        <w:rPr>
          <w:rFonts w:ascii="Calibri" w:hAnsi="Calibri"/>
          <w:color w:val="2D3748"/>
          <w:sz w:val="20"/>
        </w:rPr>
        <w:t>Never invent, approximate, or extrapolate case citations, neutral citations, judge names, bench compositions, judgment dates, section numbers, or rule identifiers. If an official Law Report volume or neutral citation cannot be verified, it must be omitted or stated as unverified.</w:t>
      </w:r>
    </w:p>
    <w:p>
      <w:pPr>
        <w:spacing w:before="40" w:after="80"/>
        <w:ind w:left="288"/>
      </w:pPr>
      <w:r>
        <w:rPr>
          <w:rFonts w:ascii="Calibri" w:hAnsi="Calibri"/>
          <w:b/>
          <w:color w:val="1A365D"/>
          <w:sz w:val="20"/>
        </w:rPr>
        <w:t xml:space="preserve">• Rule 2 (Factual Boundary Enforcement): </w:t>
      </w:r>
      <w:r>
        <w:rPr>
          <w:rFonts w:ascii="Calibri" w:hAnsi="Calibri"/>
          <w:color w:val="2D3748"/>
          <w:sz w:val="20"/>
        </w:rPr>
        <w:t>Never treat missing case facts as established. If an uploaded pleading or case file is silent regarding a transaction, date, notice, or event, the copilot must state: 'Insufficient evidence in the available case documents.'</w:t>
      </w:r>
    </w:p>
    <w:p>
      <w:pPr>
        <w:spacing w:before="40" w:after="80"/>
        <w:ind w:left="288"/>
      </w:pPr>
      <w:r>
        <w:rPr>
          <w:rFonts w:ascii="Calibri" w:hAnsi="Calibri"/>
          <w:b/>
          <w:color w:val="1A365D"/>
          <w:sz w:val="20"/>
        </w:rPr>
        <w:t xml:space="preserve">• Rule 3 (Statutory Authority Refusal): </w:t>
      </w:r>
      <w:r>
        <w:rPr>
          <w:rFonts w:ascii="Calibri" w:hAnsi="Calibri"/>
          <w:color w:val="2D3748"/>
          <w:sz w:val="20"/>
        </w:rPr>
        <w:t>If an applicable statutory provision, subordinate rule, or judicial precedent cannot be retrieved from the authorized corpus, the copilot must state: 'I could not verify this proposition from the authorized sources.'</w:t>
      </w:r>
    </w:p>
    <w:p>
      <w:pPr>
        <w:spacing w:before="40" w:after="80"/>
        <w:ind w:left="288"/>
      </w:pPr>
      <w:r>
        <w:rPr>
          <w:rFonts w:ascii="Calibri" w:hAnsi="Calibri"/>
          <w:b/>
          <w:color w:val="1A365D"/>
          <w:sz w:val="20"/>
        </w:rPr>
        <w:t xml:space="preserve">• Rule 4 (Temporal Discipline): </w:t>
      </w:r>
      <w:r>
        <w:rPr>
          <w:rFonts w:ascii="Calibri" w:hAnsi="Calibri"/>
          <w:color w:val="2D3748"/>
          <w:sz w:val="20"/>
        </w:rPr>
        <w:t>Never cite repealed statutes (IPC, CrPC, IEA) as current law without explicitly stating the date-of-offence governance rules, savings clauses, and transitional jurisprudence.</w:t>
      </w:r>
    </w:p>
    <w:p>
      <w:pPr>
        <w:spacing w:before="40" w:after="80"/>
        <w:ind w:left="288"/>
      </w:pPr>
      <w:r>
        <w:rPr>
          <w:rFonts w:ascii="Calibri" w:hAnsi="Calibri"/>
          <w:b/>
          <w:color w:val="1A365D"/>
          <w:sz w:val="20"/>
        </w:rPr>
        <w:t xml:space="preserve">• Rule 5 (Non-Advice Notice): </w:t>
      </w:r>
      <w:r>
        <w:rPr>
          <w:rFonts w:ascii="Calibri" w:hAnsi="Calibri"/>
          <w:color w:val="2D3748"/>
          <w:sz w:val="20"/>
        </w:rPr>
        <w:t>Always clarify that legal research outputs represent informational statutory analysis and cannot substitute for independent legal advice from an advocate licensed by the Bar Council of India.</w:t>
      </w:r>
    </w:p>
    <w:p>
      <w:pPr>
        <w:keepNext/>
        <w:spacing w:before="280" w:after="120"/>
      </w:pPr>
      <w:r>
        <w:rPr>
          <w:rFonts w:ascii="Calibri" w:hAnsi="Calibri"/>
          <w:b/>
          <w:color w:val="2B6CB0"/>
          <w:sz w:val="26"/>
        </w:rPr>
        <w:t>Section 2: Evidential Hierarchy and Current-Law Lifecycle Classifications</w:t>
      </w:r>
    </w:p>
    <w:p>
      <w:pPr>
        <w:spacing w:before="0" w:after="120" w:line="276" w:lineRule="auto"/>
      </w:pPr>
      <w:r>
        <w:rPr>
          <w:rFonts w:ascii="Calibri" w:hAnsi="Calibri"/>
          <w:b/>
          <w:i w:val="0"/>
          <w:color w:val="1A365D"/>
          <w:sz w:val="21"/>
        </w:rPr>
        <w:t>2.1 Source Quality Hierarchy</w:t>
      </w:r>
    </w:p>
    <w:p>
      <w:pPr>
        <w:spacing w:before="0" w:after="120" w:line="276" w:lineRule="auto"/>
      </w:pPr>
      <w:r>
        <w:rPr>
          <w:rFonts w:ascii="Calibri" w:hAnsi="Calibri"/>
          <w:b w:val="0"/>
          <w:i w:val="0"/>
          <w:color w:val="2D3748"/>
          <w:sz w:val="21"/>
        </w:rPr>
        <w:t>All entries in this knowledge base and any subsequent expansion must be grounded strictly in authoritative primary legal sources according to the following order of precedence:</w:t>
      </w:r>
    </w:p>
    <w:p>
      <w:pPr>
        <w:spacing w:before="40" w:after="80"/>
        <w:ind w:left="288"/>
      </w:pPr>
      <w:r>
        <w:rPr>
          <w:rFonts w:ascii="Calibri" w:hAnsi="Calibri"/>
          <w:b/>
          <w:color w:val="1A365D"/>
          <w:sz w:val="20"/>
        </w:rPr>
        <w:t xml:space="preserve">• Level 1 (Primary Authoritative Sources): </w:t>
      </w:r>
      <w:r>
        <w:rPr>
          <w:rFonts w:ascii="Calibri" w:hAnsi="Calibri"/>
          <w:color w:val="2D3748"/>
          <w:sz w:val="20"/>
        </w:rPr>
        <w:t>The official text of the Constitution of India (Legislative Department); Acts of Parliament and State Legislatures (India Code / Gazette of India); binding judgments of the Supreme Court of India (Supreme Court Reports / official digital repositories); and authoritative High Court decisions.</w:t>
      </w:r>
    </w:p>
    <w:p>
      <w:pPr>
        <w:spacing w:before="40" w:after="80"/>
        <w:ind w:left="288"/>
      </w:pPr>
      <w:r>
        <w:rPr>
          <w:rFonts w:ascii="Calibri" w:hAnsi="Calibri"/>
          <w:b/>
          <w:color w:val="1A365D"/>
          <w:sz w:val="20"/>
        </w:rPr>
        <w:t xml:space="preserve">• Level 2 (Official Delegated &amp; Explanatory Instruments): </w:t>
      </w:r>
      <w:r>
        <w:rPr>
          <w:rFonts w:ascii="Calibri" w:hAnsi="Calibri"/>
          <w:color w:val="2D3748"/>
          <w:sz w:val="20"/>
        </w:rPr>
        <w:t>Statutory rules, orders, regulations, and notifications promulgated in the Official Gazette by competent ministries (such as Ministry of Law and Justice, Ministry of Corporate Affairs, Ministry of Finance, Ministry of Home Affairs, Ministry of Labour and Employment, MeitY); and official explanatory memoranda.</w:t>
      </w:r>
    </w:p>
    <w:p>
      <w:pPr>
        <w:spacing w:before="40" w:after="80"/>
        <w:ind w:left="288"/>
      </w:pPr>
      <w:r>
        <w:rPr>
          <w:rFonts w:ascii="Calibri" w:hAnsi="Calibri"/>
          <w:b/>
          <w:color w:val="1A365D"/>
          <w:sz w:val="20"/>
        </w:rPr>
        <w:t xml:space="preserve">• Level 3 (Secondary Authorities): </w:t>
      </w:r>
      <w:r>
        <w:rPr>
          <w:rFonts w:ascii="Calibri" w:hAnsi="Calibri"/>
          <w:color w:val="2D3748"/>
          <w:sz w:val="20"/>
        </w:rPr>
        <w:t>Respected academic treatises, law commission reports, and verified legal commentaries. Level 3 sources may be consulted for doctrinal analysis but must never override Level 1 primary authority and cannot be cited as having binding statutory force.</w:t>
      </w:r>
    </w:p>
    <w:p>
      <w:pPr>
        <w:spacing w:before="40" w:after="80"/>
        <w:ind w:left="288"/>
      </w:pPr>
      <w:r>
        <w:rPr>
          <w:rFonts w:ascii="Calibri" w:hAnsi="Calibri"/>
          <w:b/>
          <w:color w:val="1A365D"/>
          <w:sz w:val="20"/>
        </w:rPr>
        <w:t xml:space="preserve">• Barred Sources: </w:t>
      </w:r>
      <w:r>
        <w:rPr>
          <w:rFonts w:ascii="Calibri" w:hAnsi="Calibri"/>
          <w:color w:val="2D3748"/>
          <w:sz w:val="20"/>
        </w:rPr>
        <w:t>Unverified legal blogs, crowdsourced portals, coaching platforms, marketing summaries, forums, and unverified AI summaries are strictly excluded from ingestion.</w:t>
      </w:r>
    </w:p>
    <w:p>
      <w:pPr>
        <w:spacing w:before="160" w:after="120" w:line="276" w:lineRule="auto"/>
      </w:pPr>
      <w:r>
        <w:rPr>
          <w:rFonts w:ascii="Calibri" w:hAnsi="Calibri"/>
          <w:b/>
          <w:i w:val="0"/>
          <w:color w:val="1A365D"/>
          <w:sz w:val="21"/>
        </w:rPr>
        <w:t>2.2 Jurisprudential Lifecycle Classifications</w:t>
      </w:r>
    </w:p>
    <w:p>
      <w:pPr>
        <w:spacing w:before="0" w:after="120" w:line="276" w:lineRule="auto"/>
      </w:pPr>
      <w:r>
        <w:rPr>
          <w:rFonts w:ascii="Calibri" w:hAnsi="Calibri"/>
          <w:b w:val="0"/>
          <w:i w:val="0"/>
          <w:color w:val="2D3748"/>
          <w:sz w:val="21"/>
        </w:rPr>
        <w:t>To prevent temporal contamination and support granular, date-sensitive statutory retrieval, each legal record is tagged with an immutable lifecycle status supporting staggered commencement and transitional arrangements: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Borders>
              <w:top w:val="single" w:sz="4" w:space="0" w:color="CBD5E0"/>
              <w:left w:val="single" w:sz="4" w:space="0" w:color="CBD5E0"/>
              <w:bottom w:val="single" w:sz="4" w:space="0" w:color="CBD5E0"/>
              <w:right w:val="single" w:sz="4" w:space="0" w:color="CBD5E0"/>
            </w:tcBorders>
          </w:tcPr>
          <w:p>
            <w:pPr>
              <w:jc w:val="left"/>
            </w:pPr>
            <w:r>
              <w:rPr>
                <w:rFonts w:ascii="Calibri" w:hAnsi="Calibri"/>
                <w:b/>
                <w:color w:val="FFFFFF"/>
                <w:sz w:val="19"/>
              </w:rPr>
              <w:t>Status Flag</w:t>
            </w:r>
          </w:p>
        </w:tc>
        <w:tc>
          <w:tcPr>
            <w:tcW w:type="dxa" w:w="3168"/>
            <w:shd w:fill="1A365D"/>
            <w:tcBorders>
              <w:top w:val="single" w:sz="4" w:space="0" w:color="CBD5E0"/>
              <w:left w:val="single" w:sz="4" w:space="0" w:color="CBD5E0"/>
              <w:bottom w:val="single" w:sz="4" w:space="0" w:color="CBD5E0"/>
              <w:right w:val="single" w:sz="4" w:space="0" w:color="CBD5E0"/>
            </w:tcBorders>
          </w:tcPr>
          <w:p>
            <w:pPr>
              <w:jc w:val="left"/>
            </w:pPr>
            <w:r>
              <w:rPr>
                <w:rFonts w:ascii="Calibri" w:hAnsi="Calibri"/>
                <w:b/>
                <w:color w:val="FFFFFF"/>
                <w:sz w:val="19"/>
              </w:rPr>
              <w:t>Statutory Meaning</w:t>
            </w:r>
          </w:p>
        </w:tc>
        <w:tc>
          <w:tcPr>
            <w:tcW w:type="dxa" w:w="3600"/>
            <w:shd w:fill="1A365D"/>
            <w:tcBorders>
              <w:top w:val="single" w:sz="4" w:space="0" w:color="CBD5E0"/>
              <w:left w:val="single" w:sz="4" w:space="0" w:color="CBD5E0"/>
              <w:bottom w:val="single" w:sz="4" w:space="0" w:color="CBD5E0"/>
              <w:right w:val="single" w:sz="4" w:space="0" w:color="CBD5E0"/>
            </w:tcBorders>
          </w:tcPr>
          <w:p>
            <w:pPr>
              <w:jc w:val="left"/>
            </w:pPr>
            <w:r>
              <w:rPr>
                <w:rFonts w:ascii="Calibri" w:hAnsi="Calibri"/>
                <w:b/>
                <w:color w:val="FFFFFF"/>
                <w:sz w:val="19"/>
              </w:rPr>
              <w:t>Practical Operational Impact</w:t>
            </w:r>
          </w:p>
        </w:tc>
      </w:tr>
      <w:tr>
        <w:tc>
          <w:tcPr>
            <w:tcW w:type="dxa" w:w="2592"/>
            <w:shd w:fill="FFFFFF"/>
            <w:tcBorders>
              <w:top w:val="single" w:sz="4" w:space="0" w:color="CBD5E0"/>
              <w:left w:val="single" w:sz="4" w:space="0" w:color="CBD5E0"/>
              <w:bottom w:val="single" w:sz="4" w:space="0" w:color="CBD5E0"/>
              <w:right w:val="single" w:sz="4" w:space="0" w:color="CBD5E0"/>
            </w:tcBorders>
          </w:tcPr>
          <w:p>
            <w:pPr>
              <w:jc w:val="left"/>
            </w:pPr>
            <w:r>
              <w:rPr>
                <w:rFonts w:ascii="Calibri" w:hAnsi="Calibri"/>
                <w:b/>
                <w:color w:val="2D3748"/>
                <w:sz w:val="18"/>
              </w:rPr>
              <w:t>CURRENT LAW</w:t>
            </w:r>
          </w:p>
        </w:tc>
        <w:tc>
          <w:tcPr>
            <w:tcW w:type="dxa" w:w="3168"/>
            <w:shd w:fill="FFFFFF"/>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Fully enacted, notified, and operational substantive or procedural law to the extent commenced and applicable.</w:t>
            </w:r>
          </w:p>
        </w:tc>
        <w:tc>
          <w:tcPr>
            <w:tcW w:type="dxa" w:w="3600"/>
            <w:shd w:fill="FFFFFF"/>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Governs fresh transactions, filings, offences, or rights operative on or after the specific commencement date.</w:t>
            </w:r>
          </w:p>
        </w:tc>
      </w:tr>
      <w:tr>
        <w:tc>
          <w:tcPr>
            <w:tcW w:type="dxa" w:w="2592"/>
            <w:shd w:fill="F8FAFC"/>
            <w:tcBorders>
              <w:top w:val="single" w:sz="4" w:space="0" w:color="CBD5E0"/>
              <w:left w:val="single" w:sz="4" w:space="0" w:color="CBD5E0"/>
              <w:bottom w:val="single" w:sz="4" w:space="0" w:color="CBD5E0"/>
              <w:right w:val="single" w:sz="4" w:space="0" w:color="CBD5E0"/>
            </w:tcBorders>
          </w:tcPr>
          <w:p>
            <w:pPr>
              <w:jc w:val="left"/>
            </w:pPr>
            <w:r>
              <w:rPr>
                <w:rFonts w:ascii="Calibri" w:hAnsi="Calibri"/>
                <w:b/>
                <w:color w:val="2D3748"/>
                <w:sz w:val="18"/>
              </w:rPr>
              <w:t>HISTORICAL LAW</w:t>
            </w:r>
          </w:p>
        </w:tc>
        <w:tc>
          <w:tcPr>
            <w:tcW w:type="dxa" w:w="3168"/>
            <w:shd w:fill="F8FAFC"/>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A repealed, superseded, or past statutory provision that continues to govern past liabilities, prior transactions, or saved actions.</w:t>
            </w:r>
          </w:p>
        </w:tc>
        <w:tc>
          <w:tcPr>
            <w:tcW w:type="dxa" w:w="3600"/>
            <w:shd w:fill="F8FAFC"/>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Controls substantive liabilities for acts done prior to repeal (e.g., IPC for offences prior to 01-07-2024; legacy labour acts for past claims).</w:t>
            </w:r>
          </w:p>
        </w:tc>
      </w:tr>
      <w:tr>
        <w:tc>
          <w:tcPr>
            <w:tcW w:type="dxa" w:w="2592"/>
            <w:shd w:fill="FFFFFF"/>
            <w:tcBorders>
              <w:top w:val="single" w:sz="4" w:space="0" w:color="CBD5E0"/>
              <w:left w:val="single" w:sz="4" w:space="0" w:color="CBD5E0"/>
              <w:bottom w:val="single" w:sz="4" w:space="0" w:color="CBD5E0"/>
              <w:right w:val="single" w:sz="4" w:space="0" w:color="CBD5E0"/>
            </w:tcBorders>
          </w:tcPr>
          <w:p>
            <w:pPr>
              <w:jc w:val="left"/>
            </w:pPr>
            <w:r>
              <w:rPr>
                <w:rFonts w:ascii="Calibri" w:hAnsi="Calibri"/>
                <w:b/>
                <w:color w:val="2D3748"/>
                <w:sz w:val="18"/>
              </w:rPr>
              <w:t>REPEALED LAW</w:t>
            </w:r>
          </w:p>
        </w:tc>
        <w:tc>
          <w:tcPr>
            <w:tcW w:type="dxa" w:w="3168"/>
            <w:shd w:fill="FFFFFF"/>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Completely abrogated without preserving ongoing enforcement, save as specifically protected by a savings clause.</w:t>
            </w:r>
          </w:p>
        </w:tc>
        <w:tc>
          <w:tcPr>
            <w:tcW w:type="dxa" w:w="3600"/>
            <w:shd w:fill="FFFFFF"/>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Cannot be cited as active law or invoked for post-repeal causes of action unless protected by a statutory savings provision.</w:t>
            </w:r>
          </w:p>
        </w:tc>
      </w:tr>
      <w:tr>
        <w:tc>
          <w:tcPr>
            <w:tcW w:type="dxa" w:w="2592"/>
            <w:shd w:fill="F8FAFC"/>
            <w:tcBorders>
              <w:top w:val="single" w:sz="4" w:space="0" w:color="CBD5E0"/>
              <w:left w:val="single" w:sz="4" w:space="0" w:color="CBD5E0"/>
              <w:bottom w:val="single" w:sz="4" w:space="0" w:color="CBD5E0"/>
              <w:right w:val="single" w:sz="4" w:space="0" w:color="CBD5E0"/>
            </w:tcBorders>
          </w:tcPr>
          <w:p>
            <w:pPr>
              <w:jc w:val="left"/>
            </w:pPr>
            <w:r>
              <w:rPr>
                <w:rFonts w:ascii="Calibri" w:hAnsi="Calibri"/>
                <w:b/>
                <w:color w:val="2D3748"/>
                <w:sz w:val="18"/>
              </w:rPr>
              <w:t>TRANSITIONAL LAW</w:t>
            </w:r>
          </w:p>
        </w:tc>
        <w:tc>
          <w:tcPr>
            <w:tcW w:type="dxa" w:w="3168"/>
            <w:shd w:fill="F8FAFC"/>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Bridging provisions governing forum choice, appellate routing, pending proceedings, and phased implementation.</w:t>
            </w:r>
          </w:p>
        </w:tc>
        <w:tc>
          <w:tcPr>
            <w:tcW w:type="dxa" w:w="3600"/>
            <w:shd w:fill="F8FAFC"/>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Resolves statutory overlap, savings clauses, and procedural routing between legacy and modernized statutory regimes.</w:t>
            </w:r>
          </w:p>
        </w:tc>
      </w:tr>
      <w:tr>
        <w:tc>
          <w:tcPr>
            <w:tcW w:type="dxa" w:w="2592"/>
            <w:shd w:fill="FFFFFF"/>
            <w:tcBorders>
              <w:top w:val="single" w:sz="4" w:space="0" w:color="CBD5E0"/>
              <w:left w:val="single" w:sz="4" w:space="0" w:color="CBD5E0"/>
              <w:bottom w:val="single" w:sz="4" w:space="0" w:color="CBD5E0"/>
              <w:right w:val="single" w:sz="4" w:space="0" w:color="CBD5E0"/>
            </w:tcBorders>
          </w:tcPr>
          <w:p>
            <w:pPr>
              <w:jc w:val="left"/>
            </w:pPr>
            <w:r>
              <w:rPr>
                <w:rFonts w:ascii="Calibri" w:hAnsi="Calibri"/>
                <w:b/>
                <w:color w:val="2D3748"/>
                <w:sz w:val="18"/>
              </w:rPr>
              <w:t>AMENDED LAW</w:t>
            </w:r>
          </w:p>
        </w:tc>
        <w:tc>
          <w:tcPr>
            <w:tcW w:type="dxa" w:w="3168"/>
            <w:shd w:fill="FFFFFF"/>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A continuing statute that has undergone textual or procedural modification.</w:t>
            </w:r>
          </w:p>
        </w:tc>
        <w:tc>
          <w:tcPr>
            <w:tcW w:type="dxa" w:w="3600"/>
            <w:shd w:fill="FFFFFF"/>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Requires strict date-range tracking to apply the exact statutory wording operative on the specific cause-of-action date.</w:t>
            </w:r>
          </w:p>
        </w:tc>
      </w:tr>
      <w:tr>
        <w:tc>
          <w:tcPr>
            <w:tcW w:type="dxa" w:w="2592"/>
            <w:shd w:fill="F8FAFC"/>
            <w:tcBorders>
              <w:top w:val="single" w:sz="4" w:space="0" w:color="CBD5E0"/>
              <w:left w:val="single" w:sz="4" w:space="0" w:color="CBD5E0"/>
              <w:bottom w:val="single" w:sz="4" w:space="0" w:color="CBD5E0"/>
              <w:right w:val="single" w:sz="4" w:space="0" w:color="CBD5E0"/>
            </w:tcBorders>
          </w:tcPr>
          <w:p>
            <w:pPr>
              <w:jc w:val="left"/>
            </w:pPr>
            <w:r>
              <w:rPr>
                <w:rFonts w:ascii="Calibri" w:hAnsi="Calibri"/>
                <w:b/>
                <w:color w:val="2D3748"/>
                <w:sz w:val="18"/>
              </w:rPr>
              <w:t>ENACTED / NOT YET COMMENCED</w:t>
            </w:r>
          </w:p>
        </w:tc>
        <w:tc>
          <w:tcPr>
            <w:tcW w:type="dxa" w:w="3168"/>
            <w:shd w:fill="F8FAFC"/>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Passed by Parliament and assented to, but awaiting official gazette commencement notification for particular provisions/rules.</w:t>
            </w:r>
          </w:p>
        </w:tc>
        <w:tc>
          <w:tcPr>
            <w:tcW w:type="dxa" w:w="3600"/>
            <w:shd w:fill="F8FAFC"/>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Cannot be cited as enforceable substantive law or operational obligation until the notified commencement date arrives.</w:t>
            </w:r>
          </w:p>
        </w:tc>
      </w:tr>
    </w:tbl>
    <w:p>
      <w:pPr>
        <w:keepNext/>
        <w:spacing w:before="280" w:after="120"/>
      </w:pPr>
      <w:r>
        <w:rPr>
          <w:rFonts w:ascii="Calibri" w:hAnsi="Calibri"/>
          <w:b/>
          <w:color w:val="2B6CB0"/>
          <w:sz w:val="26"/>
        </w:rPr>
        <w:t>Section 3: Criminal Law Transition Framework (BNS, BNSS, BSA)</w:t>
      </w:r>
    </w:p>
    <w:p>
      <w:pPr>
        <w:spacing w:before="0" w:after="120" w:line="276" w:lineRule="auto"/>
      </w:pPr>
      <w:r>
        <w:rPr>
          <w:rFonts w:ascii="Calibri" w:hAnsi="Calibri"/>
          <w:b/>
          <w:i w:val="0"/>
          <w:color w:val="1A365D"/>
          <w:sz w:val="21"/>
        </w:rPr>
        <w:t>3.1 The 01-July-2024 Legislative Transition and Tripartite Division</w:t>
      </w:r>
    </w:p>
    <w:p>
      <w:pPr>
        <w:spacing w:before="0" w:after="120" w:line="276" w:lineRule="auto"/>
      </w:pPr>
      <w:r>
        <w:rPr>
          <w:rFonts w:ascii="Calibri" w:hAnsi="Calibri"/>
          <w:b w:val="0"/>
          <w:i w:val="0"/>
          <w:color w:val="2D3748"/>
          <w:sz w:val="21"/>
        </w:rPr>
        <w:t>On July 1, 2024, the criminal justice system of India transitioned from the legacy colonial-era enactments to three modernized statutes pursuant to Ministry of Home Affairs Notifications S.O. 848(E), 849(E), and 850(E):</w:t>
        <w:br/>
        <w:t>1. The Bharatiya Nyaya Sanhita, 2023 (BNS) [Act No. 45 of 2023], repealing the Indian Penal Code, 1860 (IPC).</w:t>
        <w:br/>
        <w:t>2. The Bharatiya Nagarik Suraksha Sanhita, 2023 (BNSS) [Act No. 46 of 2023], repealing the Code of Criminal Procedure, 1973 (CrPC).</w:t>
        <w:br/>
        <w:t>3. The Bharatiya Sakshya Adhiniyam, 2023 (BSA) [Act No. 47 of 2023], repealing the Indian Evidence Act, 1872 (IEA).</w:t>
        <w:br/>
        <w:br/>
        <w:t>In analyzing transitional matters, the system strictly separates SUBSTANTIVE PENAL LAW, PROCEDURAL ENFORCEMENT LAW, and EVIDENTIAL ADMISSIBILITY LAW rather than applying a blanket, single-date assumption.</w:t>
      </w:r>
    </w:p>
    <w:p>
      <w:pPr>
        <w:spacing w:before="120" w:after="120" w:line="276" w:lineRule="auto"/>
      </w:pPr>
      <w:r>
        <w:rPr>
          <w:rFonts w:ascii="Calibri" w:hAnsi="Calibri"/>
          <w:b/>
          <w:i w:val="0"/>
          <w:color w:val="1A365D"/>
          <w:sz w:val="21"/>
        </w:rPr>
        <w:t>3.2 Substantive Penal Law and Article 20(1) Application</w:t>
      </w:r>
    </w:p>
    <w:p>
      <w:pPr>
        <w:spacing w:before="0" w:after="120" w:line="276" w:lineRule="auto"/>
      </w:pPr>
      <w:r>
        <w:rPr>
          <w:rFonts w:ascii="Calibri" w:hAnsi="Calibri"/>
          <w:b w:val="0"/>
          <w:i w:val="0"/>
          <w:color w:val="2D3748"/>
          <w:sz w:val="21"/>
        </w:rPr>
        <w:t>Under Article 20(1) of the Constitution of India, no person can be convicted of an offence except for violation of a law in force at the time of the commission of the act charged, nor subjected to a greater penalty than that which might have been inflicted under the law in force at that time.</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Pre-July 1, 2024 Offences:</w:t>
            </w:r>
            <w:r>
              <w:rPr>
                <w:rFonts w:ascii="Calibri" w:hAnsi="Calibri"/>
                <w:color w:val="2D3748"/>
                <w:sz w:val="20"/>
              </w:rPr>
              <w:t xml:space="preserve"> Governed substantively by the Indian Penal Code, 1860. Section 358 of the BNS expressly preserves liabilities incurred, penalties imposed, and investigations or legal proceedings relating to rights, obligations, or liabilities acquired under the repealed IPC. Charging an accused under BNS substantive sections for an act committed on or before June 30, 2024, violates Article 20(1).</w:t>
            </w:r>
          </w:p>
          <w:p>
            <w:pPr>
              <w:spacing w:before="60" w:after="60" w:line="276" w:lineRule="auto"/>
              <w:ind w:left="173" w:right="173"/>
            </w:pPr>
            <w:r>
              <w:rPr>
                <w:rFonts w:ascii="Calibri" w:hAnsi="Calibri"/>
                <w:b/>
                <w:color w:val="1A365D"/>
                <w:sz w:val="20"/>
              </w:rPr>
              <w:t>Post-July 1, 2024 Offences:</w:t>
            </w:r>
            <w:r>
              <w:rPr>
                <w:rFonts w:ascii="Calibri" w:hAnsi="Calibri"/>
                <w:color w:val="2D3748"/>
                <w:sz w:val="20"/>
              </w:rPr>
              <w:t xml:space="preserve"> Governed substantively by the Bharatiya Nyaya Sanhita, 2023. All FIR charges, charge sheets, and sentencing orders for acts committed on or after July 1, 2024 must cite BNS substantive provisions.</w:t>
            </w:r>
          </w:p>
        </w:tc>
      </w:tr>
    </w:tbl>
    <w:p>
      <w:pPr>
        <w:spacing w:before="120" w:after="120" w:line="276" w:lineRule="auto"/>
      </w:pPr>
      <w:r>
        <w:rPr>
          <w:rFonts w:ascii="Calibri" w:hAnsi="Calibri"/>
          <w:b/>
          <w:i w:val="0"/>
          <w:color w:val="1A365D"/>
          <w:sz w:val="21"/>
        </w:rPr>
        <w:t>3.3 Procedural Law Transition and Stage-Specific Savings under Section 531 BNSS</w:t>
      </w:r>
    </w:p>
    <w:p>
      <w:pPr>
        <w:spacing w:before="0" w:after="120" w:line="276" w:lineRule="auto"/>
      </w:pPr>
      <w:r>
        <w:rPr>
          <w:rFonts w:ascii="Calibri" w:hAnsi="Calibri"/>
          <w:b w:val="0"/>
          <w:i w:val="0"/>
          <w:color w:val="2D3748"/>
          <w:sz w:val="21"/>
        </w:rPr>
        <w:t>Section 531(1) of the BNSS repeals the CrPC, 1973. Section 531(2)(a) contains the governing savings clause. Procedural applicability is stage-specific and cannot be determined by an overbroad formula:</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Pending Proceedings Savings Rule:</w:t>
            </w:r>
            <w:r>
              <w:rPr>
                <w:rFonts w:ascii="Calibri" w:hAnsi="Calibri"/>
                <w:color w:val="2D3748"/>
                <w:sz w:val="20"/>
              </w:rPr>
              <w:t xml:space="preserve"> Under Section 531(2)(a) BNSS, if immediately before July 1, 2024, there is any appeal, application, trial, inquiry, or investigation pending, it shall be disposed of, continued, held, or made in accordance with the provisions of the CrPC, 1973, as if the BNSS had not come into force.</w:t>
            </w:r>
          </w:p>
          <w:p>
            <w:pPr>
              <w:spacing w:before="60" w:after="60" w:line="276" w:lineRule="auto"/>
              <w:ind w:left="173" w:right="173"/>
            </w:pPr>
            <w:r>
              <w:rPr>
                <w:rFonts w:ascii="Calibri" w:hAnsi="Calibri"/>
                <w:b/>
                <w:color w:val="1A365D"/>
                <w:sz w:val="20"/>
              </w:rPr>
              <w:t>Stage-Specific Jurisprudential Application (Delhi, Punjab &amp; Haryana, Kerala, Bombay, and Allahabad High Courts):</w:t>
            </w:r>
            <w:r>
              <w:rPr>
                <w:rFonts w:ascii="Calibri" w:hAnsi="Calibri"/>
                <w:color w:val="2D3748"/>
                <w:sz w:val="20"/>
              </w:rPr>
            </w:r>
          </w:p>
          <w:p>
            <w:pPr>
              <w:spacing w:before="60" w:after="60" w:line="276" w:lineRule="auto"/>
              <w:ind w:left="173" w:right="173"/>
            </w:pPr>
            <w:r>
              <w:rPr>
                <w:rFonts w:ascii="Calibri" w:hAnsi="Calibri"/>
                <w:b/>
                <w:color w:val="1A365D"/>
                <w:sz w:val="20"/>
              </w:rPr>
              <w:t>• Pending Investigation on 01.07.2024:</w:t>
            </w:r>
            <w:r>
              <w:rPr>
                <w:rFonts w:ascii="Calibri" w:hAnsi="Calibri"/>
                <w:color w:val="2D3748"/>
                <w:sz w:val="20"/>
              </w:rPr>
              <w:t xml:space="preserve"> Continues to be conducted under the procedural mechanism of the CrPC until the filing of the final police report under Section 173 CrPC.</w:t>
            </w:r>
          </w:p>
          <w:p>
            <w:pPr>
              <w:spacing w:before="60" w:after="60" w:line="276" w:lineRule="auto"/>
              <w:ind w:left="173" w:right="173"/>
            </w:pPr>
            <w:r>
              <w:rPr>
                <w:rFonts w:ascii="Calibri" w:hAnsi="Calibri"/>
                <w:b/>
                <w:color w:val="1A365D"/>
                <w:sz w:val="20"/>
              </w:rPr>
              <w:t>• Fresh Applications / Petitions Instituted Post-01.07.2024:</w:t>
            </w:r>
            <w:r>
              <w:rPr>
                <w:rFonts w:ascii="Calibri" w:hAnsi="Calibri"/>
                <w:color w:val="2D3748"/>
                <w:sz w:val="20"/>
              </w:rPr>
              <w:t xml:space="preserve"> A fresh petition (e.g., quashing under Section 528 BNSS [formerly § 482 CrPC], bail under Section 480/482 BNSS [formerly § 437/439 CrPC], or revision) instituted on or after July 1, 2024 must be instituted and adjudicated under the BNSS, notwithstanding that the underlying FIR alleges substantive offences under the IPC.</w:t>
            </w:r>
          </w:p>
          <w:p>
            <w:pPr>
              <w:spacing w:before="60" w:after="60" w:line="276" w:lineRule="auto"/>
              <w:ind w:left="173" w:right="173"/>
            </w:pPr>
            <w:r>
              <w:rPr>
                <w:rFonts w:ascii="Calibri" w:hAnsi="Calibri"/>
                <w:b/>
                <w:color w:val="1A365D"/>
                <w:sz w:val="20"/>
              </w:rPr>
              <w:t>• Pre-July 1, 2024 Offence Registered Post-July 1, 2024:</w:t>
            </w:r>
            <w:r>
              <w:rPr>
                <w:rFonts w:ascii="Calibri" w:hAnsi="Calibri"/>
                <w:color w:val="2D3748"/>
                <w:sz w:val="20"/>
              </w:rPr>
              <w:t xml:space="preserve"> Where an alleged offence occurred prior to July 1, 2024, but the FIR is registered on or after July 1, 2024, substantive penal charges must be framed under the IPC (protecting Article 20(1)), but the entirety of procedural steps (investigation, arrest, remand, notices, search, and trial procedure) is governed by the BNSS.</w:t>
            </w:r>
          </w:p>
        </w:tc>
      </w:tr>
    </w:tbl>
    <w:p>
      <w:pPr>
        <w:spacing w:before="120" w:after="120" w:line="276" w:lineRule="auto"/>
      </w:pPr>
      <w:r>
        <w:rPr>
          <w:rFonts w:ascii="Calibri" w:hAnsi="Calibri"/>
          <w:b/>
          <w:i w:val="0"/>
          <w:color w:val="1A365D"/>
          <w:sz w:val="21"/>
        </w:rPr>
        <w:t>3.4 Digital Evidence Admissibility Framework under BSA Section 63</w:t>
      </w:r>
    </w:p>
    <w:p>
      <w:pPr>
        <w:spacing w:before="0" w:after="120" w:line="276" w:lineRule="auto"/>
      </w:pPr>
      <w:r>
        <w:rPr>
          <w:rFonts w:ascii="Calibri" w:hAnsi="Calibri"/>
          <w:b w:val="0"/>
          <w:i w:val="0"/>
          <w:color w:val="2D3748"/>
          <w:sz w:val="21"/>
        </w:rPr>
        <w:t>Sections 61 through 63 of the Bharatiya Sakshya Adhiniyam, 2023 establish the comprehensive statutory framework governing the admissibility of electronic and digital records: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Section 61 BSA:</w:t>
            </w:r>
            <w:r>
              <w:rPr>
                <w:rFonts w:ascii="Calibri" w:hAnsi="Calibri"/>
                <w:color w:val="2D3748"/>
                <w:sz w:val="20"/>
              </w:rPr>
              <w:t xml:space="preserve"> Recognizes electronic records as documentary evidence with full legal parity, providing that electronic records shall be admissible without further proof or production of the original if statutory requirements are satisfied.</w:t>
            </w:r>
          </w:p>
          <w:p>
            <w:pPr>
              <w:spacing w:before="60" w:after="60" w:line="276" w:lineRule="auto"/>
              <w:ind w:left="173" w:right="173"/>
            </w:pPr>
            <w:r>
              <w:rPr>
                <w:rFonts w:ascii="Calibri" w:hAnsi="Calibri"/>
                <w:b/>
                <w:color w:val="1A365D"/>
                <w:sz w:val="20"/>
              </w:rPr>
              <w:t>Section 62 BSA (Primary Electronic Evidence):</w:t>
            </w:r>
            <w:r>
              <w:rPr>
                <w:rFonts w:ascii="Calibri" w:hAnsi="Calibri"/>
                <w:color w:val="2D3748"/>
                <w:sz w:val="20"/>
              </w:rPr>
              <w:t xml:space="preserve"> Deems electronic records produced from computer systems, servers, cloud infrastructure, or storage media in the ordinary course of business—where the record is generated or stored simultaneously across multiple computers—as primary evidence.</w:t>
            </w:r>
          </w:p>
          <w:p>
            <w:pPr>
              <w:spacing w:before="60" w:after="60" w:line="276" w:lineRule="auto"/>
              <w:ind w:left="173" w:right="173"/>
            </w:pPr>
            <w:r>
              <w:rPr>
                <w:rFonts w:ascii="Calibri" w:hAnsi="Calibri"/>
                <w:b/>
                <w:color w:val="1A365D"/>
                <w:sz w:val="20"/>
              </w:rPr>
              <w:t>Section 63 BSA (Secondary Electronic Records Admissibility &amp; Certificate Requirements):</w:t>
            </w:r>
            <w:r>
              <w:rPr>
                <w:rFonts w:ascii="Calibri" w:hAnsi="Calibri"/>
                <w:color w:val="2D3748"/>
                <w:sz w:val="20"/>
              </w:rPr>
            </w:r>
          </w:p>
          <w:p>
            <w:pPr>
              <w:spacing w:before="60" w:after="60" w:line="276" w:lineRule="auto"/>
              <w:ind w:left="173" w:right="173"/>
            </w:pPr>
            <w:r>
              <w:rPr>
                <w:rFonts w:ascii="Calibri" w:hAnsi="Calibri"/>
                <w:b/>
                <w:color w:val="1A365D"/>
                <w:sz w:val="20"/>
              </w:rPr>
              <w:t>• Certificate Framework:</w:t>
            </w:r>
            <w:r>
              <w:rPr>
                <w:rFonts w:ascii="Calibri" w:hAnsi="Calibri"/>
                <w:color w:val="2D3748"/>
                <w:sz w:val="20"/>
              </w:rPr>
              <w:t xml:space="preserve"> Section 63(4) provides that secondary electronic records tendered in evidence must be accompanied by a certificate adhering to the Schedule of the BSA.</w:t>
            </w:r>
          </w:p>
          <w:p>
            <w:pPr>
              <w:spacing w:before="60" w:after="60" w:line="276" w:lineRule="auto"/>
              <w:ind w:left="173" w:right="173"/>
            </w:pPr>
            <w:r>
              <w:rPr>
                <w:rFonts w:ascii="Calibri" w:hAnsi="Calibri"/>
                <w:b/>
                <w:color w:val="1A365D"/>
                <w:sz w:val="20"/>
              </w:rPr>
              <w:t>• Statutory Schedule Requirements:</w:t>
            </w:r>
            <w:r>
              <w:rPr>
                <w:rFonts w:ascii="Calibri" w:hAnsi="Calibri"/>
                <w:color w:val="2D3748"/>
                <w:sz w:val="20"/>
              </w:rPr>
            </w:r>
          </w:p>
          <w:p>
            <w:pPr>
              <w:spacing w:before="60" w:after="60" w:line="276" w:lineRule="auto"/>
              <w:ind w:left="173" w:right="173"/>
            </w:pPr>
            <w:r>
              <w:rPr>
                <w:rFonts w:ascii="Calibri" w:hAnsi="Calibri"/>
                <w:b/>
                <w:color w:val="1A365D"/>
                <w:sz w:val="20"/>
              </w:rPr>
              <w:t xml:space="preserve">  - Schedule Part A:</w:t>
            </w:r>
            <w:r>
              <w:rPr>
                <w:rFonts w:ascii="Calibri" w:hAnsi="Calibri"/>
                <w:color w:val="2D3748"/>
                <w:sz w:val="20"/>
              </w:rPr>
              <w:t xml:space="preserve"> Completed by the party producing the record, identifying the electronic output, device description, lawful custody, and confirming normal operation.</w:t>
            </w:r>
          </w:p>
          <w:p>
            <w:pPr>
              <w:spacing w:before="60" w:after="60" w:line="276" w:lineRule="auto"/>
              <w:ind w:left="173" w:right="173"/>
            </w:pPr>
            <w:r>
              <w:rPr>
                <w:rFonts w:ascii="Calibri" w:hAnsi="Calibri"/>
                <w:b/>
                <w:color w:val="1A365D"/>
                <w:sz w:val="20"/>
              </w:rPr>
              <w:t xml:space="preserve">  - Schedule Part B:</w:t>
            </w:r>
            <w:r>
              <w:rPr>
                <w:rFonts w:ascii="Calibri" w:hAnsi="Calibri"/>
                <w:color w:val="2D3748"/>
                <w:sz w:val="20"/>
              </w:rPr>
              <w:t xml:space="preserve"> Completed by an authorized expert or systems manager, specifying technical specifications, network environment, cryptographic hash value, and explicit hashing algorithm (e.g., SHA-256).</w:t>
            </w:r>
          </w:p>
          <w:p>
            <w:pPr>
              <w:spacing w:before="60" w:after="60" w:line="276" w:lineRule="auto"/>
              <w:ind w:left="173" w:right="173"/>
            </w:pPr>
            <w:r>
              <w:rPr>
                <w:rFonts w:ascii="Calibri" w:hAnsi="Calibri"/>
                <w:b/>
                <w:color w:val="1A365D"/>
                <w:sz w:val="20"/>
              </w:rPr>
              <w:t>• Precise Evidential Scope &amp; Qualifications:</w:t>
            </w:r>
            <w:r>
              <w:rPr>
                <w:rFonts w:ascii="Calibri" w:hAnsi="Calibri"/>
                <w:color w:val="2D3748"/>
                <w:sz w:val="20"/>
              </w:rPr>
              <w:t xml:space="preserve"> While compliance with Section 63 certificate requirements is standard for admitting secondary electronic records, the rule is not an unconditional, mechanical bar across all contexts: primary electronic evidence produced from original devices (Section 62) operates on distinct evidential footings; procedural mechanisms enable courts to summon custodians or order forensic verification; and pre-existing jurisprudence (such as Arjun Panditrao Gorantyal, decided under former Evidence Act Section 65B) informs the interpretation of BSA Section 63 only to the extent consistent with the revised statutory text and subsequent judicial rulings under the BSA.</w:t>
            </w:r>
          </w:p>
        </w:tc>
      </w:tr>
    </w:tbl>
    <w:p>
      <w:pPr>
        <w:keepNext/>
        <w:spacing w:before="280" w:after="120"/>
      </w:pPr>
      <w:r>
        <w:rPr>
          <w:rFonts w:ascii="Calibri" w:hAnsi="Calibri"/>
          <w:b/>
          <w:color w:val="2B6CB0"/>
          <w:sz w:val="26"/>
        </w:rPr>
        <w:t>Section 4: Standardized Substantive and Procedural Knowledge Records</w:t>
      </w:r>
    </w:p>
    <w:p>
      <w:pPr>
        <w:spacing w:before="160" w:after="160"/>
      </w:pPr>
      <w:r>
        <w:rPr>
          <w:rFonts w:ascii="Consolas" w:hAnsi="Consolas"/>
          <w:color w:val="A0AEC0"/>
          <w:sz w:val="19"/>
        </w:rPr>
        <w:t>================================================================================</w:t>
      </w:r>
    </w:p>
    <w:p>
      <w:pPr>
        <w:keepNext/>
        <w:spacing w:before="160" w:after="80"/>
      </w:pPr>
      <w:r>
        <w:rPr>
          <w:rFonts w:ascii="Calibri" w:hAnsi="Calibri"/>
          <w:b/>
          <w:color w:val="1A365D"/>
          <w:sz w:val="24"/>
        </w:rPr>
        <w:t>Record: IND-CONST-ART014-V2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DOCUMENT_ID:</w:t>
            </w:r>
            <w:r>
              <w:rPr>
                <w:rFonts w:ascii="Calibri" w:hAnsi="Calibri"/>
                <w:color w:val="2D3748"/>
                <w:sz w:val="20"/>
              </w:rPr>
              <w:t xml:space="preserve"> IND-CONST-ART014-V2</w:t>
            </w:r>
          </w:p>
          <w:p>
            <w:pPr>
              <w:spacing w:before="60" w:after="60" w:line="276" w:lineRule="auto"/>
              <w:ind w:left="173" w:right="173"/>
            </w:pPr>
            <w:r>
              <w:rPr>
                <w:rFonts w:ascii="Calibri" w:hAnsi="Calibri"/>
                <w:b/>
                <w:color w:val="1A365D"/>
                <w:sz w:val="20"/>
              </w:rPr>
              <w:t>TITLE:</w:t>
            </w:r>
            <w:r>
              <w:rPr>
                <w:rFonts w:ascii="Calibri" w:hAnsi="Calibri"/>
                <w:color w:val="2D3748"/>
                <w:sz w:val="20"/>
              </w:rPr>
              <w:t xml:space="preserve"> Fundamental Right to Equality and Non-Arbitrariness</w:t>
            </w:r>
          </w:p>
          <w:p>
            <w:pPr>
              <w:spacing w:before="60" w:after="60" w:line="276" w:lineRule="auto"/>
              <w:ind w:left="173" w:right="173"/>
            </w:pPr>
            <w:r>
              <w:rPr>
                <w:rFonts w:ascii="Calibri" w:hAnsi="Calibri"/>
                <w:b/>
                <w:color w:val="1A365D"/>
                <w:sz w:val="20"/>
              </w:rPr>
              <w:t>LEGAL_AREA:</w:t>
            </w:r>
            <w:r>
              <w:rPr>
                <w:rFonts w:ascii="Calibri" w:hAnsi="Calibri"/>
                <w:color w:val="2D3748"/>
                <w:sz w:val="20"/>
              </w:rPr>
              <w:t xml:space="preserve"> Constitutional Law</w:t>
            </w:r>
          </w:p>
          <w:p>
            <w:pPr>
              <w:spacing w:before="60" w:after="60" w:line="276" w:lineRule="auto"/>
              <w:ind w:left="173" w:right="173"/>
            </w:pPr>
            <w:r>
              <w:rPr>
                <w:rFonts w:ascii="Calibri" w:hAnsi="Calibri"/>
                <w:b/>
                <w:color w:val="1A365D"/>
                <w:sz w:val="20"/>
              </w:rPr>
              <w:t>SUB_AREA:</w:t>
            </w:r>
            <w:r>
              <w:rPr>
                <w:rFonts w:ascii="Calibri" w:hAnsi="Calibri"/>
                <w:color w:val="2D3748"/>
                <w:sz w:val="20"/>
              </w:rPr>
              <w:t xml:space="preserve"> Fundamental Rights (Part III)</w:t>
            </w:r>
          </w:p>
          <w:p>
            <w:pPr>
              <w:spacing w:before="60" w:after="60" w:line="276" w:lineRule="auto"/>
              <w:ind w:left="173" w:right="173"/>
            </w:pPr>
            <w:r>
              <w:rPr>
                <w:rFonts w:ascii="Calibri" w:hAnsi="Calibri"/>
                <w:b/>
                <w:color w:val="1A365D"/>
                <w:sz w:val="20"/>
              </w:rPr>
              <w:t>SOURCE_TYPE:</w:t>
            </w:r>
            <w:r>
              <w:rPr>
                <w:rFonts w:ascii="Calibri" w:hAnsi="Calibri"/>
                <w:color w:val="2D3748"/>
                <w:sz w:val="20"/>
              </w:rPr>
              <w:t xml:space="preserve"> Constitution</w:t>
            </w:r>
          </w:p>
          <w:p>
            <w:pPr>
              <w:spacing w:before="60" w:after="60" w:line="276" w:lineRule="auto"/>
              <w:ind w:left="173" w:right="173"/>
            </w:pPr>
            <w:r>
              <w:rPr>
                <w:rFonts w:ascii="Calibri" w:hAnsi="Calibri"/>
                <w:b/>
                <w:color w:val="1A365D"/>
                <w:sz w:val="20"/>
              </w:rPr>
              <w:t>AUTHORITY_LEVEL:</w:t>
            </w:r>
            <w:r>
              <w:rPr>
                <w:rFonts w:ascii="Calibri" w:hAnsi="Calibri"/>
                <w:color w:val="2D3748"/>
                <w:sz w:val="20"/>
              </w:rPr>
              <w:t xml:space="preserve"> Level 1 - Supreme Lex</w:t>
            </w:r>
          </w:p>
          <w:p>
            <w:pPr>
              <w:spacing w:before="60" w:after="60" w:line="276" w:lineRule="auto"/>
              <w:ind w:left="173" w:right="173"/>
            </w:pPr>
            <w:r>
              <w:rPr>
                <w:rFonts w:ascii="Calibri" w:hAnsi="Calibri"/>
                <w:b/>
                <w:color w:val="1A365D"/>
                <w:sz w:val="20"/>
              </w:rPr>
              <w:t>JURISDICTION:</w:t>
            </w:r>
            <w:r>
              <w:rPr>
                <w:rFonts w:ascii="Calibri" w:hAnsi="Calibri"/>
                <w:color w:val="2D3748"/>
                <w:sz w:val="20"/>
              </w:rPr>
              <w:t xml:space="preserve"> Union of India</w:t>
            </w:r>
          </w:p>
          <w:p>
            <w:pPr>
              <w:spacing w:before="60" w:after="60" w:line="276" w:lineRule="auto"/>
              <w:ind w:left="173" w:right="173"/>
            </w:pPr>
            <w:r>
              <w:rPr>
                <w:rFonts w:ascii="Calibri" w:hAnsi="Calibri"/>
                <w:b/>
                <w:color w:val="1A365D"/>
                <w:sz w:val="20"/>
              </w:rPr>
              <w:t>STATE_OR_UT:</w:t>
            </w:r>
            <w:r>
              <w:rPr>
                <w:rFonts w:ascii="Calibri" w:hAnsi="Calibri"/>
                <w:color w:val="2D3748"/>
                <w:sz w:val="20"/>
              </w:rPr>
              <w:t xml:space="preserve"> All States and Union Territories</w:t>
            </w:r>
          </w:p>
          <w:p>
            <w:pPr>
              <w:spacing w:before="60" w:after="60" w:line="276" w:lineRule="auto"/>
              <w:ind w:left="173" w:right="173"/>
            </w:pPr>
            <w:r>
              <w:rPr>
                <w:rFonts w:ascii="Calibri" w:hAnsi="Calibri"/>
                <w:b/>
                <w:color w:val="1A365D"/>
                <w:sz w:val="20"/>
              </w:rPr>
              <w:t>COURT_OR_AUTHORITY:</w:t>
            </w:r>
            <w:r>
              <w:rPr>
                <w:rFonts w:ascii="Calibri" w:hAnsi="Calibri"/>
                <w:color w:val="2D3748"/>
                <w:sz w:val="20"/>
              </w:rPr>
              <w:t xml:space="preserve"> Supreme Court of India / High Courts</w:t>
            </w:r>
          </w:p>
          <w:p>
            <w:pPr>
              <w:spacing w:before="60" w:after="60" w:line="276" w:lineRule="auto"/>
              <w:ind w:left="173" w:right="173"/>
            </w:pPr>
            <w:r>
              <w:rPr>
                <w:rFonts w:ascii="Calibri" w:hAnsi="Calibri"/>
                <w:b/>
                <w:color w:val="1A365D"/>
                <w:sz w:val="20"/>
              </w:rPr>
              <w:t>STATUTE:</w:t>
            </w:r>
            <w:r>
              <w:rPr>
                <w:rFonts w:ascii="Calibri" w:hAnsi="Calibri"/>
                <w:color w:val="2D3748"/>
                <w:sz w:val="20"/>
              </w:rPr>
              <w:t xml:space="preserve"> Constitution of India</w:t>
            </w:r>
          </w:p>
          <w:p>
            <w:pPr>
              <w:spacing w:before="60" w:after="60" w:line="276" w:lineRule="auto"/>
              <w:ind w:left="173" w:right="173"/>
            </w:pPr>
            <w:r>
              <w:rPr>
                <w:rFonts w:ascii="Calibri" w:hAnsi="Calibri"/>
                <w:b/>
                <w:color w:val="1A365D"/>
                <w:sz w:val="20"/>
              </w:rPr>
              <w:t>ARTICLE:</w:t>
            </w:r>
            <w:r>
              <w:rPr>
                <w:rFonts w:ascii="Calibri" w:hAnsi="Calibri"/>
                <w:color w:val="2D3748"/>
                <w:sz w:val="20"/>
              </w:rPr>
              <w:t xml:space="preserve"> Article 14</w:t>
            </w:r>
          </w:p>
          <w:p>
            <w:pPr>
              <w:spacing w:before="60" w:after="60" w:line="276" w:lineRule="auto"/>
              <w:ind w:left="173" w:right="173"/>
            </w:pPr>
            <w:r>
              <w:rPr>
                <w:rFonts w:ascii="Calibri" w:hAnsi="Calibri"/>
                <w:b/>
                <w:color w:val="1A365D"/>
                <w:sz w:val="20"/>
              </w:rPr>
              <w:t>SECTION:</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RULE: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LEGAL_PROPOSITION:</w:t>
            </w:r>
            <w:r>
              <w:rPr>
                <w:rFonts w:ascii="Calibri" w:hAnsi="Calibri"/>
                <w:color w:val="2D3748"/>
                <w:sz w:val="20"/>
              </w:rPr>
              <w:t xml:space="preserve"> The State shall not deny to any person equality before the law or the equal protection of the laws within the territory of India.</w:t>
            </w:r>
          </w:p>
          <w:p>
            <w:pPr>
              <w:spacing w:before="60" w:after="60" w:line="276" w:lineRule="auto"/>
              <w:ind w:left="173" w:right="173"/>
            </w:pPr>
            <w:r>
              <w:rPr>
                <w:rFonts w:ascii="Calibri" w:hAnsi="Calibri"/>
                <w:b/>
                <w:color w:val="1A365D"/>
                <w:sz w:val="20"/>
              </w:rPr>
              <w:t>SIMPLE_EXPLANATION:</w:t>
            </w:r>
            <w:r>
              <w:rPr>
                <w:rFonts w:ascii="Calibri" w:hAnsi="Calibri"/>
                <w:color w:val="2D3748"/>
                <w:sz w:val="20"/>
              </w:rPr>
              <w:t xml:space="preserve"> The State must treat similarly situated individuals equally. It prohibits arbitrary state action and unreasonable class legislation, while permitting reasonable classification based on an intelligible differentia having a rational nexus to the legislative objective sought to be achieved.</w:t>
            </w:r>
          </w:p>
          <w:p>
            <w:pPr>
              <w:spacing w:before="60" w:after="60" w:line="276" w:lineRule="auto"/>
              <w:ind w:left="173" w:right="173"/>
            </w:pPr>
            <w:r>
              <w:rPr>
                <w:rFonts w:ascii="Calibri" w:hAnsi="Calibri"/>
                <w:b/>
                <w:color w:val="1A365D"/>
                <w:sz w:val="20"/>
              </w:rPr>
              <w:t>APPLICATION / WHEN RELEVANT:</w:t>
            </w:r>
            <w:r>
              <w:rPr>
                <w:rFonts w:ascii="Calibri" w:hAnsi="Calibri"/>
                <w:color w:val="2D3748"/>
                <w:sz w:val="20"/>
              </w:rPr>
              <w:t xml:space="preserve"> Challenging arbitrary executive actions, discriminatory public tenders, unequal statutory classifications, and disproportionate administrative measures under Articles 32 and 226.</w:t>
            </w:r>
          </w:p>
          <w:p>
            <w:pPr>
              <w:spacing w:before="60" w:after="60" w:line="276" w:lineRule="auto"/>
              <w:ind w:left="173" w:right="173"/>
            </w:pPr>
            <w:r>
              <w:rPr>
                <w:rFonts w:ascii="Calibri" w:hAnsi="Calibri"/>
                <w:b/>
                <w:color w:val="1A365D"/>
                <w:sz w:val="20"/>
              </w:rPr>
              <w:t>EXCEPTIONS / LIMITATIONS:</w:t>
            </w:r>
            <w:r>
              <w:rPr>
                <w:rFonts w:ascii="Calibri" w:hAnsi="Calibri"/>
                <w:color w:val="2D3748"/>
                <w:sz w:val="20"/>
              </w:rPr>
              <w:t xml:space="preserve"> Affirmative action and protective measures authorized under Articles 15 and 16.</w:t>
            </w:r>
          </w:p>
          <w:p>
            <w:pPr>
              <w:spacing w:before="60" w:after="60" w:line="276" w:lineRule="auto"/>
              <w:ind w:left="173" w:right="173"/>
            </w:pPr>
            <w:r>
              <w:rPr>
                <w:rFonts w:ascii="Calibri" w:hAnsi="Calibri"/>
                <w:b/>
                <w:color w:val="1A365D"/>
                <w:sz w:val="20"/>
              </w:rPr>
              <w:t>IMPORTANT_QUALIFICATIONS:</w:t>
            </w:r>
            <w:r>
              <w:rPr>
                <w:rFonts w:ascii="Calibri" w:hAnsi="Calibri"/>
                <w:color w:val="2D3748"/>
                <w:sz w:val="20"/>
              </w:rPr>
              <w:t xml:space="preserve"> Article 14 embodies a dynamic principle against arbitrariness (E.P. Royappa v. State of Tamil Nadu). A classification is void if it is unreasonable, lacks an intelligible differentia, or bears no rational nexus to a legitimate state objective.</w:t>
            </w:r>
          </w:p>
          <w:p>
            <w:pPr>
              <w:spacing w:before="60" w:after="60" w:line="276" w:lineRule="auto"/>
              <w:ind w:left="173" w:right="173"/>
            </w:pPr>
            <w:r>
              <w:rPr>
                <w:rFonts w:ascii="Calibri" w:hAnsi="Calibri"/>
                <w:b/>
                <w:color w:val="1A365D"/>
                <w:sz w:val="20"/>
              </w:rPr>
              <w:t>RELATED_PROVISIONS:</w:t>
            </w:r>
            <w:r>
              <w:rPr>
                <w:rFonts w:ascii="Calibri" w:hAnsi="Calibri"/>
                <w:color w:val="2D3748"/>
                <w:sz w:val="20"/>
              </w:rPr>
              <w:t xml:space="preserve"> Articles 15, 16, 19, 21, 32, 226.</w:t>
            </w:r>
          </w:p>
          <w:p>
            <w:pPr>
              <w:spacing w:before="60" w:after="60" w:line="276" w:lineRule="auto"/>
              <w:ind w:left="173" w:right="173"/>
            </w:pPr>
            <w:r>
              <w:rPr>
                <w:rFonts w:ascii="Calibri" w:hAnsi="Calibri"/>
                <w:b/>
                <w:color w:val="1A365D"/>
                <w:sz w:val="20"/>
              </w:rPr>
              <w:t>RELATED_CASE_LAW:</w:t>
            </w:r>
            <w:r>
              <w:rPr>
                <w:rFonts w:ascii="Calibri" w:hAnsi="Calibri"/>
                <w:color w:val="2D3748"/>
                <w:sz w:val="20"/>
              </w:rPr>
              <w:t xml:space="preserve"> E.P. Royappa v. State of Tamil Nadu (1974) 4 SCC 3; Shayara Bano v. Union of India (2017) 9 SCC 1.</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w:t>
            </w:r>
          </w:p>
          <w:p>
            <w:pPr>
              <w:spacing w:before="60" w:after="60" w:line="276" w:lineRule="auto"/>
              <w:ind w:left="173" w:right="173"/>
            </w:pPr>
            <w:r>
              <w:rPr>
                <w:rFonts w:ascii="Calibri" w:hAnsi="Calibri"/>
                <w:b/>
                <w:color w:val="1A365D"/>
                <w:sz w:val="20"/>
              </w:rPr>
              <w:t>EFFECTIVE_FROM:</w:t>
            </w:r>
            <w:r>
              <w:rPr>
                <w:rFonts w:ascii="Calibri" w:hAnsi="Calibri"/>
                <w:color w:val="2D3748"/>
                <w:sz w:val="20"/>
              </w:rPr>
              <w:t xml:space="preserve"> 1950-01-26</w:t>
            </w:r>
          </w:p>
          <w:p>
            <w:pPr>
              <w:spacing w:before="60" w:after="60" w:line="276" w:lineRule="auto"/>
              <w:ind w:left="173" w:right="173"/>
            </w:pPr>
            <w:r>
              <w:rPr>
                <w:rFonts w:ascii="Calibri" w:hAnsi="Calibri"/>
                <w:b/>
                <w:color w:val="1A365D"/>
                <w:sz w:val="20"/>
              </w:rPr>
              <w:t>EFFECTIVE_TO:</w:t>
            </w:r>
            <w:r>
              <w:rPr>
                <w:rFonts w:ascii="Calibri" w:hAnsi="Calibri"/>
                <w:color w:val="2D3748"/>
                <w:sz w:val="20"/>
              </w:rPr>
              <w:t xml:space="preserve"> Open</w:t>
            </w:r>
          </w:p>
          <w:p>
            <w:pPr>
              <w:spacing w:before="60" w:after="60" w:line="276" w:lineRule="auto"/>
              <w:ind w:left="173" w:right="173"/>
            </w:pPr>
            <w:r>
              <w:rPr>
                <w:rFonts w:ascii="Calibri" w:hAnsi="Calibri"/>
                <w:b/>
                <w:color w:val="1A365D"/>
                <w:sz w:val="20"/>
              </w:rPr>
              <w:t>HISTORICAL_APPLICABILITY:</w:t>
            </w:r>
            <w:r>
              <w:rPr>
                <w:rFonts w:ascii="Calibri" w:hAnsi="Calibri"/>
                <w:color w:val="2D3748"/>
                <w:sz w:val="20"/>
              </w:rPr>
              <w:t xml:space="preserve"> Continuous constitutional force since the adoption of the Constitution on 26 January 1950.</w:t>
            </w:r>
          </w:p>
          <w:p>
            <w:pPr>
              <w:spacing w:before="60" w:after="60" w:line="276" w:lineRule="auto"/>
              <w:ind w:left="173" w:right="173"/>
            </w:pPr>
            <w:r>
              <w:rPr>
                <w:rFonts w:ascii="Calibri" w:hAnsi="Calibri"/>
                <w:b/>
                <w:color w:val="1A365D"/>
                <w:sz w:val="20"/>
              </w:rPr>
              <w:t>OFFICIAL_SOURCE_NAME:</w:t>
            </w:r>
            <w:r>
              <w:rPr>
                <w:rFonts w:ascii="Calibri" w:hAnsi="Calibri"/>
                <w:color w:val="2D3748"/>
                <w:sz w:val="20"/>
              </w:rPr>
              <w:t xml:space="preserve"> Legislative Department, Ministry of Law and Justice, Government of India</w:t>
            </w:r>
          </w:p>
          <w:p>
            <w:pPr>
              <w:spacing w:before="60" w:after="60" w:line="276" w:lineRule="auto"/>
              <w:ind w:left="173" w:right="173"/>
            </w:pPr>
            <w:r>
              <w:rPr>
                <w:rFonts w:ascii="Calibri" w:hAnsi="Calibri"/>
                <w:b/>
                <w:color w:val="1A365D"/>
                <w:sz w:val="20"/>
              </w:rPr>
              <w:t>OFFICIAL_SOURCE_URL:</w:t>
            </w:r>
            <w:r>
              <w:rPr>
                <w:rFonts w:ascii="Calibri" w:hAnsi="Calibri"/>
                <w:color w:val="2D3748"/>
                <w:sz w:val="20"/>
              </w:rPr>
              <w:t xml:space="preserve"> https://lddashboard.nic.in</w:t>
            </w:r>
          </w:p>
          <w:p>
            <w:pPr>
              <w:spacing w:before="60" w:after="60" w:line="276" w:lineRule="auto"/>
              <w:ind w:left="173" w:right="173"/>
            </w:pPr>
            <w:r>
              <w:rPr>
                <w:rFonts w:ascii="Calibri" w:hAnsi="Calibri"/>
                <w:b/>
                <w:color w:val="1A365D"/>
                <w:sz w:val="20"/>
              </w:rPr>
              <w:t>OFFICIAL_IDENTIFIER:</w:t>
            </w:r>
            <w:r>
              <w:rPr>
                <w:rFonts w:ascii="Calibri" w:hAnsi="Calibri"/>
                <w:color w:val="2D3748"/>
                <w:sz w:val="20"/>
              </w:rPr>
              <w:t xml:space="preserve"> Const. of India, Art. 14</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Constitution of India, Part III, Art. 14</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Article 14, equality before law, equal protection, reasonable classification, intelligible differentia, arbitrariness</w:t>
            </w:r>
          </w:p>
          <w:p>
            <w:pPr>
              <w:spacing w:before="60" w:after="60" w:line="276" w:lineRule="auto"/>
              <w:ind w:left="173" w:right="173"/>
            </w:pPr>
            <w:r>
              <w:rPr>
                <w:rFonts w:ascii="Calibri" w:hAnsi="Calibri"/>
                <w:b/>
                <w:color w:val="1A365D"/>
                <w:sz w:val="20"/>
              </w:rPr>
              <w:t>VERSION:</w:t>
            </w:r>
            <w:r>
              <w:rPr>
                <w:rFonts w:ascii="Calibri" w:hAnsi="Calibri"/>
                <w:color w:val="2D3748"/>
                <w:sz w:val="20"/>
              </w:rPr>
              <w:t xml:space="preserve"> 2.1</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Record: IND-CONST-ART021-V2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DOCUMENT_ID:</w:t>
            </w:r>
            <w:r>
              <w:rPr>
                <w:rFonts w:ascii="Calibri" w:hAnsi="Calibri"/>
                <w:color w:val="2D3748"/>
                <w:sz w:val="20"/>
              </w:rPr>
              <w:t xml:space="preserve"> IND-CONST-ART021-V2</w:t>
            </w:r>
          </w:p>
          <w:p>
            <w:pPr>
              <w:spacing w:before="60" w:after="60" w:line="276" w:lineRule="auto"/>
              <w:ind w:left="173" w:right="173"/>
            </w:pPr>
            <w:r>
              <w:rPr>
                <w:rFonts w:ascii="Calibri" w:hAnsi="Calibri"/>
                <w:b/>
                <w:color w:val="1A365D"/>
                <w:sz w:val="20"/>
              </w:rPr>
              <w:t>TITLE:</w:t>
            </w:r>
            <w:r>
              <w:rPr>
                <w:rFonts w:ascii="Calibri" w:hAnsi="Calibri"/>
                <w:color w:val="2D3748"/>
                <w:sz w:val="20"/>
              </w:rPr>
              <w:t xml:space="preserve"> Protection of Life, Personal Liberty, and Substantive Due Process</w:t>
            </w:r>
          </w:p>
          <w:p>
            <w:pPr>
              <w:spacing w:before="60" w:after="60" w:line="276" w:lineRule="auto"/>
              <w:ind w:left="173" w:right="173"/>
            </w:pPr>
            <w:r>
              <w:rPr>
                <w:rFonts w:ascii="Calibri" w:hAnsi="Calibri"/>
                <w:b/>
                <w:color w:val="1A365D"/>
                <w:sz w:val="20"/>
              </w:rPr>
              <w:t>LEGAL_AREA:</w:t>
            </w:r>
            <w:r>
              <w:rPr>
                <w:rFonts w:ascii="Calibri" w:hAnsi="Calibri"/>
                <w:color w:val="2D3748"/>
                <w:sz w:val="20"/>
              </w:rPr>
              <w:t xml:space="preserve"> Constitutional Law</w:t>
            </w:r>
          </w:p>
          <w:p>
            <w:pPr>
              <w:spacing w:before="60" w:after="60" w:line="276" w:lineRule="auto"/>
              <w:ind w:left="173" w:right="173"/>
            </w:pPr>
            <w:r>
              <w:rPr>
                <w:rFonts w:ascii="Calibri" w:hAnsi="Calibri"/>
                <w:b/>
                <w:color w:val="1A365D"/>
                <w:sz w:val="20"/>
              </w:rPr>
              <w:t>SUB_AREA:</w:t>
            </w:r>
            <w:r>
              <w:rPr>
                <w:rFonts w:ascii="Calibri" w:hAnsi="Calibri"/>
                <w:color w:val="2D3748"/>
                <w:sz w:val="20"/>
              </w:rPr>
              <w:t xml:space="preserve"> Fundamental Rights (Part III)</w:t>
            </w:r>
          </w:p>
          <w:p>
            <w:pPr>
              <w:spacing w:before="60" w:after="60" w:line="276" w:lineRule="auto"/>
              <w:ind w:left="173" w:right="173"/>
            </w:pPr>
            <w:r>
              <w:rPr>
                <w:rFonts w:ascii="Calibri" w:hAnsi="Calibri"/>
                <w:b/>
                <w:color w:val="1A365D"/>
                <w:sz w:val="20"/>
              </w:rPr>
              <w:t>SOURCE_TYPE:</w:t>
            </w:r>
            <w:r>
              <w:rPr>
                <w:rFonts w:ascii="Calibri" w:hAnsi="Calibri"/>
                <w:color w:val="2D3748"/>
                <w:sz w:val="20"/>
              </w:rPr>
              <w:t xml:space="preserve"> Constitution</w:t>
            </w:r>
          </w:p>
          <w:p>
            <w:pPr>
              <w:spacing w:before="60" w:after="60" w:line="276" w:lineRule="auto"/>
              <w:ind w:left="173" w:right="173"/>
            </w:pPr>
            <w:r>
              <w:rPr>
                <w:rFonts w:ascii="Calibri" w:hAnsi="Calibri"/>
                <w:b/>
                <w:color w:val="1A365D"/>
                <w:sz w:val="20"/>
              </w:rPr>
              <w:t>AUTHORITY_LEVEL:</w:t>
            </w:r>
            <w:r>
              <w:rPr>
                <w:rFonts w:ascii="Calibri" w:hAnsi="Calibri"/>
                <w:color w:val="2D3748"/>
                <w:sz w:val="20"/>
              </w:rPr>
              <w:t xml:space="preserve"> Level 1 - Supreme Lex</w:t>
            </w:r>
          </w:p>
          <w:p>
            <w:pPr>
              <w:spacing w:before="60" w:after="60" w:line="276" w:lineRule="auto"/>
              <w:ind w:left="173" w:right="173"/>
            </w:pPr>
            <w:r>
              <w:rPr>
                <w:rFonts w:ascii="Calibri" w:hAnsi="Calibri"/>
                <w:b/>
                <w:color w:val="1A365D"/>
                <w:sz w:val="20"/>
              </w:rPr>
              <w:t>JURISDICTION:</w:t>
            </w:r>
            <w:r>
              <w:rPr>
                <w:rFonts w:ascii="Calibri" w:hAnsi="Calibri"/>
                <w:color w:val="2D3748"/>
                <w:sz w:val="20"/>
              </w:rPr>
              <w:t xml:space="preserve"> Union of India</w:t>
            </w:r>
          </w:p>
          <w:p>
            <w:pPr>
              <w:spacing w:before="60" w:after="60" w:line="276" w:lineRule="auto"/>
              <w:ind w:left="173" w:right="173"/>
            </w:pPr>
            <w:r>
              <w:rPr>
                <w:rFonts w:ascii="Calibri" w:hAnsi="Calibri"/>
                <w:b/>
                <w:color w:val="1A365D"/>
                <w:sz w:val="20"/>
              </w:rPr>
              <w:t>STATE_OR_UT:</w:t>
            </w:r>
            <w:r>
              <w:rPr>
                <w:rFonts w:ascii="Calibri" w:hAnsi="Calibri"/>
                <w:color w:val="2D3748"/>
                <w:sz w:val="20"/>
              </w:rPr>
              <w:t xml:space="preserve"> All States and Union Territories</w:t>
            </w:r>
          </w:p>
          <w:p>
            <w:pPr>
              <w:spacing w:before="60" w:after="60" w:line="276" w:lineRule="auto"/>
              <w:ind w:left="173" w:right="173"/>
            </w:pPr>
            <w:r>
              <w:rPr>
                <w:rFonts w:ascii="Calibri" w:hAnsi="Calibri"/>
                <w:b/>
                <w:color w:val="1A365D"/>
                <w:sz w:val="20"/>
              </w:rPr>
              <w:t>COURT_OR_AUTHORITY:</w:t>
            </w:r>
            <w:r>
              <w:rPr>
                <w:rFonts w:ascii="Calibri" w:hAnsi="Calibri"/>
                <w:color w:val="2D3748"/>
                <w:sz w:val="20"/>
              </w:rPr>
              <w:t xml:space="preserve"> Supreme Court of India / High Courts</w:t>
            </w:r>
          </w:p>
          <w:p>
            <w:pPr>
              <w:spacing w:before="60" w:after="60" w:line="276" w:lineRule="auto"/>
              <w:ind w:left="173" w:right="173"/>
            </w:pPr>
            <w:r>
              <w:rPr>
                <w:rFonts w:ascii="Calibri" w:hAnsi="Calibri"/>
                <w:b/>
                <w:color w:val="1A365D"/>
                <w:sz w:val="20"/>
              </w:rPr>
              <w:t>STATUTE:</w:t>
            </w:r>
            <w:r>
              <w:rPr>
                <w:rFonts w:ascii="Calibri" w:hAnsi="Calibri"/>
                <w:color w:val="2D3748"/>
                <w:sz w:val="20"/>
              </w:rPr>
              <w:t xml:space="preserve"> Constitution of India</w:t>
            </w:r>
          </w:p>
          <w:p>
            <w:pPr>
              <w:spacing w:before="60" w:after="60" w:line="276" w:lineRule="auto"/>
              <w:ind w:left="173" w:right="173"/>
            </w:pPr>
            <w:r>
              <w:rPr>
                <w:rFonts w:ascii="Calibri" w:hAnsi="Calibri"/>
                <w:b/>
                <w:color w:val="1A365D"/>
                <w:sz w:val="20"/>
              </w:rPr>
              <w:t>ARTICLE:</w:t>
            </w:r>
            <w:r>
              <w:rPr>
                <w:rFonts w:ascii="Calibri" w:hAnsi="Calibri"/>
                <w:color w:val="2D3748"/>
                <w:sz w:val="20"/>
              </w:rPr>
              <w:t xml:space="preserve"> Article 21</w:t>
            </w:r>
          </w:p>
          <w:p>
            <w:pPr>
              <w:spacing w:before="60" w:after="60" w:line="276" w:lineRule="auto"/>
              <w:ind w:left="173" w:right="173"/>
            </w:pPr>
            <w:r>
              <w:rPr>
                <w:rFonts w:ascii="Calibri" w:hAnsi="Calibri"/>
                <w:b/>
                <w:color w:val="1A365D"/>
                <w:sz w:val="20"/>
              </w:rPr>
              <w:t>SECTION:</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RULE: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LEGAL_PROPOSITION:</w:t>
            </w:r>
            <w:r>
              <w:rPr>
                <w:rFonts w:ascii="Calibri" w:hAnsi="Calibri"/>
                <w:color w:val="2D3748"/>
                <w:sz w:val="20"/>
              </w:rPr>
              <w:t xml:space="preserve"> No person shall be deprived of his life or personal liberty except according to procedure established by law.</w:t>
            </w:r>
          </w:p>
          <w:p>
            <w:pPr>
              <w:spacing w:before="60" w:after="60" w:line="276" w:lineRule="auto"/>
              <w:ind w:left="173" w:right="173"/>
            </w:pPr>
            <w:r>
              <w:rPr>
                <w:rFonts w:ascii="Calibri" w:hAnsi="Calibri"/>
                <w:b/>
                <w:color w:val="1A365D"/>
                <w:sz w:val="20"/>
              </w:rPr>
              <w:t>SIMPLE_EXPLANATION:</w:t>
            </w:r>
            <w:r>
              <w:rPr>
                <w:rFonts w:ascii="Calibri" w:hAnsi="Calibri"/>
                <w:color w:val="2D3748"/>
                <w:sz w:val="20"/>
              </w:rPr>
              <w:t xml:space="preserve"> The State cannot deprive any person—citizen or foreign national—of life, physical liberty, privacy, or human dignity without a valid law that prescribes a just, fair, and reasonable procedure.</w:t>
            </w:r>
          </w:p>
          <w:p>
            <w:pPr>
              <w:spacing w:before="60" w:after="60" w:line="276" w:lineRule="auto"/>
              <w:ind w:left="173" w:right="173"/>
            </w:pPr>
            <w:r>
              <w:rPr>
                <w:rFonts w:ascii="Calibri" w:hAnsi="Calibri"/>
                <w:b/>
                <w:color w:val="1A365D"/>
                <w:sz w:val="20"/>
              </w:rPr>
              <w:t>APPLICATION / WHEN RELEVANT:</w:t>
            </w:r>
            <w:r>
              <w:rPr>
                <w:rFonts w:ascii="Calibri" w:hAnsi="Calibri"/>
                <w:color w:val="2D3748"/>
                <w:sz w:val="20"/>
              </w:rPr>
              <w:t xml:space="preserve"> Litigating habeas corpus actions, arbitrary police detention, custodial torture, excessive trial delay, privacy violations, and environmental hazards.</w:t>
            </w:r>
          </w:p>
          <w:p>
            <w:pPr>
              <w:spacing w:before="60" w:after="60" w:line="276" w:lineRule="auto"/>
              <w:ind w:left="173" w:right="173"/>
            </w:pPr>
            <w:r>
              <w:rPr>
                <w:rFonts w:ascii="Calibri" w:hAnsi="Calibri"/>
                <w:b/>
                <w:color w:val="1A365D"/>
                <w:sz w:val="20"/>
              </w:rPr>
              <w:t>EXCEPTIONS / LIMITATIONS:</w:t>
            </w:r>
            <w:r>
              <w:rPr>
                <w:rFonts w:ascii="Calibri" w:hAnsi="Calibri"/>
                <w:color w:val="2D3748"/>
                <w:sz w:val="20"/>
              </w:rPr>
              <w:t xml:space="preserve"> Lawful deprivation under penal or preventive statutes that satisfy substantive and procedural fairness.</w:t>
            </w:r>
          </w:p>
          <w:p>
            <w:pPr>
              <w:spacing w:before="60" w:after="60" w:line="276" w:lineRule="auto"/>
              <w:ind w:left="173" w:right="173"/>
            </w:pPr>
            <w:r>
              <w:rPr>
                <w:rFonts w:ascii="Calibri" w:hAnsi="Calibri"/>
                <w:b/>
                <w:color w:val="1A365D"/>
                <w:sz w:val="20"/>
              </w:rPr>
              <w:t>IMPORTANT_QUALIFICATIONS:</w:t>
            </w:r>
            <w:r>
              <w:rPr>
                <w:rFonts w:ascii="Calibri" w:hAnsi="Calibri"/>
                <w:color w:val="2D3748"/>
                <w:sz w:val="20"/>
              </w:rPr>
              <w:t xml:space="preserve"> The procedure established by law must satisfy the Golden Triangle of Articles 14, 19, and 21 (Maneka Gandhi). Article 21 guarantees privacy as an inalienable fundamental right (K.S. Puttaswamy).</w:t>
            </w:r>
          </w:p>
          <w:p>
            <w:pPr>
              <w:spacing w:before="60" w:after="60" w:line="276" w:lineRule="auto"/>
              <w:ind w:left="173" w:right="173"/>
            </w:pPr>
            <w:r>
              <w:rPr>
                <w:rFonts w:ascii="Calibri" w:hAnsi="Calibri"/>
                <w:b/>
                <w:color w:val="1A365D"/>
                <w:sz w:val="20"/>
              </w:rPr>
              <w:t>RELATED_PROVISIONS:</w:t>
            </w:r>
            <w:r>
              <w:rPr>
                <w:rFonts w:ascii="Calibri" w:hAnsi="Calibri"/>
                <w:color w:val="2D3748"/>
                <w:sz w:val="20"/>
              </w:rPr>
              <w:t xml:space="preserve"> Articles 14, 19, 20, 22, 32, 226.</w:t>
            </w:r>
          </w:p>
          <w:p>
            <w:pPr>
              <w:spacing w:before="60" w:after="60" w:line="276" w:lineRule="auto"/>
              <w:ind w:left="173" w:right="173"/>
            </w:pPr>
            <w:r>
              <w:rPr>
                <w:rFonts w:ascii="Calibri" w:hAnsi="Calibri"/>
                <w:b/>
                <w:color w:val="1A365D"/>
                <w:sz w:val="20"/>
              </w:rPr>
              <w:t>RELATED_CASE_LAW:</w:t>
            </w:r>
            <w:r>
              <w:rPr>
                <w:rFonts w:ascii="Calibri" w:hAnsi="Calibri"/>
                <w:color w:val="2D3748"/>
                <w:sz w:val="20"/>
              </w:rPr>
              <w:t xml:space="preserve"> Maneka Gandhi v. Union of India (1978) 1 SCC 248; K.S. Puttaswamy v. Union of India (2017) 10 SCC 1.</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w:t>
            </w:r>
          </w:p>
          <w:p>
            <w:pPr>
              <w:spacing w:before="60" w:after="60" w:line="276" w:lineRule="auto"/>
              <w:ind w:left="173" w:right="173"/>
            </w:pPr>
            <w:r>
              <w:rPr>
                <w:rFonts w:ascii="Calibri" w:hAnsi="Calibri"/>
                <w:b/>
                <w:color w:val="1A365D"/>
                <w:sz w:val="20"/>
              </w:rPr>
              <w:t>EFFECTIVE_FROM:</w:t>
            </w:r>
            <w:r>
              <w:rPr>
                <w:rFonts w:ascii="Calibri" w:hAnsi="Calibri"/>
                <w:color w:val="2D3748"/>
                <w:sz w:val="20"/>
              </w:rPr>
              <w:t xml:space="preserve"> 1950-01-26</w:t>
            </w:r>
          </w:p>
          <w:p>
            <w:pPr>
              <w:spacing w:before="60" w:after="60" w:line="276" w:lineRule="auto"/>
              <w:ind w:left="173" w:right="173"/>
            </w:pPr>
            <w:r>
              <w:rPr>
                <w:rFonts w:ascii="Calibri" w:hAnsi="Calibri"/>
                <w:b/>
                <w:color w:val="1A365D"/>
                <w:sz w:val="20"/>
              </w:rPr>
              <w:t>EFFECTIVE_TO:</w:t>
            </w:r>
            <w:r>
              <w:rPr>
                <w:rFonts w:ascii="Calibri" w:hAnsi="Calibri"/>
                <w:color w:val="2D3748"/>
                <w:sz w:val="20"/>
              </w:rPr>
              <w:t xml:space="preserve"> Open</w:t>
            </w:r>
          </w:p>
          <w:p>
            <w:pPr>
              <w:spacing w:before="60" w:after="60" w:line="276" w:lineRule="auto"/>
              <w:ind w:left="173" w:right="173"/>
            </w:pPr>
            <w:r>
              <w:rPr>
                <w:rFonts w:ascii="Calibri" w:hAnsi="Calibri"/>
                <w:b/>
                <w:color w:val="1A365D"/>
                <w:sz w:val="20"/>
              </w:rPr>
              <w:t>HISTORICAL_APPLICABILITY:</w:t>
            </w:r>
            <w:r>
              <w:rPr>
                <w:rFonts w:ascii="Calibri" w:hAnsi="Calibri"/>
                <w:color w:val="2D3748"/>
                <w:sz w:val="20"/>
              </w:rPr>
              <w:t xml:space="preserve"> Foundational guarantee operative continuously since 26 January 1950, substantively expanded post-1978.</w:t>
            </w:r>
          </w:p>
          <w:p>
            <w:pPr>
              <w:spacing w:before="60" w:after="60" w:line="276" w:lineRule="auto"/>
              <w:ind w:left="173" w:right="173"/>
            </w:pPr>
            <w:r>
              <w:rPr>
                <w:rFonts w:ascii="Calibri" w:hAnsi="Calibri"/>
                <w:b/>
                <w:color w:val="1A365D"/>
                <w:sz w:val="20"/>
              </w:rPr>
              <w:t>OFFICIAL_SOURCE_NAME:</w:t>
            </w:r>
            <w:r>
              <w:rPr>
                <w:rFonts w:ascii="Calibri" w:hAnsi="Calibri"/>
                <w:color w:val="2D3748"/>
                <w:sz w:val="20"/>
              </w:rPr>
              <w:t xml:space="preserve"> Legislative Department, Ministry of Law and Justice, Government of India</w:t>
            </w:r>
          </w:p>
          <w:p>
            <w:pPr>
              <w:spacing w:before="60" w:after="60" w:line="276" w:lineRule="auto"/>
              <w:ind w:left="173" w:right="173"/>
            </w:pPr>
            <w:r>
              <w:rPr>
                <w:rFonts w:ascii="Calibri" w:hAnsi="Calibri"/>
                <w:b/>
                <w:color w:val="1A365D"/>
                <w:sz w:val="20"/>
              </w:rPr>
              <w:t>OFFICIAL_SOURCE_URL:</w:t>
            </w:r>
            <w:r>
              <w:rPr>
                <w:rFonts w:ascii="Calibri" w:hAnsi="Calibri"/>
                <w:color w:val="2D3748"/>
                <w:sz w:val="20"/>
              </w:rPr>
              <w:t xml:space="preserve"> https://lddashboard.nic.in</w:t>
            </w:r>
          </w:p>
          <w:p>
            <w:pPr>
              <w:spacing w:before="60" w:after="60" w:line="276" w:lineRule="auto"/>
              <w:ind w:left="173" w:right="173"/>
            </w:pPr>
            <w:r>
              <w:rPr>
                <w:rFonts w:ascii="Calibri" w:hAnsi="Calibri"/>
                <w:b/>
                <w:color w:val="1A365D"/>
                <w:sz w:val="20"/>
              </w:rPr>
              <w:t>OFFICIAL_IDENTIFIER:</w:t>
            </w:r>
            <w:r>
              <w:rPr>
                <w:rFonts w:ascii="Calibri" w:hAnsi="Calibri"/>
                <w:color w:val="2D3748"/>
                <w:sz w:val="20"/>
              </w:rPr>
              <w:t xml:space="preserve"> Const. of India, Art. 21</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Constitution of India, Part III, Art. 21</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Article 21, life and liberty, due process, fair procedure, privacy, speedy trial, detention, golden triangle</w:t>
            </w:r>
          </w:p>
          <w:p>
            <w:pPr>
              <w:spacing w:before="60" w:after="60" w:line="276" w:lineRule="auto"/>
              <w:ind w:left="173" w:right="173"/>
            </w:pPr>
            <w:r>
              <w:rPr>
                <w:rFonts w:ascii="Calibri" w:hAnsi="Calibri"/>
                <w:b/>
                <w:color w:val="1A365D"/>
                <w:sz w:val="20"/>
              </w:rPr>
              <w:t>VERSION:</w:t>
            </w:r>
            <w:r>
              <w:rPr>
                <w:rFonts w:ascii="Calibri" w:hAnsi="Calibri"/>
                <w:color w:val="2D3748"/>
                <w:sz w:val="20"/>
              </w:rPr>
              <w:t xml:space="preserve"> 2.1</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Record: IND-CONST-WRIT01-V2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DOCUMENT_ID:</w:t>
            </w:r>
            <w:r>
              <w:rPr>
                <w:rFonts w:ascii="Calibri" w:hAnsi="Calibri"/>
                <w:color w:val="2D3748"/>
                <w:sz w:val="20"/>
              </w:rPr>
              <w:t xml:space="preserve"> IND-CONST-WRIT01-V2</w:t>
            </w:r>
          </w:p>
          <w:p>
            <w:pPr>
              <w:spacing w:before="60" w:after="60" w:line="276" w:lineRule="auto"/>
              <w:ind w:left="173" w:right="173"/>
            </w:pPr>
            <w:r>
              <w:rPr>
                <w:rFonts w:ascii="Calibri" w:hAnsi="Calibri"/>
                <w:b/>
                <w:color w:val="1A365D"/>
                <w:sz w:val="20"/>
              </w:rPr>
              <w:t>TITLE:</w:t>
            </w:r>
            <w:r>
              <w:rPr>
                <w:rFonts w:ascii="Calibri" w:hAnsi="Calibri"/>
                <w:color w:val="2D3748"/>
                <w:sz w:val="20"/>
              </w:rPr>
              <w:t xml:space="preserve"> Constitutional Remedies and High Court Prerogative Writ Jurisdiction</w:t>
            </w:r>
          </w:p>
          <w:p>
            <w:pPr>
              <w:spacing w:before="60" w:after="60" w:line="276" w:lineRule="auto"/>
              <w:ind w:left="173" w:right="173"/>
            </w:pPr>
            <w:r>
              <w:rPr>
                <w:rFonts w:ascii="Calibri" w:hAnsi="Calibri"/>
                <w:b/>
                <w:color w:val="1A365D"/>
                <w:sz w:val="20"/>
              </w:rPr>
              <w:t>LEGAL_AREA:</w:t>
            </w:r>
            <w:r>
              <w:rPr>
                <w:rFonts w:ascii="Calibri" w:hAnsi="Calibri"/>
                <w:color w:val="2D3748"/>
                <w:sz w:val="20"/>
              </w:rPr>
              <w:t xml:space="preserve"> Constitutional Law</w:t>
            </w:r>
          </w:p>
          <w:p>
            <w:pPr>
              <w:spacing w:before="60" w:after="60" w:line="276" w:lineRule="auto"/>
              <w:ind w:left="173" w:right="173"/>
            </w:pPr>
            <w:r>
              <w:rPr>
                <w:rFonts w:ascii="Calibri" w:hAnsi="Calibri"/>
                <w:b/>
                <w:color w:val="1A365D"/>
                <w:sz w:val="20"/>
              </w:rPr>
              <w:t>SUB_AREA:</w:t>
            </w:r>
            <w:r>
              <w:rPr>
                <w:rFonts w:ascii="Calibri" w:hAnsi="Calibri"/>
                <w:color w:val="2D3748"/>
                <w:sz w:val="20"/>
              </w:rPr>
              <w:t xml:space="preserve"> Judicial Review and Writ Jurisdiction</w:t>
            </w:r>
          </w:p>
          <w:p>
            <w:pPr>
              <w:spacing w:before="60" w:after="60" w:line="276" w:lineRule="auto"/>
              <w:ind w:left="173" w:right="173"/>
            </w:pPr>
            <w:r>
              <w:rPr>
                <w:rFonts w:ascii="Calibri" w:hAnsi="Calibri"/>
                <w:b/>
                <w:color w:val="1A365D"/>
                <w:sz w:val="20"/>
              </w:rPr>
              <w:t>SOURCE_TYPE:</w:t>
            </w:r>
            <w:r>
              <w:rPr>
                <w:rFonts w:ascii="Calibri" w:hAnsi="Calibri"/>
                <w:color w:val="2D3748"/>
                <w:sz w:val="20"/>
              </w:rPr>
              <w:t xml:space="preserve"> Constitution</w:t>
            </w:r>
          </w:p>
          <w:p>
            <w:pPr>
              <w:spacing w:before="60" w:after="60" w:line="276" w:lineRule="auto"/>
              <w:ind w:left="173" w:right="173"/>
            </w:pPr>
            <w:r>
              <w:rPr>
                <w:rFonts w:ascii="Calibri" w:hAnsi="Calibri"/>
                <w:b/>
                <w:color w:val="1A365D"/>
                <w:sz w:val="20"/>
              </w:rPr>
              <w:t>AUTHORITY_LEVEL:</w:t>
            </w:r>
            <w:r>
              <w:rPr>
                <w:rFonts w:ascii="Calibri" w:hAnsi="Calibri"/>
                <w:color w:val="2D3748"/>
                <w:sz w:val="20"/>
              </w:rPr>
              <w:t xml:space="preserve"> Level 1 - Supreme Lex</w:t>
            </w:r>
          </w:p>
          <w:p>
            <w:pPr>
              <w:spacing w:before="60" w:after="60" w:line="276" w:lineRule="auto"/>
              <w:ind w:left="173" w:right="173"/>
            </w:pPr>
            <w:r>
              <w:rPr>
                <w:rFonts w:ascii="Calibri" w:hAnsi="Calibri"/>
                <w:b/>
                <w:color w:val="1A365D"/>
                <w:sz w:val="20"/>
              </w:rPr>
              <w:t>JURISDICTION:</w:t>
            </w:r>
            <w:r>
              <w:rPr>
                <w:rFonts w:ascii="Calibri" w:hAnsi="Calibri"/>
                <w:color w:val="2D3748"/>
                <w:sz w:val="20"/>
              </w:rPr>
              <w:t xml:space="preserve"> Union of India</w:t>
            </w:r>
          </w:p>
          <w:p>
            <w:pPr>
              <w:spacing w:before="60" w:after="60" w:line="276" w:lineRule="auto"/>
              <w:ind w:left="173" w:right="173"/>
            </w:pPr>
            <w:r>
              <w:rPr>
                <w:rFonts w:ascii="Calibri" w:hAnsi="Calibri"/>
                <w:b/>
                <w:color w:val="1A365D"/>
                <w:sz w:val="20"/>
              </w:rPr>
              <w:t>STATE_OR_UT:</w:t>
            </w:r>
            <w:r>
              <w:rPr>
                <w:rFonts w:ascii="Calibri" w:hAnsi="Calibri"/>
                <w:color w:val="2D3748"/>
                <w:sz w:val="20"/>
              </w:rPr>
              <w:t xml:space="preserve"> All States and Union Territories</w:t>
            </w:r>
          </w:p>
          <w:p>
            <w:pPr>
              <w:spacing w:before="60" w:after="60" w:line="276" w:lineRule="auto"/>
              <w:ind w:left="173" w:right="173"/>
            </w:pPr>
            <w:r>
              <w:rPr>
                <w:rFonts w:ascii="Calibri" w:hAnsi="Calibri"/>
                <w:b/>
                <w:color w:val="1A365D"/>
                <w:sz w:val="20"/>
              </w:rPr>
              <w:t>COURT_OR_AUTHORITY:</w:t>
            </w:r>
            <w:r>
              <w:rPr>
                <w:rFonts w:ascii="Calibri" w:hAnsi="Calibri"/>
                <w:color w:val="2D3748"/>
                <w:sz w:val="20"/>
              </w:rPr>
              <w:t xml:space="preserve"> Supreme Court of India (Art. 32) / High Courts (Art. 226)</w:t>
            </w:r>
          </w:p>
          <w:p>
            <w:pPr>
              <w:spacing w:before="60" w:after="60" w:line="276" w:lineRule="auto"/>
              <w:ind w:left="173" w:right="173"/>
            </w:pPr>
            <w:r>
              <w:rPr>
                <w:rFonts w:ascii="Calibri" w:hAnsi="Calibri"/>
                <w:b/>
                <w:color w:val="1A365D"/>
                <w:sz w:val="20"/>
              </w:rPr>
              <w:t>STATUTE:</w:t>
            </w:r>
            <w:r>
              <w:rPr>
                <w:rFonts w:ascii="Calibri" w:hAnsi="Calibri"/>
                <w:color w:val="2D3748"/>
                <w:sz w:val="20"/>
              </w:rPr>
              <w:t xml:space="preserve"> Constitution of India</w:t>
            </w:r>
          </w:p>
          <w:p>
            <w:pPr>
              <w:spacing w:before="60" w:after="60" w:line="276" w:lineRule="auto"/>
              <w:ind w:left="173" w:right="173"/>
            </w:pPr>
            <w:r>
              <w:rPr>
                <w:rFonts w:ascii="Calibri" w:hAnsi="Calibri"/>
                <w:b/>
                <w:color w:val="1A365D"/>
                <w:sz w:val="20"/>
              </w:rPr>
              <w:t>ARTICLE:</w:t>
            </w:r>
            <w:r>
              <w:rPr>
                <w:rFonts w:ascii="Calibri" w:hAnsi="Calibri"/>
                <w:color w:val="2D3748"/>
                <w:sz w:val="20"/>
              </w:rPr>
              <w:t xml:space="preserve"> Articles 32 and 226</w:t>
            </w:r>
          </w:p>
          <w:p>
            <w:pPr>
              <w:spacing w:before="60" w:after="60" w:line="276" w:lineRule="auto"/>
              <w:ind w:left="173" w:right="173"/>
            </w:pPr>
            <w:r>
              <w:rPr>
                <w:rFonts w:ascii="Calibri" w:hAnsi="Calibri"/>
                <w:b/>
                <w:color w:val="1A365D"/>
                <w:sz w:val="20"/>
              </w:rPr>
              <w:t>SECTION:</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RULE: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LEGAL_PROPOSITION:</w:t>
            </w:r>
            <w:r>
              <w:rPr>
                <w:rFonts w:ascii="Calibri" w:hAnsi="Calibri"/>
                <w:color w:val="2D3748"/>
                <w:sz w:val="20"/>
              </w:rPr>
              <w:t xml:space="preserve"> Article 32 guarantees the fundamental right to move the Supreme Court for Part III enforcement. Article 226 empowers High Courts to issue directions, orders, or writs for fundamental rights and for any other purpose.</w:t>
            </w:r>
          </w:p>
          <w:p>
            <w:pPr>
              <w:spacing w:before="60" w:after="60" w:line="276" w:lineRule="auto"/>
              <w:ind w:left="173" w:right="173"/>
            </w:pPr>
            <w:r>
              <w:rPr>
                <w:rFonts w:ascii="Calibri" w:hAnsi="Calibri"/>
                <w:b/>
                <w:color w:val="1A365D"/>
                <w:sz w:val="20"/>
              </w:rPr>
              <w:t>SIMPLE_EXPLANATION:</w:t>
            </w:r>
            <w:r>
              <w:rPr>
                <w:rFonts w:ascii="Calibri" w:hAnsi="Calibri"/>
                <w:color w:val="2D3748"/>
                <w:sz w:val="20"/>
              </w:rPr>
              <w:t xml:space="preserve"> Article 32 is itself a fundamental right; the Supreme Court cannot refuse relief when a breach of Part III is shown. Article 226 has a wider scope (protecting constitutional and legal rights) but is an extraordinary discretionary remedy.</w:t>
            </w:r>
          </w:p>
          <w:p>
            <w:pPr>
              <w:spacing w:before="60" w:after="60" w:line="276" w:lineRule="auto"/>
              <w:ind w:left="173" w:right="173"/>
            </w:pPr>
            <w:r>
              <w:rPr>
                <w:rFonts w:ascii="Calibri" w:hAnsi="Calibri"/>
                <w:b/>
                <w:color w:val="1A365D"/>
                <w:sz w:val="20"/>
              </w:rPr>
              <w:t>APPLICATION / WHEN RELEVANT:</w:t>
            </w:r>
            <w:r>
              <w:rPr>
                <w:rFonts w:ascii="Calibri" w:hAnsi="Calibri"/>
                <w:color w:val="2D3748"/>
                <w:sz w:val="20"/>
              </w:rPr>
              <w:t xml:space="preserve"> Challenging illegal custody (Habeas Corpus), compelling statutory performance (Mandamus), quashing ultra vires administrative orders (Certiorari), preventing jurisdictional overreach (Prohibition), and challenging unlawful public appointments (Quo Warranto).</w:t>
            </w:r>
          </w:p>
          <w:p>
            <w:pPr>
              <w:spacing w:before="60" w:after="60" w:line="276" w:lineRule="auto"/>
              <w:ind w:left="173" w:right="173"/>
            </w:pPr>
            <w:r>
              <w:rPr>
                <w:rFonts w:ascii="Calibri" w:hAnsi="Calibri"/>
                <w:b/>
                <w:color w:val="1A365D"/>
                <w:sz w:val="20"/>
              </w:rPr>
              <w:t>EXCEPTIONS / LIMITATIONS:</w:t>
            </w:r>
            <w:r>
              <w:rPr>
                <w:rFonts w:ascii="Calibri" w:hAnsi="Calibri"/>
                <w:color w:val="2D3748"/>
                <w:sz w:val="20"/>
              </w:rPr>
              <w:t xml:space="preserve"> High Courts routinely decline petitions under Article 226 if an efficacious alternative statutory remedy exists (e.g., DRT, NCLT, Appellate Tribunals), except where natural justice is breached, jurisdiction is absent, or fundamental rights are infringed.</w:t>
            </w:r>
          </w:p>
          <w:p>
            <w:pPr>
              <w:spacing w:before="60" w:after="60" w:line="276" w:lineRule="auto"/>
              <w:ind w:left="173" w:right="173"/>
            </w:pPr>
            <w:r>
              <w:rPr>
                <w:rFonts w:ascii="Calibri" w:hAnsi="Calibri"/>
                <w:b/>
                <w:color w:val="1A365D"/>
                <w:sz w:val="20"/>
              </w:rPr>
              <w:t>IMPORTANT_QUALIFICATIONS:</w:t>
            </w:r>
            <w:r>
              <w:rPr>
                <w:rFonts w:ascii="Calibri" w:hAnsi="Calibri"/>
                <w:color w:val="2D3748"/>
                <w:sz w:val="20"/>
              </w:rPr>
              <w:t xml:space="preserve"> The writ jurisdiction of the High Courts and Supreme Court forms part of the Basic Structure of the Constitution and cannot be abrogated by statutory ouster clauses (L. Chandra Kumar).</w:t>
            </w:r>
          </w:p>
          <w:p>
            <w:pPr>
              <w:spacing w:before="60" w:after="60" w:line="276" w:lineRule="auto"/>
              <w:ind w:left="173" w:right="173"/>
            </w:pPr>
            <w:r>
              <w:rPr>
                <w:rFonts w:ascii="Calibri" w:hAnsi="Calibri"/>
                <w:b/>
                <w:color w:val="1A365D"/>
                <w:sz w:val="20"/>
              </w:rPr>
              <w:t>RELATED_PROVISIONS:</w:t>
            </w:r>
            <w:r>
              <w:rPr>
                <w:rFonts w:ascii="Calibri" w:hAnsi="Calibri"/>
                <w:color w:val="2D3748"/>
                <w:sz w:val="20"/>
              </w:rPr>
              <w:t xml:space="preserve"> Articles 12, 13, 136, 227.</w:t>
            </w:r>
          </w:p>
          <w:p>
            <w:pPr>
              <w:spacing w:before="60" w:after="60" w:line="276" w:lineRule="auto"/>
              <w:ind w:left="173" w:right="173"/>
            </w:pPr>
            <w:r>
              <w:rPr>
                <w:rFonts w:ascii="Calibri" w:hAnsi="Calibri"/>
                <w:b/>
                <w:color w:val="1A365D"/>
                <w:sz w:val="20"/>
              </w:rPr>
              <w:t>RELATED_CASE_LAW:</w:t>
            </w:r>
            <w:r>
              <w:rPr>
                <w:rFonts w:ascii="Calibri" w:hAnsi="Calibri"/>
                <w:color w:val="2D3748"/>
                <w:sz w:val="20"/>
              </w:rPr>
              <w:t xml:space="preserve"> L. Chandra Kumar v. Union of India (1997) 3 SCC 261; Whirlpool Corporation v. Registrar of Trade Marks (1998) 8 SCC 1.</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w:t>
            </w:r>
          </w:p>
          <w:p>
            <w:pPr>
              <w:spacing w:before="60" w:after="60" w:line="276" w:lineRule="auto"/>
              <w:ind w:left="173" w:right="173"/>
            </w:pPr>
            <w:r>
              <w:rPr>
                <w:rFonts w:ascii="Calibri" w:hAnsi="Calibri"/>
                <w:b/>
                <w:color w:val="1A365D"/>
                <w:sz w:val="20"/>
              </w:rPr>
              <w:t>EFFECTIVE_FROM:</w:t>
            </w:r>
            <w:r>
              <w:rPr>
                <w:rFonts w:ascii="Calibri" w:hAnsi="Calibri"/>
                <w:color w:val="2D3748"/>
                <w:sz w:val="20"/>
              </w:rPr>
              <w:t xml:space="preserve"> 1950-01-26</w:t>
            </w:r>
          </w:p>
          <w:p>
            <w:pPr>
              <w:spacing w:before="60" w:after="60" w:line="276" w:lineRule="auto"/>
              <w:ind w:left="173" w:right="173"/>
            </w:pPr>
            <w:r>
              <w:rPr>
                <w:rFonts w:ascii="Calibri" w:hAnsi="Calibri"/>
                <w:b/>
                <w:color w:val="1A365D"/>
                <w:sz w:val="20"/>
              </w:rPr>
              <w:t>EFFECTIVE_TO:</w:t>
            </w:r>
            <w:r>
              <w:rPr>
                <w:rFonts w:ascii="Calibri" w:hAnsi="Calibri"/>
                <w:color w:val="2D3748"/>
                <w:sz w:val="20"/>
              </w:rPr>
              <w:t xml:space="preserve"> Open</w:t>
            </w:r>
          </w:p>
          <w:p>
            <w:pPr>
              <w:spacing w:before="60" w:after="60" w:line="276" w:lineRule="auto"/>
              <w:ind w:left="173" w:right="173"/>
            </w:pPr>
            <w:r>
              <w:rPr>
                <w:rFonts w:ascii="Calibri" w:hAnsi="Calibri"/>
                <w:b/>
                <w:color w:val="1A365D"/>
                <w:sz w:val="20"/>
              </w:rPr>
              <w:t>HISTORICAL_APPLICABILITY:</w:t>
            </w:r>
            <w:r>
              <w:rPr>
                <w:rFonts w:ascii="Calibri" w:hAnsi="Calibri"/>
                <w:color w:val="2D3748"/>
                <w:sz w:val="20"/>
              </w:rPr>
              <w:t xml:space="preserve"> Continuous operational constitutional remedy since 26 January 1950; Article 226 amended by 42nd and 44th Amendments.</w:t>
            </w:r>
          </w:p>
          <w:p>
            <w:pPr>
              <w:spacing w:before="60" w:after="60" w:line="276" w:lineRule="auto"/>
              <w:ind w:left="173" w:right="173"/>
            </w:pPr>
            <w:r>
              <w:rPr>
                <w:rFonts w:ascii="Calibri" w:hAnsi="Calibri"/>
                <w:b/>
                <w:color w:val="1A365D"/>
                <w:sz w:val="20"/>
              </w:rPr>
              <w:t>OFFICIAL_SOURCE_NAME:</w:t>
            </w:r>
            <w:r>
              <w:rPr>
                <w:rFonts w:ascii="Calibri" w:hAnsi="Calibri"/>
                <w:color w:val="2D3748"/>
                <w:sz w:val="20"/>
              </w:rPr>
              <w:t xml:space="preserve"> Legislative Department, Ministry of Law and Justice, Government of India</w:t>
            </w:r>
          </w:p>
          <w:p>
            <w:pPr>
              <w:spacing w:before="60" w:after="60" w:line="276" w:lineRule="auto"/>
              <w:ind w:left="173" w:right="173"/>
            </w:pPr>
            <w:r>
              <w:rPr>
                <w:rFonts w:ascii="Calibri" w:hAnsi="Calibri"/>
                <w:b/>
                <w:color w:val="1A365D"/>
                <w:sz w:val="20"/>
              </w:rPr>
              <w:t>OFFICIAL_SOURCE_URL:</w:t>
            </w:r>
            <w:r>
              <w:rPr>
                <w:rFonts w:ascii="Calibri" w:hAnsi="Calibri"/>
                <w:color w:val="2D3748"/>
                <w:sz w:val="20"/>
              </w:rPr>
              <w:t xml:space="preserve"> https://lddashboard.nic.in</w:t>
            </w:r>
          </w:p>
          <w:p>
            <w:pPr>
              <w:spacing w:before="60" w:after="60" w:line="276" w:lineRule="auto"/>
              <w:ind w:left="173" w:right="173"/>
            </w:pPr>
            <w:r>
              <w:rPr>
                <w:rFonts w:ascii="Calibri" w:hAnsi="Calibri"/>
                <w:b/>
                <w:color w:val="1A365D"/>
                <w:sz w:val="20"/>
              </w:rPr>
              <w:t>OFFICIAL_IDENTIFIER:</w:t>
            </w:r>
            <w:r>
              <w:rPr>
                <w:rFonts w:ascii="Calibri" w:hAnsi="Calibri"/>
                <w:color w:val="2D3748"/>
                <w:sz w:val="20"/>
              </w:rPr>
              <w:t xml:space="preserve"> Const. of India, Arts. 32 &amp; 226</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Constitution of India, Part III &amp; Part VI</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Article 32, Article 226, writ jurisdiction, habeas corpus, mandamus, certiorari, prohibition, quo warranto</w:t>
            </w:r>
          </w:p>
          <w:p>
            <w:pPr>
              <w:spacing w:before="60" w:after="60" w:line="276" w:lineRule="auto"/>
              <w:ind w:left="173" w:right="173"/>
            </w:pPr>
            <w:r>
              <w:rPr>
                <w:rFonts w:ascii="Calibri" w:hAnsi="Calibri"/>
                <w:b/>
                <w:color w:val="1A365D"/>
                <w:sz w:val="20"/>
              </w:rPr>
              <w:t>VERSION:</w:t>
            </w:r>
            <w:r>
              <w:rPr>
                <w:rFonts w:ascii="Calibri" w:hAnsi="Calibri"/>
                <w:color w:val="2D3748"/>
                <w:sz w:val="20"/>
              </w:rPr>
              <w:t xml:space="preserve"> 2.1</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Record: IND-CIV-CPC001-V2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DOCUMENT_ID:</w:t>
            </w:r>
            <w:r>
              <w:rPr>
                <w:rFonts w:ascii="Calibri" w:hAnsi="Calibri"/>
                <w:color w:val="2D3748"/>
                <w:sz w:val="20"/>
              </w:rPr>
              <w:t xml:space="preserve"> IND-CIV-CPC001-V2</w:t>
            </w:r>
          </w:p>
          <w:p>
            <w:pPr>
              <w:spacing w:before="60" w:after="60" w:line="276" w:lineRule="auto"/>
              <w:ind w:left="173" w:right="173"/>
            </w:pPr>
            <w:r>
              <w:rPr>
                <w:rFonts w:ascii="Calibri" w:hAnsi="Calibri"/>
                <w:b/>
                <w:color w:val="1A365D"/>
                <w:sz w:val="20"/>
              </w:rPr>
              <w:t>TITLE:</w:t>
            </w:r>
            <w:r>
              <w:rPr>
                <w:rFonts w:ascii="Calibri" w:hAnsi="Calibri"/>
                <w:color w:val="2D3748"/>
                <w:sz w:val="20"/>
              </w:rPr>
              <w:t xml:space="preserve"> Plenary Civil Jurisdiction and Express or Implied Statutory Bars</w:t>
            </w:r>
          </w:p>
          <w:p>
            <w:pPr>
              <w:spacing w:before="60" w:after="60" w:line="276" w:lineRule="auto"/>
              <w:ind w:left="173" w:right="173"/>
            </w:pPr>
            <w:r>
              <w:rPr>
                <w:rFonts w:ascii="Calibri" w:hAnsi="Calibri"/>
                <w:b/>
                <w:color w:val="1A365D"/>
                <w:sz w:val="20"/>
              </w:rPr>
              <w:t>LEGAL_AREA:</w:t>
            </w:r>
            <w:r>
              <w:rPr>
                <w:rFonts w:ascii="Calibri" w:hAnsi="Calibri"/>
                <w:color w:val="2D3748"/>
                <w:sz w:val="20"/>
              </w:rPr>
              <w:t xml:space="preserve"> Civil Procedure</w:t>
            </w:r>
          </w:p>
          <w:p>
            <w:pPr>
              <w:spacing w:before="60" w:after="60" w:line="276" w:lineRule="auto"/>
              <w:ind w:left="173" w:right="173"/>
            </w:pPr>
            <w:r>
              <w:rPr>
                <w:rFonts w:ascii="Calibri" w:hAnsi="Calibri"/>
                <w:b/>
                <w:color w:val="1A365D"/>
                <w:sz w:val="20"/>
              </w:rPr>
              <w:t>SUB_AREA:</w:t>
            </w:r>
            <w:r>
              <w:rPr>
                <w:rFonts w:ascii="Calibri" w:hAnsi="Calibri"/>
                <w:color w:val="2D3748"/>
                <w:sz w:val="20"/>
              </w:rPr>
              <w:t xml:space="preserve"> Jurisdiction of Civil Courts</w:t>
            </w:r>
          </w:p>
          <w:p>
            <w:pPr>
              <w:spacing w:before="60" w:after="60" w:line="276" w:lineRule="auto"/>
              <w:ind w:left="173" w:right="173"/>
            </w:pPr>
            <w:r>
              <w:rPr>
                <w:rFonts w:ascii="Calibri" w:hAnsi="Calibri"/>
                <w:b/>
                <w:color w:val="1A365D"/>
                <w:sz w:val="20"/>
              </w:rPr>
              <w:t>SOURCE_TYPE:</w:t>
            </w:r>
            <w:r>
              <w:rPr>
                <w:rFonts w:ascii="Calibri" w:hAnsi="Calibri"/>
                <w:color w:val="2D3748"/>
                <w:sz w:val="20"/>
              </w:rPr>
              <w:t xml:space="preserve"> Central Statute</w:t>
            </w:r>
          </w:p>
          <w:p>
            <w:pPr>
              <w:spacing w:before="60" w:after="60" w:line="276" w:lineRule="auto"/>
              <w:ind w:left="173" w:right="173"/>
            </w:pPr>
            <w:r>
              <w:rPr>
                <w:rFonts w:ascii="Calibri" w:hAnsi="Calibri"/>
                <w:b/>
                <w:color w:val="1A365D"/>
                <w:sz w:val="20"/>
              </w:rPr>
              <w:t>AUTHORITY_LEVEL:</w:t>
            </w:r>
            <w:r>
              <w:rPr>
                <w:rFonts w:ascii="Calibri" w:hAnsi="Calibri"/>
                <w:color w:val="2D3748"/>
                <w:sz w:val="20"/>
              </w:rPr>
              <w:t xml:space="preserve"> Level 1 - Primary Statutory</w:t>
            </w:r>
          </w:p>
          <w:p>
            <w:pPr>
              <w:spacing w:before="60" w:after="60" w:line="276" w:lineRule="auto"/>
              <w:ind w:left="173" w:right="173"/>
            </w:pPr>
            <w:r>
              <w:rPr>
                <w:rFonts w:ascii="Calibri" w:hAnsi="Calibri"/>
                <w:b/>
                <w:color w:val="1A365D"/>
                <w:sz w:val="20"/>
              </w:rPr>
              <w:t>JURISDICTION:</w:t>
            </w:r>
            <w:r>
              <w:rPr>
                <w:rFonts w:ascii="Calibri" w:hAnsi="Calibri"/>
                <w:color w:val="2D3748"/>
                <w:sz w:val="20"/>
              </w:rPr>
              <w:t xml:space="preserve"> Union of India</w:t>
            </w:r>
          </w:p>
          <w:p>
            <w:pPr>
              <w:spacing w:before="60" w:after="60" w:line="276" w:lineRule="auto"/>
              <w:ind w:left="173" w:right="173"/>
            </w:pPr>
            <w:r>
              <w:rPr>
                <w:rFonts w:ascii="Calibri" w:hAnsi="Calibri"/>
                <w:b/>
                <w:color w:val="1A365D"/>
                <w:sz w:val="20"/>
              </w:rPr>
              <w:t>STATE_OR_UT:</w:t>
            </w:r>
            <w:r>
              <w:rPr>
                <w:rFonts w:ascii="Calibri" w:hAnsi="Calibri"/>
                <w:color w:val="2D3748"/>
                <w:sz w:val="20"/>
              </w:rPr>
              <w:t xml:space="preserve"> All States and Union Territories (subject to local civil court acts)</w:t>
            </w:r>
          </w:p>
          <w:p>
            <w:pPr>
              <w:spacing w:before="60" w:after="60" w:line="276" w:lineRule="auto"/>
              <w:ind w:left="173" w:right="173"/>
            </w:pPr>
            <w:r>
              <w:rPr>
                <w:rFonts w:ascii="Calibri" w:hAnsi="Calibri"/>
                <w:b/>
                <w:color w:val="1A365D"/>
                <w:sz w:val="20"/>
              </w:rPr>
              <w:t>COURT_OR_AUTHORITY:</w:t>
            </w:r>
            <w:r>
              <w:rPr>
                <w:rFonts w:ascii="Calibri" w:hAnsi="Calibri"/>
                <w:color w:val="2D3748"/>
                <w:sz w:val="20"/>
              </w:rPr>
              <w:t xml:space="preserve"> Civil Courts of Plenary Jurisdiction</w:t>
            </w:r>
          </w:p>
          <w:p>
            <w:pPr>
              <w:spacing w:before="60" w:after="60" w:line="276" w:lineRule="auto"/>
              <w:ind w:left="173" w:right="173"/>
            </w:pPr>
            <w:r>
              <w:rPr>
                <w:rFonts w:ascii="Calibri" w:hAnsi="Calibri"/>
                <w:b/>
                <w:color w:val="1A365D"/>
                <w:sz w:val="20"/>
              </w:rPr>
              <w:t>STATUTE:</w:t>
            </w:r>
            <w:r>
              <w:rPr>
                <w:rFonts w:ascii="Calibri" w:hAnsi="Calibri"/>
                <w:color w:val="2D3748"/>
                <w:sz w:val="20"/>
              </w:rPr>
              <w:t xml:space="preserve"> Code of Civil Procedure, 1908</w:t>
            </w:r>
          </w:p>
          <w:p>
            <w:pPr>
              <w:spacing w:before="60" w:after="60" w:line="276" w:lineRule="auto"/>
              <w:ind w:left="173" w:right="173"/>
            </w:pPr>
            <w:r>
              <w:rPr>
                <w:rFonts w:ascii="Calibri" w:hAnsi="Calibri"/>
                <w:b/>
                <w:color w:val="1A365D"/>
                <w:sz w:val="20"/>
              </w:rPr>
              <w:t>ARTICLE: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SECTION:</w:t>
            </w:r>
            <w:r>
              <w:rPr>
                <w:rFonts w:ascii="Calibri" w:hAnsi="Calibri"/>
                <w:color w:val="2D3748"/>
                <w:sz w:val="20"/>
              </w:rPr>
              <w:t xml:space="preserve"> Section 9</w:t>
            </w:r>
          </w:p>
          <w:p>
            <w:pPr>
              <w:spacing w:before="60" w:after="60" w:line="276" w:lineRule="auto"/>
              <w:ind w:left="173" w:right="173"/>
            </w:pPr>
            <w:r>
              <w:rPr>
                <w:rFonts w:ascii="Calibri" w:hAnsi="Calibri"/>
                <w:b/>
                <w:color w:val="1A365D"/>
                <w:sz w:val="20"/>
              </w:rPr>
              <w:t>RULE: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LEGAL_PROPOSITION:</w:t>
            </w:r>
            <w:r>
              <w:rPr>
                <w:rFonts w:ascii="Calibri" w:hAnsi="Calibri"/>
                <w:color w:val="2D3748"/>
                <w:sz w:val="20"/>
              </w:rPr>
              <w:t xml:space="preserve"> The Courts shall have jurisdiction to try all suits of a civil nature excepting suits of which their cognizance is either expressly or impliedly barred.</w:t>
            </w:r>
          </w:p>
          <w:p>
            <w:pPr>
              <w:spacing w:before="60" w:after="60" w:line="276" w:lineRule="auto"/>
              <w:ind w:left="173" w:right="173"/>
            </w:pPr>
            <w:r>
              <w:rPr>
                <w:rFonts w:ascii="Calibri" w:hAnsi="Calibri"/>
                <w:b/>
                <w:color w:val="1A365D"/>
                <w:sz w:val="20"/>
              </w:rPr>
              <w:t>SIMPLE_EXPLANATION:</w:t>
            </w:r>
            <w:r>
              <w:rPr>
                <w:rFonts w:ascii="Calibri" w:hAnsi="Calibri"/>
                <w:color w:val="2D3748"/>
                <w:sz w:val="20"/>
              </w:rPr>
              <w:t xml:space="preserve"> Civil courts possess inherent jurisdiction to resolve all disputes of a civil nature unless an Act of Parliament or State Legislature expressly bars jurisdiction or creates an exclusive specialized tribunal.</w:t>
            </w:r>
          </w:p>
          <w:p>
            <w:pPr>
              <w:spacing w:before="60" w:after="60" w:line="276" w:lineRule="auto"/>
              <w:ind w:left="173" w:right="173"/>
            </w:pPr>
            <w:r>
              <w:rPr>
                <w:rFonts w:ascii="Calibri" w:hAnsi="Calibri"/>
                <w:b/>
                <w:color w:val="1A365D"/>
                <w:sz w:val="20"/>
              </w:rPr>
              <w:t>APPLICATION / WHEN RELEVANT:</w:t>
            </w:r>
            <w:r>
              <w:rPr>
                <w:rFonts w:ascii="Calibri" w:hAnsi="Calibri"/>
                <w:color w:val="2D3748"/>
                <w:sz w:val="20"/>
              </w:rPr>
              <w:t xml:space="preserve"> Establishing the maintainability of civil suits concerning property title, contractual claims, and civil damages against jurisdictional demurrers.</w:t>
            </w:r>
          </w:p>
          <w:p>
            <w:pPr>
              <w:spacing w:before="60" w:after="60" w:line="276" w:lineRule="auto"/>
              <w:ind w:left="173" w:right="173"/>
            </w:pPr>
            <w:r>
              <w:rPr>
                <w:rFonts w:ascii="Calibri" w:hAnsi="Calibri"/>
                <w:b/>
                <w:color w:val="1A365D"/>
                <w:sz w:val="20"/>
              </w:rPr>
              <w:t>EXCEPTIONS / LIMITATIONS:</w:t>
            </w:r>
            <w:r>
              <w:rPr>
                <w:rFonts w:ascii="Calibri" w:hAnsi="Calibri"/>
                <w:color w:val="2D3748"/>
                <w:sz w:val="20"/>
              </w:rPr>
              <w:t xml:space="preserve"> Express statutory bars (e.g., SARFAESI Act § 34, IBC § 238, RERA § 79); implied bars where a statute creates a specialized right and a complete remedial procedure.</w:t>
            </w:r>
          </w:p>
          <w:p>
            <w:pPr>
              <w:spacing w:before="60" w:after="60" w:line="276" w:lineRule="auto"/>
              <w:ind w:left="173" w:right="173"/>
            </w:pPr>
            <w:r>
              <w:rPr>
                <w:rFonts w:ascii="Calibri" w:hAnsi="Calibri"/>
                <w:b/>
                <w:color w:val="1A365D"/>
                <w:sz w:val="20"/>
              </w:rPr>
              <w:t>IMPORTANT_QUALIFICATIONS:</w:t>
            </w:r>
            <w:r>
              <w:rPr>
                <w:rFonts w:ascii="Calibri" w:hAnsi="Calibri"/>
                <w:color w:val="2D3748"/>
                <w:sz w:val="20"/>
              </w:rPr>
              <w:t xml:space="preserve"> Exclusion of civil jurisdiction is never readily inferred and must be strictly construed (Dhulabhai). Even where a statute bars jurisdiction, civil courts retain authority to examine whether the statutory tribunal followed essential principles of judicial procedure.</w:t>
            </w:r>
          </w:p>
          <w:p>
            <w:pPr>
              <w:spacing w:before="60" w:after="60" w:line="276" w:lineRule="auto"/>
              <w:ind w:left="173" w:right="173"/>
            </w:pPr>
            <w:r>
              <w:rPr>
                <w:rFonts w:ascii="Calibri" w:hAnsi="Calibri"/>
                <w:b/>
                <w:color w:val="1A365D"/>
                <w:sz w:val="20"/>
              </w:rPr>
              <w:t>RELATED_PROVISIONS:</w:t>
            </w:r>
            <w:r>
              <w:rPr>
                <w:rFonts w:ascii="Calibri" w:hAnsi="Calibri"/>
                <w:color w:val="2D3748"/>
                <w:sz w:val="20"/>
              </w:rPr>
              <w:t xml:space="preserve"> CPC Sections 10, 11; Order VII Rule 11.</w:t>
            </w:r>
          </w:p>
          <w:p>
            <w:pPr>
              <w:spacing w:before="60" w:after="60" w:line="276" w:lineRule="auto"/>
              <w:ind w:left="173" w:right="173"/>
            </w:pPr>
            <w:r>
              <w:rPr>
                <w:rFonts w:ascii="Calibri" w:hAnsi="Calibri"/>
                <w:b/>
                <w:color w:val="1A365D"/>
                <w:sz w:val="20"/>
              </w:rPr>
              <w:t>RELATED_CASE_LAW:</w:t>
            </w:r>
            <w:r>
              <w:rPr>
                <w:rFonts w:ascii="Calibri" w:hAnsi="Calibri"/>
                <w:color w:val="2D3748"/>
                <w:sz w:val="20"/>
              </w:rPr>
              <w:t xml:space="preserve"> Dhulabhai v. State of Madhya Pradesh AIR 1969 SC 78; Premier Automobiles Ltd. v. Kamlekar Shantaram Wadke (1976) 1 SCC 496.</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w:t>
            </w:r>
          </w:p>
          <w:p>
            <w:pPr>
              <w:spacing w:before="60" w:after="60" w:line="276" w:lineRule="auto"/>
              <w:ind w:left="173" w:right="173"/>
            </w:pPr>
            <w:r>
              <w:rPr>
                <w:rFonts w:ascii="Calibri" w:hAnsi="Calibri"/>
                <w:b/>
                <w:color w:val="1A365D"/>
                <w:sz w:val="20"/>
              </w:rPr>
              <w:t>EFFECTIVE_FROM:</w:t>
            </w:r>
            <w:r>
              <w:rPr>
                <w:rFonts w:ascii="Calibri" w:hAnsi="Calibri"/>
                <w:color w:val="2D3748"/>
                <w:sz w:val="20"/>
              </w:rPr>
              <w:t xml:space="preserve"> 1909-01-01</w:t>
            </w:r>
          </w:p>
          <w:p>
            <w:pPr>
              <w:spacing w:before="60" w:after="60" w:line="276" w:lineRule="auto"/>
              <w:ind w:left="173" w:right="173"/>
            </w:pPr>
            <w:r>
              <w:rPr>
                <w:rFonts w:ascii="Calibri" w:hAnsi="Calibri"/>
                <w:b/>
                <w:color w:val="1A365D"/>
                <w:sz w:val="20"/>
              </w:rPr>
              <w:t>EFFECTIVE_TO:</w:t>
            </w:r>
            <w:r>
              <w:rPr>
                <w:rFonts w:ascii="Calibri" w:hAnsi="Calibri"/>
                <w:color w:val="2D3748"/>
                <w:sz w:val="20"/>
              </w:rPr>
              <w:t xml:space="preserve"> Open</w:t>
            </w:r>
          </w:p>
          <w:p>
            <w:pPr>
              <w:spacing w:before="60" w:after="60" w:line="276" w:lineRule="auto"/>
              <w:ind w:left="173" w:right="173"/>
            </w:pPr>
            <w:r>
              <w:rPr>
                <w:rFonts w:ascii="Calibri" w:hAnsi="Calibri"/>
                <w:b/>
                <w:color w:val="1A365D"/>
                <w:sz w:val="20"/>
              </w:rPr>
              <w:t>HISTORICAL_APPLICABILITY:</w:t>
            </w:r>
            <w:r>
              <w:rPr>
                <w:rFonts w:ascii="Calibri" w:hAnsi="Calibri"/>
                <w:color w:val="2D3748"/>
                <w:sz w:val="20"/>
              </w:rPr>
              <w:t xml:space="preserve"> Governing jurisdictional threshold since the enactment of Act No. 5 of 1908.</w:t>
            </w:r>
          </w:p>
          <w:p>
            <w:pPr>
              <w:spacing w:before="60" w:after="60" w:line="276" w:lineRule="auto"/>
              <w:ind w:left="173" w:right="173"/>
            </w:pPr>
            <w:r>
              <w:rPr>
                <w:rFonts w:ascii="Calibri" w:hAnsi="Calibri"/>
                <w:b/>
                <w:color w:val="1A365D"/>
                <w:sz w:val="20"/>
              </w:rPr>
              <w:t>OFFICIAL_SOURCE_NAME:</w:t>
            </w:r>
            <w:r>
              <w:rPr>
                <w:rFonts w:ascii="Calibri" w:hAnsi="Calibri"/>
                <w:color w:val="2D3748"/>
                <w:sz w:val="20"/>
              </w:rPr>
              <w:t xml:space="preserve"> India Code Portal, Legislative Department</w:t>
            </w:r>
          </w:p>
          <w:p>
            <w:pPr>
              <w:spacing w:before="60" w:after="60" w:line="276" w:lineRule="auto"/>
              <w:ind w:left="173" w:right="173"/>
            </w:pPr>
            <w:r>
              <w:rPr>
                <w:rFonts w:ascii="Calibri" w:hAnsi="Calibri"/>
                <w:b/>
                <w:color w:val="1A365D"/>
                <w:sz w:val="20"/>
              </w:rPr>
              <w:t>OFFICIAL_SOURCE_URL:</w:t>
            </w:r>
            <w:r>
              <w:rPr>
                <w:rFonts w:ascii="Calibri" w:hAnsi="Calibri"/>
                <w:color w:val="2D3748"/>
                <w:sz w:val="20"/>
              </w:rPr>
              <w:t xml:space="preserve"> https://www.indiacode.nic.in/handle/123456789/2191</w:t>
            </w:r>
          </w:p>
          <w:p>
            <w:pPr>
              <w:spacing w:before="60" w:after="60" w:line="276" w:lineRule="auto"/>
              <w:ind w:left="173" w:right="173"/>
            </w:pPr>
            <w:r>
              <w:rPr>
                <w:rFonts w:ascii="Calibri" w:hAnsi="Calibri"/>
                <w:b/>
                <w:color w:val="1A365D"/>
                <w:sz w:val="20"/>
              </w:rPr>
              <w:t>OFFICIAL_IDENTIFIER:</w:t>
            </w:r>
            <w:r>
              <w:rPr>
                <w:rFonts w:ascii="Calibri" w:hAnsi="Calibri"/>
                <w:color w:val="2D3748"/>
                <w:sz w:val="20"/>
              </w:rPr>
              <w:t xml:space="preserve"> Act No. 5 of 1908, Section 9</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CPC 1908, S. 9</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CPC, Section 9, civil jurisdiction, express bar, implied bar, maintainability, tribunal jurisdiction</w:t>
            </w:r>
          </w:p>
          <w:p>
            <w:pPr>
              <w:spacing w:before="60" w:after="60" w:line="276" w:lineRule="auto"/>
              <w:ind w:left="173" w:right="173"/>
            </w:pPr>
            <w:r>
              <w:rPr>
                <w:rFonts w:ascii="Calibri" w:hAnsi="Calibri"/>
                <w:b/>
                <w:color w:val="1A365D"/>
                <w:sz w:val="20"/>
              </w:rPr>
              <w:t>VERSION:</w:t>
            </w:r>
            <w:r>
              <w:rPr>
                <w:rFonts w:ascii="Calibri" w:hAnsi="Calibri"/>
                <w:color w:val="2D3748"/>
                <w:sz w:val="20"/>
              </w:rPr>
              <w:t xml:space="preserve"> 2.1</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Record: IND-CIV-CPC002-V2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DOCUMENT_ID:</w:t>
            </w:r>
            <w:r>
              <w:rPr>
                <w:rFonts w:ascii="Calibri" w:hAnsi="Calibri"/>
                <w:color w:val="2D3748"/>
                <w:sz w:val="20"/>
              </w:rPr>
              <w:t xml:space="preserve"> IND-CIV-CPC002-V2</w:t>
            </w:r>
          </w:p>
          <w:p>
            <w:pPr>
              <w:spacing w:before="60" w:after="60" w:line="276" w:lineRule="auto"/>
              <w:ind w:left="173" w:right="173"/>
            </w:pPr>
            <w:r>
              <w:rPr>
                <w:rFonts w:ascii="Calibri" w:hAnsi="Calibri"/>
                <w:b/>
                <w:color w:val="1A365D"/>
                <w:sz w:val="20"/>
              </w:rPr>
              <w:t>TITLE:</w:t>
            </w:r>
            <w:r>
              <w:rPr>
                <w:rFonts w:ascii="Calibri" w:hAnsi="Calibri"/>
                <w:color w:val="2D3748"/>
                <w:sz w:val="20"/>
              </w:rPr>
              <w:t xml:space="preserve"> Rejection of Plaint: Grounds, Scope of Examination, and Treatment of Severable Claims</w:t>
            </w:r>
          </w:p>
          <w:p>
            <w:pPr>
              <w:spacing w:before="60" w:after="60" w:line="276" w:lineRule="auto"/>
              <w:ind w:left="173" w:right="173"/>
            </w:pPr>
            <w:r>
              <w:rPr>
                <w:rFonts w:ascii="Calibri" w:hAnsi="Calibri"/>
                <w:b/>
                <w:color w:val="1A365D"/>
                <w:sz w:val="20"/>
              </w:rPr>
              <w:t>LEGAL_AREA:</w:t>
            </w:r>
            <w:r>
              <w:rPr>
                <w:rFonts w:ascii="Calibri" w:hAnsi="Calibri"/>
                <w:color w:val="2D3748"/>
                <w:sz w:val="20"/>
              </w:rPr>
              <w:t xml:space="preserve"> Civil Procedure</w:t>
            </w:r>
          </w:p>
          <w:p>
            <w:pPr>
              <w:spacing w:before="60" w:after="60" w:line="276" w:lineRule="auto"/>
              <w:ind w:left="173" w:right="173"/>
            </w:pPr>
            <w:r>
              <w:rPr>
                <w:rFonts w:ascii="Calibri" w:hAnsi="Calibri"/>
                <w:b/>
                <w:color w:val="1A365D"/>
                <w:sz w:val="20"/>
              </w:rPr>
              <w:t>SUB_AREA:</w:t>
            </w:r>
            <w:r>
              <w:rPr>
                <w:rFonts w:ascii="Calibri" w:hAnsi="Calibri"/>
                <w:color w:val="2D3748"/>
                <w:sz w:val="20"/>
              </w:rPr>
              <w:t xml:space="preserve"> Pleadings &amp; Threshold Disposal</w:t>
            </w:r>
          </w:p>
          <w:p>
            <w:pPr>
              <w:spacing w:before="60" w:after="60" w:line="276" w:lineRule="auto"/>
              <w:ind w:left="173" w:right="173"/>
            </w:pPr>
            <w:r>
              <w:rPr>
                <w:rFonts w:ascii="Calibri" w:hAnsi="Calibri"/>
                <w:b/>
                <w:color w:val="1A365D"/>
                <w:sz w:val="20"/>
              </w:rPr>
              <w:t>SOURCE_TYPE:</w:t>
            </w:r>
            <w:r>
              <w:rPr>
                <w:rFonts w:ascii="Calibri" w:hAnsi="Calibri"/>
                <w:color w:val="2D3748"/>
                <w:sz w:val="20"/>
              </w:rPr>
              <w:t xml:space="preserve"> Central Statute</w:t>
            </w:r>
          </w:p>
          <w:p>
            <w:pPr>
              <w:spacing w:before="60" w:after="60" w:line="276" w:lineRule="auto"/>
              <w:ind w:left="173" w:right="173"/>
            </w:pPr>
            <w:r>
              <w:rPr>
                <w:rFonts w:ascii="Calibri" w:hAnsi="Calibri"/>
                <w:b/>
                <w:color w:val="1A365D"/>
                <w:sz w:val="20"/>
              </w:rPr>
              <w:t>AUTHORITY_LEVEL:</w:t>
            </w:r>
            <w:r>
              <w:rPr>
                <w:rFonts w:ascii="Calibri" w:hAnsi="Calibri"/>
                <w:color w:val="2D3748"/>
                <w:sz w:val="20"/>
              </w:rPr>
              <w:t xml:space="preserve"> Level 1 - Primary Statutory</w:t>
            </w:r>
          </w:p>
          <w:p>
            <w:pPr>
              <w:spacing w:before="60" w:after="60" w:line="276" w:lineRule="auto"/>
              <w:ind w:left="173" w:right="173"/>
            </w:pPr>
            <w:r>
              <w:rPr>
                <w:rFonts w:ascii="Calibri" w:hAnsi="Calibri"/>
                <w:b/>
                <w:color w:val="1A365D"/>
                <w:sz w:val="20"/>
              </w:rPr>
              <w:t>JURISDICTION:</w:t>
            </w:r>
            <w:r>
              <w:rPr>
                <w:rFonts w:ascii="Calibri" w:hAnsi="Calibri"/>
                <w:color w:val="2D3748"/>
                <w:sz w:val="20"/>
              </w:rPr>
              <w:t xml:space="preserve"> Union of India</w:t>
            </w:r>
          </w:p>
          <w:p>
            <w:pPr>
              <w:spacing w:before="60" w:after="60" w:line="276" w:lineRule="auto"/>
              <w:ind w:left="173" w:right="173"/>
            </w:pPr>
            <w:r>
              <w:rPr>
                <w:rFonts w:ascii="Calibri" w:hAnsi="Calibri"/>
                <w:b/>
                <w:color w:val="1A365D"/>
                <w:sz w:val="20"/>
              </w:rPr>
              <w:t>STATE_OR_UT:</w:t>
            </w:r>
            <w:r>
              <w:rPr>
                <w:rFonts w:ascii="Calibri" w:hAnsi="Calibri"/>
                <w:color w:val="2D3748"/>
                <w:sz w:val="20"/>
              </w:rPr>
              <w:t xml:space="preserve"> All States and Union Territories</w:t>
            </w:r>
          </w:p>
          <w:p>
            <w:pPr>
              <w:spacing w:before="60" w:after="60" w:line="276" w:lineRule="auto"/>
              <w:ind w:left="173" w:right="173"/>
            </w:pPr>
            <w:r>
              <w:rPr>
                <w:rFonts w:ascii="Calibri" w:hAnsi="Calibri"/>
                <w:b/>
                <w:color w:val="1A365D"/>
                <w:sz w:val="20"/>
              </w:rPr>
              <w:t>COURT_OR_AUTHORITY:</w:t>
            </w:r>
            <w:r>
              <w:rPr>
                <w:rFonts w:ascii="Calibri" w:hAnsi="Calibri"/>
                <w:color w:val="2D3748"/>
                <w:sz w:val="20"/>
              </w:rPr>
              <w:t xml:space="preserve"> Civil Courts / Commercial Courts</w:t>
            </w:r>
          </w:p>
          <w:p>
            <w:pPr>
              <w:spacing w:before="60" w:after="60" w:line="276" w:lineRule="auto"/>
              <w:ind w:left="173" w:right="173"/>
            </w:pPr>
            <w:r>
              <w:rPr>
                <w:rFonts w:ascii="Calibri" w:hAnsi="Calibri"/>
                <w:b/>
                <w:color w:val="1A365D"/>
                <w:sz w:val="20"/>
              </w:rPr>
              <w:t>STATUTE:</w:t>
            </w:r>
            <w:r>
              <w:rPr>
                <w:rFonts w:ascii="Calibri" w:hAnsi="Calibri"/>
                <w:color w:val="2D3748"/>
                <w:sz w:val="20"/>
              </w:rPr>
              <w:t xml:space="preserve"> Code of Civil Procedure, 1908</w:t>
            </w:r>
          </w:p>
          <w:p>
            <w:pPr>
              <w:spacing w:before="60" w:after="60" w:line="276" w:lineRule="auto"/>
              <w:ind w:left="173" w:right="173"/>
            </w:pPr>
            <w:r>
              <w:rPr>
                <w:rFonts w:ascii="Calibri" w:hAnsi="Calibri"/>
                <w:b/>
                <w:color w:val="1A365D"/>
                <w:sz w:val="20"/>
              </w:rPr>
              <w:t>ARTICLE: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SECTION:</w:t>
            </w:r>
            <w:r>
              <w:rPr>
                <w:rFonts w:ascii="Calibri" w:hAnsi="Calibri"/>
                <w:color w:val="2D3748"/>
                <w:sz w:val="20"/>
              </w:rPr>
              <w:t xml:space="preserve"> Order VII Rule 11</w:t>
            </w:r>
          </w:p>
          <w:p>
            <w:pPr>
              <w:spacing w:before="60" w:after="60" w:line="276" w:lineRule="auto"/>
              <w:ind w:left="173" w:right="173"/>
            </w:pPr>
            <w:r>
              <w:rPr>
                <w:rFonts w:ascii="Calibri" w:hAnsi="Calibri"/>
                <w:b/>
                <w:color w:val="1A365D"/>
                <w:sz w:val="20"/>
              </w:rPr>
              <w:t>RULE:</w:t>
            </w:r>
            <w:r>
              <w:rPr>
                <w:rFonts w:ascii="Calibri" w:hAnsi="Calibri"/>
                <w:color w:val="2D3748"/>
                <w:sz w:val="20"/>
              </w:rPr>
              <w:t xml:space="preserve"> Clauses (a) through (f)</w:t>
            </w:r>
          </w:p>
          <w:p>
            <w:pPr>
              <w:spacing w:before="60" w:after="60" w:line="276" w:lineRule="auto"/>
              <w:ind w:left="173" w:right="173"/>
            </w:pPr>
            <w:r>
              <w:rPr>
                <w:rFonts w:ascii="Calibri" w:hAnsi="Calibri"/>
                <w:b/>
                <w:color w:val="1A365D"/>
                <w:sz w:val="20"/>
              </w:rPr>
              <w:t>LEGAL_PROPOSITION:</w:t>
            </w:r>
            <w:r>
              <w:rPr>
                <w:rFonts w:ascii="Calibri" w:hAnsi="Calibri"/>
                <w:color w:val="2D3748"/>
                <w:sz w:val="20"/>
              </w:rPr>
              <w:t xml:space="preserve"> The court shall reject a plaint where it does not disclose a cause of action, is undervalued or insufficiently stamped and uncorrected, or appears from statements in the plaint to be barred by any law. The inquiry is confined to the plaint averments and documents relied upon.</w:t>
            </w:r>
          </w:p>
          <w:p>
            <w:pPr>
              <w:spacing w:before="60" w:after="60" w:line="276" w:lineRule="auto"/>
              <w:ind w:left="173" w:right="173"/>
            </w:pPr>
            <w:r>
              <w:rPr>
                <w:rFonts w:ascii="Calibri" w:hAnsi="Calibri"/>
                <w:b/>
                <w:color w:val="1A365D"/>
                <w:sz w:val="20"/>
              </w:rPr>
              <w:t>SIMPLE_EXPLANATION:</w:t>
            </w:r>
            <w:r>
              <w:rPr>
                <w:rFonts w:ascii="Calibri" w:hAnsi="Calibri"/>
                <w:color w:val="2D3748"/>
                <w:sz w:val="20"/>
              </w:rPr>
              <w:t xml:space="preserve"> A court must dismiss a lawsuit at the threshold if the plaint fails to state a legally actionable claim or reveals on its face that it is barred by limitation or an express statutory provision.</w:t>
            </w:r>
          </w:p>
          <w:p>
            <w:pPr>
              <w:spacing w:before="60" w:after="60" w:line="276" w:lineRule="auto"/>
              <w:ind w:left="173" w:right="173"/>
            </w:pPr>
            <w:r>
              <w:rPr>
                <w:rFonts w:ascii="Calibri" w:hAnsi="Calibri"/>
                <w:b/>
                <w:color w:val="1A365D"/>
                <w:sz w:val="20"/>
              </w:rPr>
              <w:t>APPLICATION / WHEN RELEVANT:</w:t>
            </w:r>
            <w:r>
              <w:rPr>
                <w:rFonts w:ascii="Calibri" w:hAnsi="Calibri"/>
                <w:color w:val="2D3748"/>
                <w:sz w:val="20"/>
              </w:rPr>
              <w:t xml:space="preserve"> Filing preliminary rejection applications to terminate time-barred or legally barred suits without proceeding to trial.</w:t>
            </w:r>
          </w:p>
          <w:p>
            <w:pPr>
              <w:spacing w:before="60" w:after="60" w:line="276" w:lineRule="auto"/>
              <w:ind w:left="173" w:right="173"/>
            </w:pPr>
            <w:r>
              <w:rPr>
                <w:rFonts w:ascii="Calibri" w:hAnsi="Calibri"/>
                <w:b/>
                <w:color w:val="1A365D"/>
                <w:sz w:val="20"/>
              </w:rPr>
              <w:t>EXCEPTIONS / LIMITATIONS:</w:t>
            </w:r>
            <w:r>
              <w:rPr>
                <w:rFonts w:ascii="Calibri" w:hAnsi="Calibri"/>
                <w:color w:val="2D3748"/>
                <w:sz w:val="20"/>
              </w:rPr>
              <w:t xml:space="preserve"> While the general rule in Madhav Prasad Aggarwal (2019) 7 SCC 158 holds that a plaint cannot be rejected in part against some defendants while proceeding against others on the same undivided cause of action, current Supreme Court jurisprudence recognizes that where distinct, severable causes of action or reliefs are joined in a single plaint, a barred or non-maintainable severable portion may be struck out or rejected while permitting maintainable independent claims to proceed.</w:t>
            </w:r>
          </w:p>
          <w:p>
            <w:pPr>
              <w:spacing w:before="60" w:after="60" w:line="276" w:lineRule="auto"/>
              <w:ind w:left="173" w:right="173"/>
            </w:pPr>
            <w:r>
              <w:rPr>
                <w:rFonts w:ascii="Calibri" w:hAnsi="Calibri"/>
                <w:b/>
                <w:color w:val="1A365D"/>
                <w:sz w:val="20"/>
              </w:rPr>
              <w:t>IMPORTANT_QUALIFICATIONS:</w:t>
            </w:r>
            <w:r>
              <w:rPr>
                <w:rFonts w:ascii="Calibri" w:hAnsi="Calibri"/>
                <w:color w:val="2D3748"/>
                <w:sz w:val="20"/>
              </w:rPr>
              <w:t xml:space="preserve"> In deciding an Order VII Rule 11 application, the court looks strictly at the averments in the plaint and annexed documents. Averments in the written statement or defendant evidence cannot be considered (Dahiben v. Arvindbhai Kalyanji Bhanusali (2020) 7 SCC 366).</w:t>
            </w:r>
          </w:p>
          <w:p>
            <w:pPr>
              <w:spacing w:before="60" w:after="60" w:line="276" w:lineRule="auto"/>
              <w:ind w:left="173" w:right="173"/>
            </w:pPr>
            <w:r>
              <w:rPr>
                <w:rFonts w:ascii="Calibri" w:hAnsi="Calibri"/>
                <w:b/>
                <w:color w:val="1A365D"/>
                <w:sz w:val="20"/>
              </w:rPr>
              <w:t>RELATED_PROVISIONS:</w:t>
            </w:r>
            <w:r>
              <w:rPr>
                <w:rFonts w:ascii="Calibri" w:hAnsi="Calibri"/>
                <w:color w:val="2D3748"/>
                <w:sz w:val="20"/>
              </w:rPr>
              <w:t xml:space="preserve"> CPC Order VI Rule 16; Order VIII Rule 1; Limitation Act Section 3.</w:t>
            </w:r>
          </w:p>
          <w:p>
            <w:pPr>
              <w:spacing w:before="60" w:after="60" w:line="276" w:lineRule="auto"/>
              <w:ind w:left="173" w:right="173"/>
            </w:pPr>
            <w:r>
              <w:rPr>
                <w:rFonts w:ascii="Calibri" w:hAnsi="Calibri"/>
                <w:b/>
                <w:color w:val="1A365D"/>
                <w:sz w:val="20"/>
              </w:rPr>
              <w:t>RELATED_CASE_LAW:</w:t>
            </w:r>
            <w:r>
              <w:rPr>
                <w:rFonts w:ascii="Calibri" w:hAnsi="Calibri"/>
                <w:color w:val="2D3748"/>
                <w:sz w:val="20"/>
              </w:rPr>
              <w:t xml:space="preserve"> Dahiben v. Arvindbhai Kalyanji Bhanusali (2020) 7 SCC 366; Madhav Prasad Aggarwal v. Axis Bank Ltd. (2019) 7 SCC 158; Kum. Geetha v. Nanjundaswamy (2023) SCC OnLine SC 1407.</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w:t>
            </w:r>
          </w:p>
          <w:p>
            <w:pPr>
              <w:spacing w:before="60" w:after="60" w:line="276" w:lineRule="auto"/>
              <w:ind w:left="173" w:right="173"/>
            </w:pPr>
            <w:r>
              <w:rPr>
                <w:rFonts w:ascii="Calibri" w:hAnsi="Calibri"/>
                <w:b/>
                <w:color w:val="1A365D"/>
                <w:sz w:val="20"/>
              </w:rPr>
              <w:t>EFFECTIVE_FROM:</w:t>
            </w:r>
            <w:r>
              <w:rPr>
                <w:rFonts w:ascii="Calibri" w:hAnsi="Calibri"/>
                <w:color w:val="2D3748"/>
                <w:sz w:val="20"/>
              </w:rPr>
              <w:t xml:space="preserve"> 1909-01-01</w:t>
            </w:r>
          </w:p>
          <w:p>
            <w:pPr>
              <w:spacing w:before="60" w:after="60" w:line="276" w:lineRule="auto"/>
              <w:ind w:left="173" w:right="173"/>
            </w:pPr>
            <w:r>
              <w:rPr>
                <w:rFonts w:ascii="Calibri" w:hAnsi="Calibri"/>
                <w:b/>
                <w:color w:val="1A365D"/>
                <w:sz w:val="20"/>
              </w:rPr>
              <w:t>EFFECTIVE_TO:</w:t>
            </w:r>
            <w:r>
              <w:rPr>
                <w:rFonts w:ascii="Calibri" w:hAnsi="Calibri"/>
                <w:color w:val="2D3748"/>
                <w:sz w:val="20"/>
              </w:rPr>
              <w:t xml:space="preserve"> Open</w:t>
            </w:r>
          </w:p>
          <w:p>
            <w:pPr>
              <w:spacing w:before="60" w:after="60" w:line="276" w:lineRule="auto"/>
              <w:ind w:left="173" w:right="173"/>
            </w:pPr>
            <w:r>
              <w:rPr>
                <w:rFonts w:ascii="Calibri" w:hAnsi="Calibri"/>
                <w:b/>
                <w:color w:val="1A365D"/>
                <w:sz w:val="20"/>
              </w:rPr>
              <w:t>HISTORICAL_APPLICABILITY:</w:t>
            </w:r>
            <w:r>
              <w:rPr>
                <w:rFonts w:ascii="Calibri" w:hAnsi="Calibri"/>
                <w:color w:val="2D3748"/>
                <w:sz w:val="20"/>
              </w:rPr>
              <w:t xml:space="preserve"> Continuous procedural standard under Code of Civil Procedure, 1908 as amended.</w:t>
            </w:r>
          </w:p>
          <w:p>
            <w:pPr>
              <w:spacing w:before="60" w:after="60" w:line="276" w:lineRule="auto"/>
              <w:ind w:left="173" w:right="173"/>
            </w:pPr>
            <w:r>
              <w:rPr>
                <w:rFonts w:ascii="Calibri" w:hAnsi="Calibri"/>
                <w:b/>
                <w:color w:val="1A365D"/>
                <w:sz w:val="20"/>
              </w:rPr>
              <w:t>OFFICIAL_SOURCE_NAME:</w:t>
            </w:r>
            <w:r>
              <w:rPr>
                <w:rFonts w:ascii="Calibri" w:hAnsi="Calibri"/>
                <w:color w:val="2D3748"/>
                <w:sz w:val="20"/>
              </w:rPr>
              <w:t xml:space="preserve"> India Code Portal, Legislative Department</w:t>
            </w:r>
          </w:p>
          <w:p>
            <w:pPr>
              <w:spacing w:before="60" w:after="60" w:line="276" w:lineRule="auto"/>
              <w:ind w:left="173" w:right="173"/>
            </w:pPr>
            <w:r>
              <w:rPr>
                <w:rFonts w:ascii="Calibri" w:hAnsi="Calibri"/>
                <w:b/>
                <w:color w:val="1A365D"/>
                <w:sz w:val="20"/>
              </w:rPr>
              <w:t>OFFICIAL_SOURCE_URL:</w:t>
            </w:r>
            <w:r>
              <w:rPr>
                <w:rFonts w:ascii="Calibri" w:hAnsi="Calibri"/>
                <w:color w:val="2D3748"/>
                <w:sz w:val="20"/>
              </w:rPr>
              <w:t xml:space="preserve"> https://www.indiacode.nic.in/handle/123456789/2191</w:t>
            </w:r>
          </w:p>
          <w:p>
            <w:pPr>
              <w:spacing w:before="60" w:after="60" w:line="276" w:lineRule="auto"/>
              <w:ind w:left="173" w:right="173"/>
            </w:pPr>
            <w:r>
              <w:rPr>
                <w:rFonts w:ascii="Calibri" w:hAnsi="Calibri"/>
                <w:b/>
                <w:color w:val="1A365D"/>
                <w:sz w:val="20"/>
              </w:rPr>
              <w:t>OFFICIAL_IDENTIFIER:</w:t>
            </w:r>
            <w:r>
              <w:rPr>
                <w:rFonts w:ascii="Calibri" w:hAnsi="Calibri"/>
                <w:color w:val="2D3748"/>
                <w:sz w:val="20"/>
              </w:rPr>
              <w:t xml:space="preserve"> Act No. 5 of 1908, Order VII Rule 11</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CPC 1908, O. VII R. 11</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Order VII Rule 11, rejection of plaint, cause of action, barred by law, limitation, severable claims, preliminary dismissal</w:t>
            </w:r>
          </w:p>
          <w:p>
            <w:pPr>
              <w:spacing w:before="60" w:after="60" w:line="276" w:lineRule="auto"/>
              <w:ind w:left="173" w:right="173"/>
            </w:pPr>
            <w:r>
              <w:rPr>
                <w:rFonts w:ascii="Calibri" w:hAnsi="Calibri"/>
                <w:b/>
                <w:color w:val="1A365D"/>
                <w:sz w:val="20"/>
              </w:rPr>
              <w:t>VERSION:</w:t>
            </w:r>
            <w:r>
              <w:rPr>
                <w:rFonts w:ascii="Calibri" w:hAnsi="Calibri"/>
                <w:color w:val="2D3748"/>
                <w:sz w:val="20"/>
              </w:rPr>
              <w:t xml:space="preserve"> 2.1</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Record: IND-CIV-CPC003-V2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DOCUMENT_ID:</w:t>
            </w:r>
            <w:r>
              <w:rPr>
                <w:rFonts w:ascii="Calibri" w:hAnsi="Calibri"/>
                <w:color w:val="2D3748"/>
                <w:sz w:val="20"/>
              </w:rPr>
              <w:t xml:space="preserve"> IND-CIV-CPC003-V2</w:t>
            </w:r>
          </w:p>
          <w:p>
            <w:pPr>
              <w:spacing w:before="60" w:after="60" w:line="276" w:lineRule="auto"/>
              <w:ind w:left="173" w:right="173"/>
            </w:pPr>
            <w:r>
              <w:rPr>
                <w:rFonts w:ascii="Calibri" w:hAnsi="Calibri"/>
                <w:b/>
                <w:color w:val="1A365D"/>
                <w:sz w:val="20"/>
              </w:rPr>
              <w:t>TITLE:</w:t>
            </w:r>
            <w:r>
              <w:rPr>
                <w:rFonts w:ascii="Calibri" w:hAnsi="Calibri"/>
                <w:color w:val="2D3748"/>
                <w:sz w:val="20"/>
              </w:rPr>
              <w:t xml:space="preserve"> Timelines for Written Statements in General Civil and Commercial Suits: Scope and Statutory Forfeiture</w:t>
            </w:r>
          </w:p>
          <w:p>
            <w:pPr>
              <w:spacing w:before="60" w:after="60" w:line="276" w:lineRule="auto"/>
              <w:ind w:left="173" w:right="173"/>
            </w:pPr>
            <w:r>
              <w:rPr>
                <w:rFonts w:ascii="Calibri" w:hAnsi="Calibri"/>
                <w:b/>
                <w:color w:val="1A365D"/>
                <w:sz w:val="20"/>
              </w:rPr>
              <w:t>LEGAL_AREA:</w:t>
            </w:r>
            <w:r>
              <w:rPr>
                <w:rFonts w:ascii="Calibri" w:hAnsi="Calibri"/>
                <w:color w:val="2D3748"/>
                <w:sz w:val="20"/>
              </w:rPr>
              <w:t xml:space="preserve"> Civil Procedure</w:t>
            </w:r>
          </w:p>
          <w:p>
            <w:pPr>
              <w:spacing w:before="60" w:after="60" w:line="276" w:lineRule="auto"/>
              <w:ind w:left="173" w:right="173"/>
            </w:pPr>
            <w:r>
              <w:rPr>
                <w:rFonts w:ascii="Calibri" w:hAnsi="Calibri"/>
                <w:b/>
                <w:color w:val="1A365D"/>
                <w:sz w:val="20"/>
              </w:rPr>
              <w:t>SUB_AREA:</w:t>
            </w:r>
            <w:r>
              <w:rPr>
                <w:rFonts w:ascii="Calibri" w:hAnsi="Calibri"/>
                <w:color w:val="2D3748"/>
                <w:sz w:val="20"/>
              </w:rPr>
              <w:t xml:space="preserve"> Written Statement &amp; Pleadings</w:t>
            </w:r>
          </w:p>
          <w:p>
            <w:pPr>
              <w:spacing w:before="60" w:after="60" w:line="276" w:lineRule="auto"/>
              <w:ind w:left="173" w:right="173"/>
            </w:pPr>
            <w:r>
              <w:rPr>
                <w:rFonts w:ascii="Calibri" w:hAnsi="Calibri"/>
                <w:b/>
                <w:color w:val="1A365D"/>
                <w:sz w:val="20"/>
              </w:rPr>
              <w:t>SOURCE_TYPE:</w:t>
            </w:r>
            <w:r>
              <w:rPr>
                <w:rFonts w:ascii="Calibri" w:hAnsi="Calibri"/>
                <w:color w:val="2D3748"/>
                <w:sz w:val="20"/>
              </w:rPr>
              <w:t xml:space="preserve"> Central Statute</w:t>
            </w:r>
          </w:p>
          <w:p>
            <w:pPr>
              <w:spacing w:before="60" w:after="60" w:line="276" w:lineRule="auto"/>
              <w:ind w:left="173" w:right="173"/>
            </w:pPr>
            <w:r>
              <w:rPr>
                <w:rFonts w:ascii="Calibri" w:hAnsi="Calibri"/>
                <w:b/>
                <w:color w:val="1A365D"/>
                <w:sz w:val="20"/>
              </w:rPr>
              <w:t>AUTHORITY_LEVEL:</w:t>
            </w:r>
            <w:r>
              <w:rPr>
                <w:rFonts w:ascii="Calibri" w:hAnsi="Calibri"/>
                <w:color w:val="2D3748"/>
                <w:sz w:val="20"/>
              </w:rPr>
              <w:t xml:space="preserve"> Level 1 - Primary Statutory</w:t>
            </w:r>
          </w:p>
          <w:p>
            <w:pPr>
              <w:spacing w:before="60" w:after="60" w:line="276" w:lineRule="auto"/>
              <w:ind w:left="173" w:right="173"/>
            </w:pPr>
            <w:r>
              <w:rPr>
                <w:rFonts w:ascii="Calibri" w:hAnsi="Calibri"/>
                <w:b/>
                <w:color w:val="1A365D"/>
                <w:sz w:val="20"/>
              </w:rPr>
              <w:t>JURISDICTION:</w:t>
            </w:r>
            <w:r>
              <w:rPr>
                <w:rFonts w:ascii="Calibri" w:hAnsi="Calibri"/>
                <w:color w:val="2D3748"/>
                <w:sz w:val="20"/>
              </w:rPr>
              <w:t xml:space="preserve"> Union of India</w:t>
            </w:r>
          </w:p>
          <w:p>
            <w:pPr>
              <w:spacing w:before="60" w:after="60" w:line="276" w:lineRule="auto"/>
              <w:ind w:left="173" w:right="173"/>
            </w:pPr>
            <w:r>
              <w:rPr>
                <w:rFonts w:ascii="Calibri" w:hAnsi="Calibri"/>
                <w:b/>
                <w:color w:val="1A365D"/>
                <w:sz w:val="20"/>
              </w:rPr>
              <w:t>STATE_OR_UT:</w:t>
            </w:r>
            <w:r>
              <w:rPr>
                <w:rFonts w:ascii="Calibri" w:hAnsi="Calibri"/>
                <w:color w:val="2D3748"/>
                <w:sz w:val="20"/>
              </w:rPr>
              <w:t xml:space="preserve"> All States and Union Territories</w:t>
            </w:r>
          </w:p>
          <w:p>
            <w:pPr>
              <w:spacing w:before="60" w:after="60" w:line="276" w:lineRule="auto"/>
              <w:ind w:left="173" w:right="173"/>
            </w:pPr>
            <w:r>
              <w:rPr>
                <w:rFonts w:ascii="Calibri" w:hAnsi="Calibri"/>
                <w:b/>
                <w:color w:val="1A365D"/>
                <w:sz w:val="20"/>
              </w:rPr>
              <w:t>COURT_OR_AUTHORITY:</w:t>
            </w:r>
            <w:r>
              <w:rPr>
                <w:rFonts w:ascii="Calibri" w:hAnsi="Calibri"/>
                <w:color w:val="2D3748"/>
                <w:sz w:val="20"/>
              </w:rPr>
              <w:t xml:space="preserve"> Civil Courts / Commercial Courts</w:t>
            </w:r>
          </w:p>
          <w:p>
            <w:pPr>
              <w:spacing w:before="60" w:after="60" w:line="276" w:lineRule="auto"/>
              <w:ind w:left="173" w:right="173"/>
            </w:pPr>
            <w:r>
              <w:rPr>
                <w:rFonts w:ascii="Calibri" w:hAnsi="Calibri"/>
                <w:b/>
                <w:color w:val="1A365D"/>
                <w:sz w:val="20"/>
              </w:rPr>
              <w:t>STATUTE:</w:t>
            </w:r>
            <w:r>
              <w:rPr>
                <w:rFonts w:ascii="Calibri" w:hAnsi="Calibri"/>
                <w:color w:val="2D3748"/>
                <w:sz w:val="20"/>
              </w:rPr>
              <w:t xml:space="preserve"> Code of Civil Procedure, 1908 / Commercial Courts Act, 2015</w:t>
            </w:r>
          </w:p>
          <w:p>
            <w:pPr>
              <w:spacing w:before="60" w:after="60" w:line="276" w:lineRule="auto"/>
              <w:ind w:left="173" w:right="173"/>
            </w:pPr>
            <w:r>
              <w:rPr>
                <w:rFonts w:ascii="Calibri" w:hAnsi="Calibri"/>
                <w:b/>
                <w:color w:val="1A365D"/>
                <w:sz w:val="20"/>
              </w:rPr>
              <w:t>ARTICLE: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SECTION:</w:t>
            </w:r>
            <w:r>
              <w:rPr>
                <w:rFonts w:ascii="Calibri" w:hAnsi="Calibri"/>
                <w:color w:val="2D3748"/>
                <w:sz w:val="20"/>
              </w:rPr>
              <w:t xml:space="preserve"> Order VIII Rule 1</w:t>
            </w:r>
          </w:p>
          <w:p>
            <w:pPr>
              <w:spacing w:before="60" w:after="60" w:line="276" w:lineRule="auto"/>
              <w:ind w:left="173" w:right="173"/>
            </w:pPr>
            <w:r>
              <w:rPr>
                <w:rFonts w:ascii="Calibri" w:hAnsi="Calibri"/>
                <w:b/>
                <w:color w:val="1A365D"/>
                <w:sz w:val="20"/>
              </w:rPr>
              <w:t>RULE:</w:t>
            </w:r>
            <w:r>
              <w:rPr>
                <w:rFonts w:ascii="Calibri" w:hAnsi="Calibri"/>
                <w:color w:val="2D3748"/>
                <w:sz w:val="20"/>
              </w:rPr>
              <w:t xml:space="preserve"> Order VIII Rule 1 Provisos</w:t>
            </w:r>
          </w:p>
          <w:p>
            <w:pPr>
              <w:spacing w:before="60" w:after="60" w:line="276" w:lineRule="auto"/>
              <w:ind w:left="173" w:right="173"/>
            </w:pPr>
            <w:r>
              <w:rPr>
                <w:rFonts w:ascii="Calibri" w:hAnsi="Calibri"/>
                <w:b/>
                <w:color w:val="1A365D"/>
                <w:sz w:val="20"/>
              </w:rPr>
              <w:t>LEGAL_PROPOSITION:</w:t>
            </w:r>
            <w:r>
              <w:rPr>
                <w:rFonts w:ascii="Calibri" w:hAnsi="Calibri"/>
                <w:color w:val="2D3748"/>
                <w:sz w:val="20"/>
              </w:rPr>
              <w:t xml:space="preserve"> In ordinary civil suits, written statements must be filed within 30 days of summons service, extendable to 90 days for recorded reasons (directory). In Commercial Disputes of Specified Value governed by the Commercial Courts Act, 2015, the second proviso mandates a strict maximum timeline of 120 days from service, upon expiry of which the right to file is forfeited and cannot be condoned.</w:t>
            </w:r>
          </w:p>
          <w:p>
            <w:pPr>
              <w:spacing w:before="60" w:after="60" w:line="276" w:lineRule="auto"/>
              <w:ind w:left="173" w:right="173"/>
            </w:pPr>
            <w:r>
              <w:rPr>
                <w:rFonts w:ascii="Calibri" w:hAnsi="Calibri"/>
                <w:b/>
                <w:color w:val="1A365D"/>
                <w:sz w:val="20"/>
              </w:rPr>
              <w:t>SIMPLE_EXPLANATION:</w:t>
            </w:r>
            <w:r>
              <w:rPr>
                <w:rFonts w:ascii="Calibri" w:hAnsi="Calibri"/>
                <w:color w:val="2D3748"/>
                <w:sz w:val="20"/>
              </w:rPr>
              <w:t xml:space="preserve"> In ordinary civil suits, courts have discretion in exceptional cases to accept written statements beyond 90 days. In commercial suits, the 120-day limit operates as a mandatory statutory forfeiture.</w:t>
            </w:r>
          </w:p>
          <w:p>
            <w:pPr>
              <w:spacing w:before="60" w:after="60" w:line="276" w:lineRule="auto"/>
              <w:ind w:left="173" w:right="173"/>
            </w:pPr>
            <w:r>
              <w:rPr>
                <w:rFonts w:ascii="Calibri" w:hAnsi="Calibri"/>
                <w:b/>
                <w:color w:val="1A365D"/>
                <w:sz w:val="20"/>
              </w:rPr>
              <w:t>APPLICATION / WHEN RELEVANT:</w:t>
            </w:r>
            <w:r>
              <w:rPr>
                <w:rFonts w:ascii="Calibri" w:hAnsi="Calibri"/>
                <w:color w:val="2D3748"/>
                <w:sz w:val="20"/>
              </w:rPr>
              <w:t xml:space="preserve"> Calculating defense filing deadlines from the exact date of summons service and filing strike-out applications in commercial litigation upon expiry of the 120-day period.</w:t>
            </w:r>
          </w:p>
          <w:p>
            <w:pPr>
              <w:spacing w:before="60" w:after="60" w:line="276" w:lineRule="auto"/>
              <w:ind w:left="173" w:right="173"/>
            </w:pPr>
            <w:r>
              <w:rPr>
                <w:rFonts w:ascii="Calibri" w:hAnsi="Calibri"/>
                <w:b/>
                <w:color w:val="1A365D"/>
                <w:sz w:val="20"/>
              </w:rPr>
              <w:t>EXCEPTIONS / LIMITATIONS:</w:t>
            </w:r>
            <w:r>
              <w:rPr>
                <w:rFonts w:ascii="Calibri" w:hAnsi="Calibri"/>
                <w:color w:val="2D3748"/>
                <w:sz w:val="20"/>
              </w:rPr>
              <w:t xml:space="preserve"> The 120-day forfeiture applies specifically to commercial disputes governed by the Commercial Courts Act, 2015 (SCG Contracts). In ordinary non-commercial suits, the 90-day period remains directory (Salem Advocate Bar Association). Furthermore, computation of limitation/deadlines is subject to legally recognized statutory exclusions and Supreme Court extension orders applicable during extraordinary historical periods (such as In Re: Cognizance for Extension of Limitation during the COVID-19 pandemic).</w:t>
            </w:r>
          </w:p>
          <w:p>
            <w:pPr>
              <w:spacing w:before="60" w:after="60" w:line="276" w:lineRule="auto"/>
              <w:ind w:left="173" w:right="173"/>
            </w:pPr>
            <w:r>
              <w:rPr>
                <w:rFonts w:ascii="Calibri" w:hAnsi="Calibri"/>
                <w:b/>
                <w:color w:val="1A365D"/>
                <w:sz w:val="20"/>
              </w:rPr>
              <w:t>IMPORTANT_QUALIFICATIONS:</w:t>
            </w:r>
            <w:r>
              <w:rPr>
                <w:rFonts w:ascii="Calibri" w:hAnsi="Calibri"/>
                <w:color w:val="2D3748"/>
                <w:sz w:val="20"/>
              </w:rPr>
              <w:t xml:space="preserve"> Computation begins strictly from the date of valid service of summons. Procedural history must be examined to verify service validity before forfeiture is ordered (SCG Contracts (India) Pvt. Ltd. v. K.S. Chamankar Infrastructure (2019) 12 SCC 210).</w:t>
            </w:r>
          </w:p>
          <w:p>
            <w:pPr>
              <w:spacing w:before="60" w:after="60" w:line="276" w:lineRule="auto"/>
              <w:ind w:left="173" w:right="173"/>
            </w:pPr>
            <w:r>
              <w:rPr>
                <w:rFonts w:ascii="Calibri" w:hAnsi="Calibri"/>
                <w:b/>
                <w:color w:val="1A365D"/>
                <w:sz w:val="20"/>
              </w:rPr>
              <w:t>RELATED_PROVISIONS:</w:t>
            </w:r>
            <w:r>
              <w:rPr>
                <w:rFonts w:ascii="Calibri" w:hAnsi="Calibri"/>
                <w:color w:val="2D3748"/>
                <w:sz w:val="20"/>
              </w:rPr>
              <w:t xml:space="preserve"> Commercial Courts Act, 2015 Section 16; CPC Order VIII Rule 10.</w:t>
            </w:r>
          </w:p>
          <w:p>
            <w:pPr>
              <w:spacing w:before="60" w:after="60" w:line="276" w:lineRule="auto"/>
              <w:ind w:left="173" w:right="173"/>
            </w:pPr>
            <w:r>
              <w:rPr>
                <w:rFonts w:ascii="Calibri" w:hAnsi="Calibri"/>
                <w:b/>
                <w:color w:val="1A365D"/>
                <w:sz w:val="20"/>
              </w:rPr>
              <w:t>RELATED_CASE_LAW:</w:t>
            </w:r>
            <w:r>
              <w:rPr>
                <w:rFonts w:ascii="Calibri" w:hAnsi="Calibri"/>
                <w:color w:val="2D3748"/>
                <w:sz w:val="20"/>
              </w:rPr>
              <w:t xml:space="preserve"> SCG Contracts (India) Pvt. Ltd. v. K.S. Chamankar Infrastructure (2019) 12 SCC 210; Salem Advocate Bar Association v. Union of India (2005) 6 SCC 344; In Re: Cognizance for Extension of Limitation (2022) 3 SCC 117.</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 / AMENDED LAW</w:t>
            </w:r>
          </w:p>
          <w:p>
            <w:pPr>
              <w:spacing w:before="60" w:after="60" w:line="276" w:lineRule="auto"/>
              <w:ind w:left="173" w:right="173"/>
            </w:pPr>
            <w:r>
              <w:rPr>
                <w:rFonts w:ascii="Calibri" w:hAnsi="Calibri"/>
                <w:b/>
                <w:color w:val="1A365D"/>
                <w:sz w:val="20"/>
              </w:rPr>
              <w:t>EFFECTIVE_FROM:</w:t>
            </w:r>
            <w:r>
              <w:rPr>
                <w:rFonts w:ascii="Calibri" w:hAnsi="Calibri"/>
                <w:color w:val="2D3748"/>
                <w:sz w:val="20"/>
              </w:rPr>
              <w:t xml:space="preserve"> 2002-07-01 (Civil 90-day regime); 2015-10-23 (Commercial 120-day regime)</w:t>
            </w:r>
          </w:p>
          <w:p>
            <w:pPr>
              <w:spacing w:before="60" w:after="60" w:line="276" w:lineRule="auto"/>
              <w:ind w:left="173" w:right="173"/>
            </w:pPr>
            <w:r>
              <w:rPr>
                <w:rFonts w:ascii="Calibri" w:hAnsi="Calibri"/>
                <w:b/>
                <w:color w:val="1A365D"/>
                <w:sz w:val="20"/>
              </w:rPr>
              <w:t>EFFECTIVE_TO:</w:t>
            </w:r>
            <w:r>
              <w:rPr>
                <w:rFonts w:ascii="Calibri" w:hAnsi="Calibri"/>
                <w:color w:val="2D3748"/>
                <w:sz w:val="20"/>
              </w:rPr>
              <w:t xml:space="preserve"> Open</w:t>
            </w:r>
          </w:p>
          <w:p>
            <w:pPr>
              <w:spacing w:before="60" w:after="60" w:line="276" w:lineRule="auto"/>
              <w:ind w:left="173" w:right="173"/>
            </w:pPr>
            <w:r>
              <w:rPr>
                <w:rFonts w:ascii="Calibri" w:hAnsi="Calibri"/>
                <w:b/>
                <w:color w:val="1A365D"/>
                <w:sz w:val="20"/>
              </w:rPr>
              <w:t>HISTORICAL_APPLICABILITY:</w:t>
            </w:r>
            <w:r>
              <w:rPr>
                <w:rFonts w:ascii="Calibri" w:hAnsi="Calibri"/>
                <w:color w:val="2D3748"/>
                <w:sz w:val="20"/>
              </w:rPr>
              <w:t xml:space="preserve"> 90-day civil regime operative from 01.07.2002; 120-day strict commercial regime operative from 23.10.2015, subject to pandemic exclusion orders between March 2020 and February 2022.</w:t>
            </w:r>
          </w:p>
          <w:p>
            <w:pPr>
              <w:spacing w:before="60" w:after="60" w:line="276" w:lineRule="auto"/>
              <w:ind w:left="173" w:right="173"/>
            </w:pPr>
            <w:r>
              <w:rPr>
                <w:rFonts w:ascii="Calibri" w:hAnsi="Calibri"/>
                <w:b/>
                <w:color w:val="1A365D"/>
                <w:sz w:val="20"/>
              </w:rPr>
              <w:t>OFFICIAL_SOURCE_NAME:</w:t>
            </w:r>
            <w:r>
              <w:rPr>
                <w:rFonts w:ascii="Calibri" w:hAnsi="Calibri"/>
                <w:color w:val="2D3748"/>
                <w:sz w:val="20"/>
              </w:rPr>
              <w:t xml:space="preserve"> India Code Portal / Legislative Department</w:t>
            </w:r>
          </w:p>
          <w:p>
            <w:pPr>
              <w:spacing w:before="60" w:after="60" w:line="276" w:lineRule="auto"/>
              <w:ind w:left="173" w:right="173"/>
            </w:pPr>
            <w:r>
              <w:rPr>
                <w:rFonts w:ascii="Calibri" w:hAnsi="Calibri"/>
                <w:b/>
                <w:color w:val="1A365D"/>
                <w:sz w:val="20"/>
              </w:rPr>
              <w:t>OFFICIAL_SOURCE_URL:</w:t>
            </w:r>
            <w:r>
              <w:rPr>
                <w:rFonts w:ascii="Calibri" w:hAnsi="Calibri"/>
                <w:color w:val="2D3748"/>
                <w:sz w:val="20"/>
              </w:rPr>
              <w:t xml:space="preserve"> https://www.indiacode.nic.in/handle/123456789/2191</w:t>
            </w:r>
          </w:p>
          <w:p>
            <w:pPr>
              <w:spacing w:before="60" w:after="60" w:line="276" w:lineRule="auto"/>
              <w:ind w:left="173" w:right="173"/>
            </w:pPr>
            <w:r>
              <w:rPr>
                <w:rFonts w:ascii="Calibri" w:hAnsi="Calibri"/>
                <w:b/>
                <w:color w:val="1A365D"/>
                <w:sz w:val="20"/>
              </w:rPr>
              <w:t>OFFICIAL_IDENTIFIER:</w:t>
            </w:r>
            <w:r>
              <w:rPr>
                <w:rFonts w:ascii="Calibri" w:hAnsi="Calibri"/>
                <w:color w:val="2D3748"/>
                <w:sz w:val="20"/>
              </w:rPr>
              <w:t xml:space="preserve"> Act No. 5 of 1908, Order VIII Rule 1</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CPC 1908, O. VIII R. 1</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Order VIII Rule 1, written statement, summons, commercial disputes, 120 days forfeiture, limitation, pandemic exclusion</w:t>
            </w:r>
          </w:p>
          <w:p>
            <w:pPr>
              <w:spacing w:before="60" w:after="60" w:line="276" w:lineRule="auto"/>
              <w:ind w:left="173" w:right="173"/>
            </w:pPr>
            <w:r>
              <w:rPr>
                <w:rFonts w:ascii="Calibri" w:hAnsi="Calibri"/>
                <w:b/>
                <w:color w:val="1A365D"/>
                <w:sz w:val="20"/>
              </w:rPr>
              <w:t>VERSION:</w:t>
            </w:r>
            <w:r>
              <w:rPr>
                <w:rFonts w:ascii="Calibri" w:hAnsi="Calibri"/>
                <w:color w:val="2D3748"/>
                <w:sz w:val="20"/>
              </w:rPr>
              <w:t xml:space="preserve"> 2.1</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Record: IND-PROC-LIM001-V2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DOCUMENT_ID:</w:t>
            </w:r>
            <w:r>
              <w:rPr>
                <w:rFonts w:ascii="Calibri" w:hAnsi="Calibri"/>
                <w:color w:val="2D3748"/>
                <w:sz w:val="20"/>
              </w:rPr>
              <w:t xml:space="preserve"> IND-PROC-LIM001-V2</w:t>
            </w:r>
          </w:p>
          <w:p>
            <w:pPr>
              <w:spacing w:before="60" w:after="60" w:line="276" w:lineRule="auto"/>
              <w:ind w:left="173" w:right="173"/>
            </w:pPr>
            <w:r>
              <w:rPr>
                <w:rFonts w:ascii="Calibri" w:hAnsi="Calibri"/>
                <w:b/>
                <w:color w:val="1A365D"/>
                <w:sz w:val="20"/>
              </w:rPr>
              <w:t>TITLE:</w:t>
            </w:r>
            <w:r>
              <w:rPr>
                <w:rFonts w:ascii="Calibri" w:hAnsi="Calibri"/>
                <w:color w:val="2D3748"/>
                <w:sz w:val="20"/>
              </w:rPr>
              <w:t xml:space="preserve"> Mandatory Limitation Bar, Cause-of-Action Specificity, and Condonation Scope</w:t>
            </w:r>
          </w:p>
          <w:p>
            <w:pPr>
              <w:spacing w:before="60" w:after="60" w:line="276" w:lineRule="auto"/>
              <w:ind w:left="173" w:right="173"/>
            </w:pPr>
            <w:r>
              <w:rPr>
                <w:rFonts w:ascii="Calibri" w:hAnsi="Calibri"/>
                <w:b/>
                <w:color w:val="1A365D"/>
                <w:sz w:val="20"/>
              </w:rPr>
              <w:t>LEGAL_AREA:</w:t>
            </w:r>
            <w:r>
              <w:rPr>
                <w:rFonts w:ascii="Calibri" w:hAnsi="Calibri"/>
                <w:color w:val="2D3748"/>
                <w:sz w:val="20"/>
              </w:rPr>
              <w:t xml:space="preserve"> Law of Limitation</w:t>
            </w:r>
          </w:p>
          <w:p>
            <w:pPr>
              <w:spacing w:before="60" w:after="60" w:line="276" w:lineRule="auto"/>
              <w:ind w:left="173" w:right="173"/>
            </w:pPr>
            <w:r>
              <w:rPr>
                <w:rFonts w:ascii="Calibri" w:hAnsi="Calibri"/>
                <w:b/>
                <w:color w:val="1A365D"/>
                <w:sz w:val="20"/>
              </w:rPr>
              <w:t>SUB_AREA:</w:t>
            </w:r>
            <w:r>
              <w:rPr>
                <w:rFonts w:ascii="Calibri" w:hAnsi="Calibri"/>
                <w:color w:val="2D3748"/>
                <w:sz w:val="20"/>
              </w:rPr>
              <w:t xml:space="preserve"> Computation and Condonation of Delay</w:t>
            </w:r>
          </w:p>
          <w:p>
            <w:pPr>
              <w:spacing w:before="60" w:after="60" w:line="276" w:lineRule="auto"/>
              <w:ind w:left="173" w:right="173"/>
            </w:pPr>
            <w:r>
              <w:rPr>
                <w:rFonts w:ascii="Calibri" w:hAnsi="Calibri"/>
                <w:b/>
                <w:color w:val="1A365D"/>
                <w:sz w:val="20"/>
              </w:rPr>
              <w:t>SOURCE_TYPE:</w:t>
            </w:r>
            <w:r>
              <w:rPr>
                <w:rFonts w:ascii="Calibri" w:hAnsi="Calibri"/>
                <w:color w:val="2D3748"/>
                <w:sz w:val="20"/>
              </w:rPr>
              <w:t xml:space="preserve"> Central Statute</w:t>
            </w:r>
          </w:p>
          <w:p>
            <w:pPr>
              <w:spacing w:before="60" w:after="60" w:line="276" w:lineRule="auto"/>
              <w:ind w:left="173" w:right="173"/>
            </w:pPr>
            <w:r>
              <w:rPr>
                <w:rFonts w:ascii="Calibri" w:hAnsi="Calibri"/>
                <w:b/>
                <w:color w:val="1A365D"/>
                <w:sz w:val="20"/>
              </w:rPr>
              <w:t>AUTHORITY_LEVEL:</w:t>
            </w:r>
            <w:r>
              <w:rPr>
                <w:rFonts w:ascii="Calibri" w:hAnsi="Calibri"/>
                <w:color w:val="2D3748"/>
                <w:sz w:val="20"/>
              </w:rPr>
              <w:t xml:space="preserve"> Level 1 - Primary Statutory</w:t>
            </w:r>
          </w:p>
          <w:p>
            <w:pPr>
              <w:spacing w:before="60" w:after="60" w:line="276" w:lineRule="auto"/>
              <w:ind w:left="173" w:right="173"/>
            </w:pPr>
            <w:r>
              <w:rPr>
                <w:rFonts w:ascii="Calibri" w:hAnsi="Calibri"/>
                <w:b/>
                <w:color w:val="1A365D"/>
                <w:sz w:val="20"/>
              </w:rPr>
              <w:t>JURISDICTION:</w:t>
            </w:r>
            <w:r>
              <w:rPr>
                <w:rFonts w:ascii="Calibri" w:hAnsi="Calibri"/>
                <w:color w:val="2D3748"/>
                <w:sz w:val="20"/>
              </w:rPr>
              <w:t xml:space="preserve"> Union of India</w:t>
            </w:r>
          </w:p>
          <w:p>
            <w:pPr>
              <w:spacing w:before="60" w:after="60" w:line="276" w:lineRule="auto"/>
              <w:ind w:left="173" w:right="173"/>
            </w:pPr>
            <w:r>
              <w:rPr>
                <w:rFonts w:ascii="Calibri" w:hAnsi="Calibri"/>
                <w:b/>
                <w:color w:val="1A365D"/>
                <w:sz w:val="20"/>
              </w:rPr>
              <w:t>STATE_OR_UT:</w:t>
            </w:r>
            <w:r>
              <w:rPr>
                <w:rFonts w:ascii="Calibri" w:hAnsi="Calibri"/>
                <w:color w:val="2D3748"/>
                <w:sz w:val="20"/>
              </w:rPr>
              <w:t xml:space="preserve"> All States and Union Territories</w:t>
            </w:r>
          </w:p>
          <w:p>
            <w:pPr>
              <w:spacing w:before="60" w:after="60" w:line="276" w:lineRule="auto"/>
              <w:ind w:left="173" w:right="173"/>
            </w:pPr>
            <w:r>
              <w:rPr>
                <w:rFonts w:ascii="Calibri" w:hAnsi="Calibri"/>
                <w:b/>
                <w:color w:val="1A365D"/>
                <w:sz w:val="20"/>
              </w:rPr>
              <w:t>COURT_OR_AUTHORITY:</w:t>
            </w:r>
            <w:r>
              <w:rPr>
                <w:rFonts w:ascii="Calibri" w:hAnsi="Calibri"/>
                <w:color w:val="2D3748"/>
                <w:sz w:val="20"/>
              </w:rPr>
              <w:t xml:space="preserve"> All Civil and Commercial Courts / Tribunals</w:t>
            </w:r>
          </w:p>
          <w:p>
            <w:pPr>
              <w:spacing w:before="60" w:after="60" w:line="276" w:lineRule="auto"/>
              <w:ind w:left="173" w:right="173"/>
            </w:pPr>
            <w:r>
              <w:rPr>
                <w:rFonts w:ascii="Calibri" w:hAnsi="Calibri"/>
                <w:b/>
                <w:color w:val="1A365D"/>
                <w:sz w:val="20"/>
              </w:rPr>
              <w:t>STATUTE:</w:t>
            </w:r>
            <w:r>
              <w:rPr>
                <w:rFonts w:ascii="Calibri" w:hAnsi="Calibri"/>
                <w:color w:val="2D3748"/>
                <w:sz w:val="20"/>
              </w:rPr>
              <w:t xml:space="preserve"> Limitation Act, 1963</w:t>
            </w:r>
          </w:p>
          <w:p>
            <w:pPr>
              <w:spacing w:before="60" w:after="60" w:line="276" w:lineRule="auto"/>
              <w:ind w:left="173" w:right="173"/>
            </w:pPr>
            <w:r>
              <w:rPr>
                <w:rFonts w:ascii="Calibri" w:hAnsi="Calibri"/>
                <w:b/>
                <w:color w:val="1A365D"/>
                <w:sz w:val="20"/>
              </w:rPr>
              <w:t>ARTICLE:</w:t>
            </w:r>
            <w:r>
              <w:rPr>
                <w:rFonts w:ascii="Calibri" w:hAnsi="Calibri"/>
                <w:color w:val="2D3748"/>
                <w:sz w:val="20"/>
              </w:rPr>
              <w:t xml:space="preserve"> Schedule Articles 54, 55, 65, 113, 137</w:t>
            </w:r>
          </w:p>
          <w:p>
            <w:pPr>
              <w:spacing w:before="60" w:after="60" w:line="276" w:lineRule="auto"/>
              <w:ind w:left="173" w:right="173"/>
            </w:pPr>
            <w:r>
              <w:rPr>
                <w:rFonts w:ascii="Calibri" w:hAnsi="Calibri"/>
                <w:b/>
                <w:color w:val="1A365D"/>
                <w:sz w:val="20"/>
              </w:rPr>
              <w:t>SECTION:</w:t>
            </w:r>
            <w:r>
              <w:rPr>
                <w:rFonts w:ascii="Calibri" w:hAnsi="Calibri"/>
                <w:color w:val="2D3748"/>
                <w:sz w:val="20"/>
              </w:rPr>
              <w:t xml:space="preserve"> Sections 3, 5, 12, 14, 18, 19 &amp; Schedule</w:t>
            </w:r>
          </w:p>
          <w:p>
            <w:pPr>
              <w:spacing w:before="60" w:after="60" w:line="276" w:lineRule="auto"/>
              <w:ind w:left="173" w:right="173"/>
            </w:pPr>
            <w:r>
              <w:rPr>
                <w:rFonts w:ascii="Calibri" w:hAnsi="Calibri"/>
                <w:b/>
                <w:color w:val="1A365D"/>
                <w:sz w:val="20"/>
              </w:rPr>
              <w:t>RULE: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LEGAL_PROPOSITION:</w:t>
            </w:r>
            <w:r>
              <w:rPr>
                <w:rFonts w:ascii="Calibri" w:hAnsi="Calibri"/>
                <w:color w:val="2D3748"/>
                <w:sz w:val="20"/>
              </w:rPr>
              <w:t xml:space="preserve"> Subject to the provisions of Sections 4 to 24, every suit instituted, appeal preferred, and application made after the prescribed period shall be dismissed, although limitation has not been set up as a defense. Section 5 condonation applies to appeals and applications, but is statutorily excluded from original suits.</w:t>
            </w:r>
          </w:p>
          <w:p>
            <w:pPr>
              <w:spacing w:before="60" w:after="60" w:line="276" w:lineRule="auto"/>
              <w:ind w:left="173" w:right="173"/>
            </w:pPr>
            <w:r>
              <w:rPr>
                <w:rFonts w:ascii="Calibri" w:hAnsi="Calibri"/>
                <w:b/>
                <w:color w:val="1A365D"/>
                <w:sz w:val="20"/>
              </w:rPr>
              <w:t>SIMPLE_EXPLANATION:</w:t>
            </w:r>
            <w:r>
              <w:rPr>
                <w:rFonts w:ascii="Calibri" w:hAnsi="Calibri"/>
                <w:color w:val="2D3748"/>
                <w:sz w:val="20"/>
              </w:rPr>
              <w:t xml:space="preserve"> Courts must dismiss actions filed past the limitation period, even if neither party raises the defense. Delay can be condoned for appeals or applications upon showing sufficient cause, but courts possess no power to condone delay in filing an original suit.</w:t>
            </w:r>
          </w:p>
          <w:p>
            <w:pPr>
              <w:spacing w:before="60" w:after="60" w:line="276" w:lineRule="auto"/>
              <w:ind w:left="173" w:right="173"/>
            </w:pPr>
            <w:r>
              <w:rPr>
                <w:rFonts w:ascii="Calibri" w:hAnsi="Calibri"/>
                <w:b/>
                <w:color w:val="1A365D"/>
                <w:sz w:val="20"/>
              </w:rPr>
              <w:t>APPLICATION / WHEN RELEVANT:</w:t>
            </w:r>
            <w:r>
              <w:rPr>
                <w:rFonts w:ascii="Calibri" w:hAnsi="Calibri"/>
                <w:color w:val="2D3748"/>
                <w:sz w:val="20"/>
              </w:rPr>
              <w:t xml:space="preserve"> Calculating cause-of-action specific limitation periods prior to filing, moving for threshold rejection under Order VII Rule 11(d) CPC, and drafting Section 5 condonation petitions.</w:t>
            </w:r>
          </w:p>
          <w:p>
            <w:pPr>
              <w:spacing w:before="60" w:after="60" w:line="276" w:lineRule="auto"/>
              <w:ind w:left="173" w:right="173"/>
            </w:pPr>
            <w:r>
              <w:rPr>
                <w:rFonts w:ascii="Calibri" w:hAnsi="Calibri"/>
                <w:b/>
                <w:color w:val="1A365D"/>
                <w:sz w:val="20"/>
              </w:rPr>
              <w:t>EXCEPTIONS / LIMITATIONS:</w:t>
            </w:r>
            <w:r>
              <w:rPr>
                <w:rFonts w:ascii="Calibri" w:hAnsi="Calibri"/>
                <w:color w:val="2D3748"/>
                <w:sz w:val="20"/>
              </w:rPr>
              <w:t xml:space="preserve"> Section 5 condonation applies strictly to appeals and applications (excluding execution petitions under Order XXI CPC). Section 3 contains no discretionary exception for suits. However, computation is subject to statutory exclusions: Section 12 (exclusion of time in legal proceedings), Section 14 (time spent in good faith in court lacking jurisdiction), and Section 18/19 (fresh period upon written acknowledgment or part-payment).</w:t>
            </w:r>
          </w:p>
          <w:p>
            <w:pPr>
              <w:spacing w:before="60" w:after="60" w:line="276" w:lineRule="auto"/>
              <w:ind w:left="173" w:right="173"/>
            </w:pPr>
            <w:r>
              <w:rPr>
                <w:rFonts w:ascii="Calibri" w:hAnsi="Calibri"/>
                <w:b/>
                <w:color w:val="1A365D"/>
                <w:sz w:val="20"/>
              </w:rPr>
              <w:t>IMPORTANT_QUALIFICATIONS:</w:t>
            </w:r>
            <w:r>
              <w:rPr>
                <w:rFonts w:ascii="Calibri" w:hAnsi="Calibri"/>
                <w:color w:val="2D3748"/>
                <w:sz w:val="20"/>
              </w:rPr>
              <w:t xml:space="preserve"> Limitation cannot be determined as a generic abstraction; it depends strictly on the applicable Schedule Article, starting point (terminus a quo), and accrual of cause of action. Courts have no equitable discretion to extend limitation for suits outside statutory exclusion provisions.</w:t>
            </w:r>
          </w:p>
          <w:p>
            <w:pPr>
              <w:spacing w:before="60" w:after="60" w:line="276" w:lineRule="auto"/>
              <w:ind w:left="173" w:right="173"/>
            </w:pPr>
            <w:r>
              <w:rPr>
                <w:rFonts w:ascii="Calibri" w:hAnsi="Calibri"/>
                <w:b/>
                <w:color w:val="1A365D"/>
                <w:sz w:val="20"/>
              </w:rPr>
              <w:t>RELATED_PROVISIONS:</w:t>
            </w:r>
            <w:r>
              <w:rPr>
                <w:rFonts w:ascii="Calibri" w:hAnsi="Calibri"/>
                <w:color w:val="2D3748"/>
                <w:sz w:val="20"/>
              </w:rPr>
              <w:t xml:space="preserve"> Limitation Act Sections 14, 18; CPC Order VII Rule 11(d).</w:t>
            </w:r>
          </w:p>
          <w:p>
            <w:pPr>
              <w:spacing w:before="60" w:after="60" w:line="276" w:lineRule="auto"/>
              <w:ind w:left="173" w:right="173"/>
            </w:pPr>
            <w:r>
              <w:rPr>
                <w:rFonts w:ascii="Calibri" w:hAnsi="Calibri"/>
                <w:b/>
                <w:color w:val="1A365D"/>
                <w:sz w:val="20"/>
              </w:rPr>
              <w:t>RELATED_CASE_LAW:</w:t>
            </w:r>
            <w:r>
              <w:rPr>
                <w:rFonts w:ascii="Calibri" w:hAnsi="Calibri"/>
                <w:color w:val="2D3748"/>
                <w:sz w:val="20"/>
              </w:rPr>
              <w:t xml:space="preserve"> Bharat Barrel &amp; Drum Mfg. Co. v. ESI Corp. (1971) 2 SCC 860; Collector (LA) v. Katiji (1987) 2 SCC 107.</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w:t>
            </w:r>
          </w:p>
          <w:p>
            <w:pPr>
              <w:spacing w:before="60" w:after="60" w:line="276" w:lineRule="auto"/>
              <w:ind w:left="173" w:right="173"/>
            </w:pPr>
            <w:r>
              <w:rPr>
                <w:rFonts w:ascii="Calibri" w:hAnsi="Calibri"/>
                <w:b/>
                <w:color w:val="1A365D"/>
                <w:sz w:val="20"/>
              </w:rPr>
              <w:t>EFFECTIVE_FROM:</w:t>
            </w:r>
            <w:r>
              <w:rPr>
                <w:rFonts w:ascii="Calibri" w:hAnsi="Calibri"/>
                <w:color w:val="2D3748"/>
                <w:sz w:val="20"/>
              </w:rPr>
              <w:t xml:space="preserve"> 1964-01-01</w:t>
            </w:r>
          </w:p>
          <w:p>
            <w:pPr>
              <w:spacing w:before="60" w:after="60" w:line="276" w:lineRule="auto"/>
              <w:ind w:left="173" w:right="173"/>
            </w:pPr>
            <w:r>
              <w:rPr>
                <w:rFonts w:ascii="Calibri" w:hAnsi="Calibri"/>
                <w:b/>
                <w:color w:val="1A365D"/>
                <w:sz w:val="20"/>
              </w:rPr>
              <w:t>EFFECTIVE_TO:</w:t>
            </w:r>
            <w:r>
              <w:rPr>
                <w:rFonts w:ascii="Calibri" w:hAnsi="Calibri"/>
                <w:color w:val="2D3748"/>
                <w:sz w:val="20"/>
              </w:rPr>
              <w:t xml:space="preserve"> Open</w:t>
            </w:r>
          </w:p>
          <w:p>
            <w:pPr>
              <w:spacing w:before="60" w:after="60" w:line="276" w:lineRule="auto"/>
              <w:ind w:left="173" w:right="173"/>
            </w:pPr>
            <w:r>
              <w:rPr>
                <w:rFonts w:ascii="Calibri" w:hAnsi="Calibri"/>
                <w:b/>
                <w:color w:val="1A365D"/>
                <w:sz w:val="20"/>
              </w:rPr>
              <w:t>HISTORICAL_APPLICABILITY:</w:t>
            </w:r>
            <w:r>
              <w:rPr>
                <w:rFonts w:ascii="Calibri" w:hAnsi="Calibri"/>
                <w:color w:val="2D3748"/>
                <w:sz w:val="20"/>
              </w:rPr>
              <w:t xml:space="preserve"> Governs computation of limitation across all Indian courts since 1 January 1964.</w:t>
            </w:r>
          </w:p>
          <w:p>
            <w:pPr>
              <w:spacing w:before="60" w:after="60" w:line="276" w:lineRule="auto"/>
              <w:ind w:left="173" w:right="173"/>
            </w:pPr>
            <w:r>
              <w:rPr>
                <w:rFonts w:ascii="Calibri" w:hAnsi="Calibri"/>
                <w:b/>
                <w:color w:val="1A365D"/>
                <w:sz w:val="20"/>
              </w:rPr>
              <w:t>OFFICIAL_SOURCE_NAME:</w:t>
            </w:r>
            <w:r>
              <w:rPr>
                <w:rFonts w:ascii="Calibri" w:hAnsi="Calibri"/>
                <w:color w:val="2D3748"/>
                <w:sz w:val="20"/>
              </w:rPr>
              <w:t xml:space="preserve"> India Code Portal, Legislative Department</w:t>
            </w:r>
          </w:p>
          <w:p>
            <w:pPr>
              <w:spacing w:before="60" w:after="60" w:line="276" w:lineRule="auto"/>
              <w:ind w:left="173" w:right="173"/>
            </w:pPr>
            <w:r>
              <w:rPr>
                <w:rFonts w:ascii="Calibri" w:hAnsi="Calibri"/>
                <w:b/>
                <w:color w:val="1A365D"/>
                <w:sz w:val="20"/>
              </w:rPr>
              <w:t>OFFICIAL_SOURCE_URL:</w:t>
            </w:r>
            <w:r>
              <w:rPr>
                <w:rFonts w:ascii="Calibri" w:hAnsi="Calibri"/>
                <w:color w:val="2D3748"/>
                <w:sz w:val="20"/>
              </w:rPr>
              <w:t xml:space="preserve"> https://www.indiacode.nic.in/handle/123456789/1566</w:t>
            </w:r>
          </w:p>
          <w:p>
            <w:pPr>
              <w:spacing w:before="60" w:after="60" w:line="276" w:lineRule="auto"/>
              <w:ind w:left="173" w:right="173"/>
            </w:pPr>
            <w:r>
              <w:rPr>
                <w:rFonts w:ascii="Calibri" w:hAnsi="Calibri"/>
                <w:b/>
                <w:color w:val="1A365D"/>
                <w:sz w:val="20"/>
              </w:rPr>
              <w:t>OFFICIAL_IDENTIFIER:</w:t>
            </w:r>
            <w:r>
              <w:rPr>
                <w:rFonts w:ascii="Calibri" w:hAnsi="Calibri"/>
                <w:color w:val="2D3748"/>
                <w:sz w:val="20"/>
              </w:rPr>
              <w:t xml:space="preserve"> Act No. 36 of 1963, Section 3</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Limitation Act 1963, SS. 3 &amp; 5</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Limitation Act, Section 3, Section 5 condonation, sufficient cause, Section 14, Section 18 acknowledgment, terminus a quo</w:t>
            </w:r>
          </w:p>
          <w:p>
            <w:pPr>
              <w:spacing w:before="60" w:after="60" w:line="276" w:lineRule="auto"/>
              <w:ind w:left="173" w:right="173"/>
            </w:pPr>
            <w:r>
              <w:rPr>
                <w:rFonts w:ascii="Calibri" w:hAnsi="Calibri"/>
                <w:b/>
                <w:color w:val="1A365D"/>
                <w:sz w:val="20"/>
              </w:rPr>
              <w:t>VERSION:</w:t>
            </w:r>
            <w:r>
              <w:rPr>
                <w:rFonts w:ascii="Calibri" w:hAnsi="Calibri"/>
                <w:color w:val="2D3748"/>
                <w:sz w:val="20"/>
              </w:rPr>
              <w:t xml:space="preserve"> 2.1</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Record: IND-CONT-ICA001-V2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DOCUMENT_ID:</w:t>
            </w:r>
            <w:r>
              <w:rPr>
                <w:rFonts w:ascii="Calibri" w:hAnsi="Calibri"/>
                <w:color w:val="2D3748"/>
                <w:sz w:val="20"/>
              </w:rPr>
              <w:t xml:space="preserve"> IND-CONT-ICA001-V2</w:t>
            </w:r>
          </w:p>
          <w:p>
            <w:pPr>
              <w:spacing w:before="60" w:after="60" w:line="276" w:lineRule="auto"/>
              <w:ind w:left="173" w:right="173"/>
            </w:pPr>
            <w:r>
              <w:rPr>
                <w:rFonts w:ascii="Calibri" w:hAnsi="Calibri"/>
                <w:b/>
                <w:color w:val="1A365D"/>
                <w:sz w:val="20"/>
              </w:rPr>
              <w:t>TITLE:</w:t>
            </w:r>
            <w:r>
              <w:rPr>
                <w:rFonts w:ascii="Calibri" w:hAnsi="Calibri"/>
                <w:color w:val="2D3748"/>
                <w:sz w:val="20"/>
              </w:rPr>
              <w:t xml:space="preserve"> Damages for Breach: Direct Losses, Duty to Mitigate, and Liquidated Compensation</w:t>
            </w:r>
          </w:p>
          <w:p>
            <w:pPr>
              <w:spacing w:before="60" w:after="60" w:line="276" w:lineRule="auto"/>
              <w:ind w:left="173" w:right="173"/>
            </w:pPr>
            <w:r>
              <w:rPr>
                <w:rFonts w:ascii="Calibri" w:hAnsi="Calibri"/>
                <w:b/>
                <w:color w:val="1A365D"/>
                <w:sz w:val="20"/>
              </w:rPr>
              <w:t>LEGAL_AREA:</w:t>
            </w:r>
            <w:r>
              <w:rPr>
                <w:rFonts w:ascii="Calibri" w:hAnsi="Calibri"/>
                <w:color w:val="2D3748"/>
                <w:sz w:val="20"/>
              </w:rPr>
              <w:t xml:space="preserve"> Contract Law</w:t>
            </w:r>
          </w:p>
          <w:p>
            <w:pPr>
              <w:spacing w:before="60" w:after="60" w:line="276" w:lineRule="auto"/>
              <w:ind w:left="173" w:right="173"/>
            </w:pPr>
            <w:r>
              <w:rPr>
                <w:rFonts w:ascii="Calibri" w:hAnsi="Calibri"/>
                <w:b/>
                <w:color w:val="1A365D"/>
                <w:sz w:val="20"/>
              </w:rPr>
              <w:t>SUB_AREA:</w:t>
            </w:r>
            <w:r>
              <w:rPr>
                <w:rFonts w:ascii="Calibri" w:hAnsi="Calibri"/>
                <w:color w:val="2D3748"/>
                <w:sz w:val="20"/>
              </w:rPr>
              <w:t xml:space="preserve"> Remedies for Breach of Contract</w:t>
            </w:r>
          </w:p>
          <w:p>
            <w:pPr>
              <w:spacing w:before="60" w:after="60" w:line="276" w:lineRule="auto"/>
              <w:ind w:left="173" w:right="173"/>
            </w:pPr>
            <w:r>
              <w:rPr>
                <w:rFonts w:ascii="Calibri" w:hAnsi="Calibri"/>
                <w:b/>
                <w:color w:val="1A365D"/>
                <w:sz w:val="20"/>
              </w:rPr>
              <w:t>SOURCE_TYPE:</w:t>
            </w:r>
            <w:r>
              <w:rPr>
                <w:rFonts w:ascii="Calibri" w:hAnsi="Calibri"/>
                <w:color w:val="2D3748"/>
                <w:sz w:val="20"/>
              </w:rPr>
              <w:t xml:space="preserve"> Central Statute</w:t>
            </w:r>
          </w:p>
          <w:p>
            <w:pPr>
              <w:spacing w:before="60" w:after="60" w:line="276" w:lineRule="auto"/>
              <w:ind w:left="173" w:right="173"/>
            </w:pPr>
            <w:r>
              <w:rPr>
                <w:rFonts w:ascii="Calibri" w:hAnsi="Calibri"/>
                <w:b/>
                <w:color w:val="1A365D"/>
                <w:sz w:val="20"/>
              </w:rPr>
              <w:t>AUTHORITY_LEVEL:</w:t>
            </w:r>
            <w:r>
              <w:rPr>
                <w:rFonts w:ascii="Calibri" w:hAnsi="Calibri"/>
                <w:color w:val="2D3748"/>
                <w:sz w:val="20"/>
              </w:rPr>
              <w:t xml:space="preserve"> Level 1 - Primary Statutory</w:t>
            </w:r>
          </w:p>
          <w:p>
            <w:pPr>
              <w:spacing w:before="60" w:after="60" w:line="276" w:lineRule="auto"/>
              <w:ind w:left="173" w:right="173"/>
            </w:pPr>
            <w:r>
              <w:rPr>
                <w:rFonts w:ascii="Calibri" w:hAnsi="Calibri"/>
                <w:b/>
                <w:color w:val="1A365D"/>
                <w:sz w:val="20"/>
              </w:rPr>
              <w:t>JURISDICTION:</w:t>
            </w:r>
            <w:r>
              <w:rPr>
                <w:rFonts w:ascii="Calibri" w:hAnsi="Calibri"/>
                <w:color w:val="2D3748"/>
                <w:sz w:val="20"/>
              </w:rPr>
              <w:t xml:space="preserve"> Union of India</w:t>
            </w:r>
          </w:p>
          <w:p>
            <w:pPr>
              <w:spacing w:before="60" w:after="60" w:line="276" w:lineRule="auto"/>
              <w:ind w:left="173" w:right="173"/>
            </w:pPr>
            <w:r>
              <w:rPr>
                <w:rFonts w:ascii="Calibri" w:hAnsi="Calibri"/>
                <w:b/>
                <w:color w:val="1A365D"/>
                <w:sz w:val="20"/>
              </w:rPr>
              <w:t>STATE_OR_UT:</w:t>
            </w:r>
            <w:r>
              <w:rPr>
                <w:rFonts w:ascii="Calibri" w:hAnsi="Calibri"/>
                <w:color w:val="2D3748"/>
                <w:sz w:val="20"/>
              </w:rPr>
              <w:t xml:space="preserve"> All States and Union Territories</w:t>
            </w:r>
          </w:p>
          <w:p>
            <w:pPr>
              <w:spacing w:before="60" w:after="60" w:line="276" w:lineRule="auto"/>
              <w:ind w:left="173" w:right="173"/>
            </w:pPr>
            <w:r>
              <w:rPr>
                <w:rFonts w:ascii="Calibri" w:hAnsi="Calibri"/>
                <w:b/>
                <w:color w:val="1A365D"/>
                <w:sz w:val="20"/>
              </w:rPr>
              <w:t>COURT_OR_AUTHORITY:</w:t>
            </w:r>
            <w:r>
              <w:rPr>
                <w:rFonts w:ascii="Calibri" w:hAnsi="Calibri"/>
                <w:color w:val="2D3748"/>
                <w:sz w:val="20"/>
              </w:rPr>
              <w:t xml:space="preserve"> Civil Courts / Commercial Courts / Arbitral Tribunals</w:t>
            </w:r>
          </w:p>
          <w:p>
            <w:pPr>
              <w:spacing w:before="60" w:after="60" w:line="276" w:lineRule="auto"/>
              <w:ind w:left="173" w:right="173"/>
            </w:pPr>
            <w:r>
              <w:rPr>
                <w:rFonts w:ascii="Calibri" w:hAnsi="Calibri"/>
                <w:b/>
                <w:color w:val="1A365D"/>
                <w:sz w:val="20"/>
              </w:rPr>
              <w:t>STATUTE:</w:t>
            </w:r>
            <w:r>
              <w:rPr>
                <w:rFonts w:ascii="Calibri" w:hAnsi="Calibri"/>
                <w:color w:val="2D3748"/>
                <w:sz w:val="20"/>
              </w:rPr>
              <w:t xml:space="preserve"> Indian Contract Act, 1872</w:t>
            </w:r>
          </w:p>
          <w:p>
            <w:pPr>
              <w:spacing w:before="60" w:after="60" w:line="276" w:lineRule="auto"/>
              <w:ind w:left="173" w:right="173"/>
            </w:pPr>
            <w:r>
              <w:rPr>
                <w:rFonts w:ascii="Calibri" w:hAnsi="Calibri"/>
                <w:b/>
                <w:color w:val="1A365D"/>
                <w:sz w:val="20"/>
              </w:rPr>
              <w:t>ARTICLE: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SECTION:</w:t>
            </w:r>
            <w:r>
              <w:rPr>
                <w:rFonts w:ascii="Calibri" w:hAnsi="Calibri"/>
                <w:color w:val="2D3748"/>
                <w:sz w:val="20"/>
              </w:rPr>
              <w:t xml:space="preserve"> Sections 73 and 74</w:t>
            </w:r>
          </w:p>
          <w:p>
            <w:pPr>
              <w:spacing w:before="60" w:after="60" w:line="276" w:lineRule="auto"/>
              <w:ind w:left="173" w:right="173"/>
            </w:pPr>
            <w:r>
              <w:rPr>
                <w:rFonts w:ascii="Calibri" w:hAnsi="Calibri"/>
                <w:b/>
                <w:color w:val="1A365D"/>
                <w:sz w:val="20"/>
              </w:rPr>
              <w:t>RULE: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LEGAL_PROPOSITION:</w:t>
            </w:r>
            <w:r>
              <w:rPr>
                <w:rFonts w:ascii="Calibri" w:hAnsi="Calibri"/>
                <w:color w:val="2D3748"/>
                <w:sz w:val="20"/>
              </w:rPr>
              <w:t xml:space="preserve"> Damages are recoverable for direct losses arising naturally in the usual course of things or contemplated by the parties. Under Section 74, liquidated damages clauses entitle claimants only to reasonable compensation not exceeding the stipulated amount, whether or not actual damage or loss is proved to have been caused.</w:t>
            </w:r>
          </w:p>
          <w:p>
            <w:pPr>
              <w:spacing w:before="60" w:after="60" w:line="276" w:lineRule="auto"/>
              <w:ind w:left="173" w:right="173"/>
            </w:pPr>
            <w:r>
              <w:rPr>
                <w:rFonts w:ascii="Calibri" w:hAnsi="Calibri"/>
                <w:b/>
                <w:color w:val="1A365D"/>
                <w:sz w:val="20"/>
              </w:rPr>
              <w:t>SIMPLE_EXPLANATION:</w:t>
            </w:r>
            <w:r>
              <w:rPr>
                <w:rFonts w:ascii="Calibri" w:hAnsi="Calibri"/>
                <w:color w:val="2D3748"/>
                <w:sz w:val="20"/>
              </w:rPr>
              <w:t xml:space="preserve"> Codifies the rule in Hadley v. Baxendale. Remote damages are barred, and claimants must mitigate losses. A pre-agreed damages clause does not grant an automatic windfall; actual loss must be proven unless impossible or difficult to quantify.</w:t>
            </w:r>
          </w:p>
          <w:p>
            <w:pPr>
              <w:spacing w:before="60" w:after="60" w:line="276" w:lineRule="auto"/>
              <w:ind w:left="173" w:right="173"/>
            </w:pPr>
            <w:r>
              <w:rPr>
                <w:rFonts w:ascii="Calibri" w:hAnsi="Calibri"/>
                <w:b/>
                <w:color w:val="1A365D"/>
                <w:sz w:val="20"/>
              </w:rPr>
              <w:t>APPLICATION / WHEN RELEVANT:</w:t>
            </w:r>
            <w:r>
              <w:rPr>
                <w:rFonts w:ascii="Calibri" w:hAnsi="Calibri"/>
                <w:color w:val="2D3748"/>
                <w:sz w:val="20"/>
              </w:rPr>
              <w:t xml:space="preserve"> Formulating commercial damages claims, drafting indemnity clauses, and resisting liquidated damages forfeitures.</w:t>
            </w:r>
          </w:p>
          <w:p>
            <w:pPr>
              <w:spacing w:before="60" w:after="60" w:line="276" w:lineRule="auto"/>
              <w:ind w:left="173" w:right="173"/>
            </w:pPr>
            <w:r>
              <w:rPr>
                <w:rFonts w:ascii="Calibri" w:hAnsi="Calibri"/>
                <w:b/>
                <w:color w:val="1A365D"/>
                <w:sz w:val="20"/>
              </w:rPr>
              <w:t>EXCEPTIONS / LIMITATIONS:</w:t>
            </w:r>
            <w:r>
              <w:rPr>
                <w:rFonts w:ascii="Calibri" w:hAnsi="Calibri"/>
                <w:color w:val="2D3748"/>
                <w:sz w:val="20"/>
              </w:rPr>
              <w:t xml:space="preserve"> Where actual loss is impossible or difficult to prove, genuine pre-estimated damages may be awarded without specific proof of quantum (Fateh Chand; Maula Bux).</w:t>
            </w:r>
          </w:p>
          <w:p>
            <w:pPr>
              <w:spacing w:before="60" w:after="60" w:line="276" w:lineRule="auto"/>
              <w:ind w:left="173" w:right="173"/>
            </w:pPr>
            <w:r>
              <w:rPr>
                <w:rFonts w:ascii="Calibri" w:hAnsi="Calibri"/>
                <w:b/>
                <w:color w:val="1A365D"/>
                <w:sz w:val="20"/>
              </w:rPr>
              <w:t>IMPORTANT_QUALIFICATIONS:</w:t>
            </w:r>
            <w:r>
              <w:rPr>
                <w:rFonts w:ascii="Calibri" w:hAnsi="Calibri"/>
                <w:color w:val="2D3748"/>
                <w:sz w:val="20"/>
              </w:rPr>
              <w:t xml:space="preserve"> Indian law merges liquidated damages and penalties into a single rule: courts award only reasonable compensation capped at the stipulated amount (Kailash Nath Associates v. DDA (2015) 4 SCC 136).</w:t>
            </w:r>
          </w:p>
          <w:p>
            <w:pPr>
              <w:spacing w:before="60" w:after="60" w:line="276" w:lineRule="auto"/>
              <w:ind w:left="173" w:right="173"/>
            </w:pPr>
            <w:r>
              <w:rPr>
                <w:rFonts w:ascii="Calibri" w:hAnsi="Calibri"/>
                <w:b/>
                <w:color w:val="1A365D"/>
                <w:sz w:val="20"/>
              </w:rPr>
              <w:t>RELATED_PROVISIONS:</w:t>
            </w:r>
            <w:r>
              <w:rPr>
                <w:rFonts w:ascii="Calibri" w:hAnsi="Calibri"/>
                <w:color w:val="2D3748"/>
                <w:sz w:val="20"/>
              </w:rPr>
              <w:t xml:space="preserve"> Specific Relief Act Section 21; Indian Contract Act Sections 75, 124.</w:t>
            </w:r>
          </w:p>
          <w:p>
            <w:pPr>
              <w:spacing w:before="60" w:after="60" w:line="276" w:lineRule="auto"/>
              <w:ind w:left="173" w:right="173"/>
            </w:pPr>
            <w:r>
              <w:rPr>
                <w:rFonts w:ascii="Calibri" w:hAnsi="Calibri"/>
                <w:b/>
                <w:color w:val="1A365D"/>
                <w:sz w:val="20"/>
              </w:rPr>
              <w:t>RELATED_CASE_LAW:</w:t>
            </w:r>
            <w:r>
              <w:rPr>
                <w:rFonts w:ascii="Calibri" w:hAnsi="Calibri"/>
                <w:color w:val="2D3748"/>
                <w:sz w:val="20"/>
              </w:rPr>
              <w:t xml:space="preserve"> Kailash Nath Associates v. Delhi Development Authority (2015) 4 SCC 136; Fateh Chand v. Balkishan Dass AIR 1963 SC 1405.</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w:t>
            </w:r>
          </w:p>
          <w:p>
            <w:pPr>
              <w:spacing w:before="60" w:after="60" w:line="276" w:lineRule="auto"/>
              <w:ind w:left="173" w:right="173"/>
            </w:pPr>
            <w:r>
              <w:rPr>
                <w:rFonts w:ascii="Calibri" w:hAnsi="Calibri"/>
                <w:b/>
                <w:color w:val="1A365D"/>
                <w:sz w:val="20"/>
              </w:rPr>
              <w:t>EFFECTIVE_FROM:</w:t>
            </w:r>
            <w:r>
              <w:rPr>
                <w:rFonts w:ascii="Calibri" w:hAnsi="Calibri"/>
                <w:color w:val="2D3748"/>
                <w:sz w:val="20"/>
              </w:rPr>
              <w:t xml:space="preserve"> 1872-09-01</w:t>
            </w:r>
          </w:p>
          <w:p>
            <w:pPr>
              <w:spacing w:before="60" w:after="60" w:line="276" w:lineRule="auto"/>
              <w:ind w:left="173" w:right="173"/>
            </w:pPr>
            <w:r>
              <w:rPr>
                <w:rFonts w:ascii="Calibri" w:hAnsi="Calibri"/>
                <w:b/>
                <w:color w:val="1A365D"/>
                <w:sz w:val="20"/>
              </w:rPr>
              <w:t>EFFECTIVE_TO:</w:t>
            </w:r>
            <w:r>
              <w:rPr>
                <w:rFonts w:ascii="Calibri" w:hAnsi="Calibri"/>
                <w:color w:val="2D3748"/>
                <w:sz w:val="20"/>
              </w:rPr>
              <w:t xml:space="preserve"> Open</w:t>
            </w:r>
          </w:p>
          <w:p>
            <w:pPr>
              <w:spacing w:before="60" w:after="60" w:line="276" w:lineRule="auto"/>
              <w:ind w:left="173" w:right="173"/>
            </w:pPr>
            <w:r>
              <w:rPr>
                <w:rFonts w:ascii="Calibri" w:hAnsi="Calibri"/>
                <w:b/>
                <w:color w:val="1A365D"/>
                <w:sz w:val="20"/>
              </w:rPr>
              <w:t>HISTORICAL_APPLICABILITY:</w:t>
            </w:r>
            <w:r>
              <w:rPr>
                <w:rFonts w:ascii="Calibri" w:hAnsi="Calibri"/>
                <w:color w:val="2D3748"/>
                <w:sz w:val="20"/>
              </w:rPr>
              <w:t xml:space="preserve"> Foundational contract jurisprudence operative since 1 September 1872.</w:t>
            </w:r>
          </w:p>
          <w:p>
            <w:pPr>
              <w:spacing w:before="60" w:after="60" w:line="276" w:lineRule="auto"/>
              <w:ind w:left="173" w:right="173"/>
            </w:pPr>
            <w:r>
              <w:rPr>
                <w:rFonts w:ascii="Calibri" w:hAnsi="Calibri"/>
                <w:b/>
                <w:color w:val="1A365D"/>
                <w:sz w:val="20"/>
              </w:rPr>
              <w:t>OFFICIAL_SOURCE_NAME:</w:t>
            </w:r>
            <w:r>
              <w:rPr>
                <w:rFonts w:ascii="Calibri" w:hAnsi="Calibri"/>
                <w:color w:val="2D3748"/>
                <w:sz w:val="20"/>
              </w:rPr>
              <w:t xml:space="preserve"> India Code Portal, Legislative Department</w:t>
            </w:r>
          </w:p>
          <w:p>
            <w:pPr>
              <w:spacing w:before="60" w:after="60" w:line="276" w:lineRule="auto"/>
              <w:ind w:left="173" w:right="173"/>
            </w:pPr>
            <w:r>
              <w:rPr>
                <w:rFonts w:ascii="Calibri" w:hAnsi="Calibri"/>
                <w:b/>
                <w:color w:val="1A365D"/>
                <w:sz w:val="20"/>
              </w:rPr>
              <w:t>OFFICIAL_SOURCE_URL:</w:t>
            </w:r>
            <w:r>
              <w:rPr>
                <w:rFonts w:ascii="Calibri" w:hAnsi="Calibri"/>
                <w:color w:val="2D3748"/>
                <w:sz w:val="20"/>
              </w:rPr>
              <w:t xml:space="preserve"> https://www.indiacode.nic.in/handle/123456789/2187</w:t>
            </w:r>
          </w:p>
          <w:p>
            <w:pPr>
              <w:spacing w:before="60" w:after="60" w:line="276" w:lineRule="auto"/>
              <w:ind w:left="173" w:right="173"/>
            </w:pPr>
            <w:r>
              <w:rPr>
                <w:rFonts w:ascii="Calibri" w:hAnsi="Calibri"/>
                <w:b/>
                <w:color w:val="1A365D"/>
                <w:sz w:val="20"/>
              </w:rPr>
              <w:t>OFFICIAL_IDENTIFIER:</w:t>
            </w:r>
            <w:r>
              <w:rPr>
                <w:rFonts w:ascii="Calibri" w:hAnsi="Calibri"/>
                <w:color w:val="2D3748"/>
                <w:sz w:val="20"/>
              </w:rPr>
              <w:t xml:space="preserve"> Act No. 9 of 1872, Sections 73 &amp; 74</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ICA 1872, SS. 73 &amp; 74</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Contract Act, Section 73, Section 74, liquidated damages, penalty, reasonable compensation, proof of loss, mitigation</w:t>
            </w:r>
          </w:p>
          <w:p>
            <w:pPr>
              <w:spacing w:before="60" w:after="60" w:line="276" w:lineRule="auto"/>
              <w:ind w:left="173" w:right="173"/>
            </w:pPr>
            <w:r>
              <w:rPr>
                <w:rFonts w:ascii="Calibri" w:hAnsi="Calibri"/>
                <w:b/>
                <w:color w:val="1A365D"/>
                <w:sz w:val="20"/>
              </w:rPr>
              <w:t>VERSION:</w:t>
            </w:r>
            <w:r>
              <w:rPr>
                <w:rFonts w:ascii="Calibri" w:hAnsi="Calibri"/>
                <w:color w:val="2D3748"/>
                <w:sz w:val="20"/>
              </w:rPr>
              <w:t xml:space="preserve"> 2.1</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Record: IND-PROP-TPA001-V2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DOCUMENT_ID:</w:t>
            </w:r>
            <w:r>
              <w:rPr>
                <w:rFonts w:ascii="Calibri" w:hAnsi="Calibri"/>
                <w:color w:val="2D3748"/>
                <w:sz w:val="20"/>
              </w:rPr>
              <w:t xml:space="preserve"> IND-PROP-TPA001-V2</w:t>
            </w:r>
          </w:p>
          <w:p>
            <w:pPr>
              <w:spacing w:before="60" w:after="60" w:line="276" w:lineRule="auto"/>
              <w:ind w:left="173" w:right="173"/>
            </w:pPr>
            <w:r>
              <w:rPr>
                <w:rFonts w:ascii="Calibri" w:hAnsi="Calibri"/>
                <w:b/>
                <w:color w:val="1A365D"/>
                <w:sz w:val="20"/>
              </w:rPr>
              <w:t>TITLE:</w:t>
            </w:r>
            <w:r>
              <w:rPr>
                <w:rFonts w:ascii="Calibri" w:hAnsi="Calibri"/>
                <w:color w:val="2D3748"/>
                <w:sz w:val="20"/>
              </w:rPr>
              <w:t xml:space="preserve"> Transfer of Immovable Property: Sale versus Agreement to Sell, Statutory Thresholds, and Equitable Protections</w:t>
            </w:r>
          </w:p>
          <w:p>
            <w:pPr>
              <w:spacing w:before="60" w:after="60" w:line="276" w:lineRule="auto"/>
              <w:ind w:left="173" w:right="173"/>
            </w:pPr>
            <w:r>
              <w:rPr>
                <w:rFonts w:ascii="Calibri" w:hAnsi="Calibri"/>
                <w:b/>
                <w:color w:val="1A365D"/>
                <w:sz w:val="20"/>
              </w:rPr>
              <w:t>LEGAL_AREA:</w:t>
            </w:r>
            <w:r>
              <w:rPr>
                <w:rFonts w:ascii="Calibri" w:hAnsi="Calibri"/>
                <w:color w:val="2D3748"/>
                <w:sz w:val="20"/>
              </w:rPr>
              <w:t xml:space="preserve"> Property Law</w:t>
            </w:r>
          </w:p>
          <w:p>
            <w:pPr>
              <w:spacing w:before="60" w:after="60" w:line="276" w:lineRule="auto"/>
              <w:ind w:left="173" w:right="173"/>
            </w:pPr>
            <w:r>
              <w:rPr>
                <w:rFonts w:ascii="Calibri" w:hAnsi="Calibri"/>
                <w:b/>
                <w:color w:val="1A365D"/>
                <w:sz w:val="20"/>
              </w:rPr>
              <w:t>SUB_AREA:</w:t>
            </w:r>
            <w:r>
              <w:rPr>
                <w:rFonts w:ascii="Calibri" w:hAnsi="Calibri"/>
                <w:color w:val="2D3748"/>
                <w:sz w:val="20"/>
              </w:rPr>
              <w:t xml:space="preserve"> Sale of Immovable Property</w:t>
            </w:r>
          </w:p>
          <w:p>
            <w:pPr>
              <w:spacing w:before="60" w:after="60" w:line="276" w:lineRule="auto"/>
              <w:ind w:left="173" w:right="173"/>
            </w:pPr>
            <w:r>
              <w:rPr>
                <w:rFonts w:ascii="Calibri" w:hAnsi="Calibri"/>
                <w:b/>
                <w:color w:val="1A365D"/>
                <w:sz w:val="20"/>
              </w:rPr>
              <w:t>SOURCE_TYPE:</w:t>
            </w:r>
            <w:r>
              <w:rPr>
                <w:rFonts w:ascii="Calibri" w:hAnsi="Calibri"/>
                <w:color w:val="2D3748"/>
                <w:sz w:val="20"/>
              </w:rPr>
              <w:t xml:space="preserve"> Central Statute</w:t>
            </w:r>
          </w:p>
          <w:p>
            <w:pPr>
              <w:spacing w:before="60" w:after="60" w:line="276" w:lineRule="auto"/>
              <w:ind w:left="173" w:right="173"/>
            </w:pPr>
            <w:r>
              <w:rPr>
                <w:rFonts w:ascii="Calibri" w:hAnsi="Calibri"/>
                <w:b/>
                <w:color w:val="1A365D"/>
                <w:sz w:val="20"/>
              </w:rPr>
              <w:t>AUTHORITY_LEVEL:</w:t>
            </w:r>
            <w:r>
              <w:rPr>
                <w:rFonts w:ascii="Calibri" w:hAnsi="Calibri"/>
                <w:color w:val="2D3748"/>
                <w:sz w:val="20"/>
              </w:rPr>
              <w:t xml:space="preserve"> Level 1 - Primary Statutory</w:t>
            </w:r>
          </w:p>
          <w:p>
            <w:pPr>
              <w:spacing w:before="60" w:after="60" w:line="276" w:lineRule="auto"/>
              <w:ind w:left="173" w:right="173"/>
            </w:pPr>
            <w:r>
              <w:rPr>
                <w:rFonts w:ascii="Calibri" w:hAnsi="Calibri"/>
                <w:b/>
                <w:color w:val="1A365D"/>
                <w:sz w:val="20"/>
              </w:rPr>
              <w:t>JURISDICTION:</w:t>
            </w:r>
            <w:r>
              <w:rPr>
                <w:rFonts w:ascii="Calibri" w:hAnsi="Calibri"/>
                <w:color w:val="2D3748"/>
                <w:sz w:val="20"/>
              </w:rPr>
              <w:t xml:space="preserve"> Union of India</w:t>
            </w:r>
          </w:p>
          <w:p>
            <w:pPr>
              <w:spacing w:before="60" w:after="60" w:line="276" w:lineRule="auto"/>
              <w:ind w:left="173" w:right="173"/>
            </w:pPr>
            <w:r>
              <w:rPr>
                <w:rFonts w:ascii="Calibri" w:hAnsi="Calibri"/>
                <w:b/>
                <w:color w:val="1A365D"/>
                <w:sz w:val="20"/>
              </w:rPr>
              <w:t>STATE_OR_UT:</w:t>
            </w:r>
            <w:r>
              <w:rPr>
                <w:rFonts w:ascii="Calibri" w:hAnsi="Calibri"/>
                <w:color w:val="2D3748"/>
                <w:sz w:val="20"/>
              </w:rPr>
              <w:t xml:space="preserve"> All States and Union Territories (where TPA is extended)</w:t>
            </w:r>
          </w:p>
          <w:p>
            <w:pPr>
              <w:spacing w:before="60" w:after="60" w:line="276" w:lineRule="auto"/>
              <w:ind w:left="173" w:right="173"/>
            </w:pPr>
            <w:r>
              <w:rPr>
                <w:rFonts w:ascii="Calibri" w:hAnsi="Calibri"/>
                <w:b/>
                <w:color w:val="1A365D"/>
                <w:sz w:val="20"/>
              </w:rPr>
              <w:t>COURT_OR_AUTHORITY:</w:t>
            </w:r>
            <w:r>
              <w:rPr>
                <w:rFonts w:ascii="Calibri" w:hAnsi="Calibri"/>
                <w:color w:val="2D3748"/>
                <w:sz w:val="20"/>
              </w:rPr>
              <w:t xml:space="preserve"> Civil Courts / Sub-Registrars</w:t>
            </w:r>
          </w:p>
          <w:p>
            <w:pPr>
              <w:spacing w:before="60" w:after="60" w:line="276" w:lineRule="auto"/>
              <w:ind w:left="173" w:right="173"/>
            </w:pPr>
            <w:r>
              <w:rPr>
                <w:rFonts w:ascii="Calibri" w:hAnsi="Calibri"/>
                <w:b/>
                <w:color w:val="1A365D"/>
                <w:sz w:val="20"/>
              </w:rPr>
              <w:t>STATUTE:</w:t>
            </w:r>
            <w:r>
              <w:rPr>
                <w:rFonts w:ascii="Calibri" w:hAnsi="Calibri"/>
                <w:color w:val="2D3748"/>
                <w:sz w:val="20"/>
              </w:rPr>
              <w:t xml:space="preserve"> Transfer of Property Act, 1882</w:t>
            </w:r>
          </w:p>
          <w:p>
            <w:pPr>
              <w:spacing w:before="60" w:after="60" w:line="276" w:lineRule="auto"/>
              <w:ind w:left="173" w:right="173"/>
            </w:pPr>
            <w:r>
              <w:rPr>
                <w:rFonts w:ascii="Calibri" w:hAnsi="Calibri"/>
                <w:b/>
                <w:color w:val="1A365D"/>
                <w:sz w:val="20"/>
              </w:rPr>
              <w:t>ARTICLE: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SECTION:</w:t>
            </w:r>
            <w:r>
              <w:rPr>
                <w:rFonts w:ascii="Calibri" w:hAnsi="Calibri"/>
                <w:color w:val="2D3748"/>
                <w:sz w:val="20"/>
              </w:rPr>
              <w:t xml:space="preserve"> Section 54</w:t>
            </w:r>
          </w:p>
          <w:p>
            <w:pPr>
              <w:spacing w:before="60" w:after="60" w:line="276" w:lineRule="auto"/>
              <w:ind w:left="173" w:right="173"/>
            </w:pPr>
            <w:r>
              <w:rPr>
                <w:rFonts w:ascii="Calibri" w:hAnsi="Calibri"/>
                <w:b/>
                <w:color w:val="1A365D"/>
                <w:sz w:val="20"/>
              </w:rPr>
              <w:t>RULE: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LEGAL_PROPOSITION:</w:t>
            </w:r>
            <w:r>
              <w:rPr>
                <w:rFonts w:ascii="Calibri" w:hAnsi="Calibri"/>
                <w:color w:val="2D3748"/>
                <w:sz w:val="20"/>
              </w:rPr>
              <w:t xml:space="preserve"> Section 54 defines 'sale' as a transfer of ownership in exchange for a price paid or promised. Transfer of tangible immovable property of value of ₹100 or upwards can be made only by a registered instrument. A contract for sale does not, of itself, create any interest in or charge on such property.</w:t>
            </w:r>
          </w:p>
          <w:p>
            <w:pPr>
              <w:spacing w:before="60" w:after="60" w:line="276" w:lineRule="auto"/>
              <w:ind w:left="173" w:right="173"/>
            </w:pPr>
            <w:r>
              <w:rPr>
                <w:rFonts w:ascii="Calibri" w:hAnsi="Calibri"/>
                <w:b/>
                <w:color w:val="1A365D"/>
                <w:sz w:val="20"/>
              </w:rPr>
              <w:t>SIMPLE_EXPLANATION:</w:t>
            </w:r>
            <w:r>
              <w:rPr>
                <w:rFonts w:ascii="Calibri" w:hAnsi="Calibri"/>
                <w:color w:val="2D3748"/>
                <w:sz w:val="20"/>
              </w:rPr>
              <w:t xml:space="preserve"> A contract for sale (agreement to sell) creates only personal contractual rights and does not convey proprietary title. Legal title in real estate transfers strictly upon the execution and registration of a conveyance deed, though registration alone does not cure underlying title defects.</w:t>
            </w:r>
          </w:p>
          <w:p>
            <w:pPr>
              <w:spacing w:before="60" w:after="60" w:line="276" w:lineRule="auto"/>
              <w:ind w:left="173" w:right="173"/>
            </w:pPr>
            <w:r>
              <w:rPr>
                <w:rFonts w:ascii="Calibri" w:hAnsi="Calibri"/>
                <w:b/>
                <w:color w:val="1A365D"/>
                <w:sz w:val="20"/>
              </w:rPr>
              <w:t>APPLICATION / WHEN RELEVANT:</w:t>
            </w:r>
            <w:r>
              <w:rPr>
                <w:rFonts w:ascii="Calibri" w:hAnsi="Calibri"/>
                <w:color w:val="2D3748"/>
                <w:sz w:val="20"/>
              </w:rPr>
              <w:t xml:space="preserve"> Proving title in property disputes, resisting ownership claims based solely on unregistered agreements, and evaluating GPA sale transactions.</w:t>
            </w:r>
          </w:p>
          <w:p>
            <w:pPr>
              <w:spacing w:before="60" w:after="60" w:line="276" w:lineRule="auto"/>
              <w:ind w:left="173" w:right="173"/>
            </w:pPr>
            <w:r>
              <w:rPr>
                <w:rFonts w:ascii="Calibri" w:hAnsi="Calibri"/>
                <w:b/>
                <w:color w:val="1A365D"/>
                <w:sz w:val="20"/>
              </w:rPr>
              <w:t>EXCEPTIONS / LIMITATIONS:</w:t>
            </w:r>
            <w:r>
              <w:rPr>
                <w:rFonts w:ascii="Calibri" w:hAnsi="Calibri"/>
                <w:color w:val="2D3748"/>
                <w:sz w:val="20"/>
              </w:rPr>
              <w:t xml:space="preserve"> Section 53A TPA provides an equitable shield of part-performance where a transferee has taken possession in furtherance of a written contract, provided post-2001 amendments to the Registration Act (Section 17(1A)) requiring registration of the contract are satisfied.</w:t>
            </w:r>
          </w:p>
          <w:p>
            <w:pPr>
              <w:spacing w:before="60" w:after="60" w:line="276" w:lineRule="auto"/>
              <w:ind w:left="173" w:right="173"/>
            </w:pPr>
            <w:r>
              <w:rPr>
                <w:rFonts w:ascii="Calibri" w:hAnsi="Calibri"/>
                <w:b/>
                <w:color w:val="1A365D"/>
                <w:sz w:val="20"/>
              </w:rPr>
              <w:t>IMPORTANT_QUALIFICATIONS:</w:t>
            </w:r>
            <w:r>
              <w:rPr>
                <w:rFonts w:ascii="Calibri" w:hAnsi="Calibri"/>
                <w:color w:val="2D3748"/>
                <w:sz w:val="20"/>
              </w:rPr>
              <w:t xml:space="preserve"> In Suraj Lamp &amp; Industries Pvt. Ltd. v. State of Haryana (2012) 1 SCC 656, the Supreme Court confirmed that 'General Power of Attorney (GPA) Sales', agreements to sell, and living wills do not convey title or constitute valid transfers of ownership. Registration of a deed is the statutory mode of conveyance, but does not dispense with proving valid underlying title.</w:t>
            </w:r>
          </w:p>
          <w:p>
            <w:pPr>
              <w:spacing w:before="60" w:after="60" w:line="276" w:lineRule="auto"/>
              <w:ind w:left="173" w:right="173"/>
            </w:pPr>
            <w:r>
              <w:rPr>
                <w:rFonts w:ascii="Calibri" w:hAnsi="Calibri"/>
                <w:b/>
                <w:color w:val="1A365D"/>
                <w:sz w:val="20"/>
              </w:rPr>
              <w:t>RELATED_PROVISIONS:</w:t>
            </w:r>
            <w:r>
              <w:rPr>
                <w:rFonts w:ascii="Calibri" w:hAnsi="Calibri"/>
                <w:color w:val="2D3748"/>
                <w:sz w:val="20"/>
              </w:rPr>
              <w:t xml:space="preserve"> TPA Sections 53A, 55; Registration Act, 1908 Sections 17(1A), 49.</w:t>
            </w:r>
          </w:p>
          <w:p>
            <w:pPr>
              <w:spacing w:before="60" w:after="60" w:line="276" w:lineRule="auto"/>
              <w:ind w:left="173" w:right="173"/>
            </w:pPr>
            <w:r>
              <w:rPr>
                <w:rFonts w:ascii="Calibri" w:hAnsi="Calibri"/>
                <w:b/>
                <w:color w:val="1A365D"/>
                <w:sz w:val="20"/>
              </w:rPr>
              <w:t>RELATED_CASE_LAW:</w:t>
            </w:r>
            <w:r>
              <w:rPr>
                <w:rFonts w:ascii="Calibri" w:hAnsi="Calibri"/>
                <w:color w:val="2D3748"/>
                <w:sz w:val="20"/>
              </w:rPr>
              <w:t xml:space="preserve"> Suraj Lamp &amp; Industries Pvt. Ltd. v. State of Haryana (2012) 1 SCC 656; Narandas Karsondas v. S.A. Kamtam (1977) 3 SCC 247.</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w:t>
            </w:r>
          </w:p>
          <w:p>
            <w:pPr>
              <w:spacing w:before="60" w:after="60" w:line="276" w:lineRule="auto"/>
              <w:ind w:left="173" w:right="173"/>
            </w:pPr>
            <w:r>
              <w:rPr>
                <w:rFonts w:ascii="Calibri" w:hAnsi="Calibri"/>
                <w:b/>
                <w:color w:val="1A365D"/>
                <w:sz w:val="20"/>
              </w:rPr>
              <w:t>EFFECTIVE_FROM:</w:t>
            </w:r>
            <w:r>
              <w:rPr>
                <w:rFonts w:ascii="Calibri" w:hAnsi="Calibri"/>
                <w:color w:val="2D3748"/>
                <w:sz w:val="20"/>
              </w:rPr>
              <w:t xml:space="preserve"> 1882-07-01</w:t>
            </w:r>
          </w:p>
          <w:p>
            <w:pPr>
              <w:spacing w:before="60" w:after="60" w:line="276" w:lineRule="auto"/>
              <w:ind w:left="173" w:right="173"/>
            </w:pPr>
            <w:r>
              <w:rPr>
                <w:rFonts w:ascii="Calibri" w:hAnsi="Calibri"/>
                <w:b/>
                <w:color w:val="1A365D"/>
                <w:sz w:val="20"/>
              </w:rPr>
              <w:t>EFFECTIVE_TO:</w:t>
            </w:r>
            <w:r>
              <w:rPr>
                <w:rFonts w:ascii="Calibri" w:hAnsi="Calibri"/>
                <w:color w:val="2D3748"/>
                <w:sz w:val="20"/>
              </w:rPr>
              <w:t xml:space="preserve"> Open</w:t>
            </w:r>
          </w:p>
          <w:p>
            <w:pPr>
              <w:spacing w:before="60" w:after="60" w:line="276" w:lineRule="auto"/>
              <w:ind w:left="173" w:right="173"/>
            </w:pPr>
            <w:r>
              <w:rPr>
                <w:rFonts w:ascii="Calibri" w:hAnsi="Calibri"/>
                <w:b/>
                <w:color w:val="1A365D"/>
                <w:sz w:val="20"/>
              </w:rPr>
              <w:t>HISTORICAL_APPLICABILITY:</w:t>
            </w:r>
            <w:r>
              <w:rPr>
                <w:rFonts w:ascii="Calibri" w:hAnsi="Calibri"/>
                <w:color w:val="2D3748"/>
                <w:sz w:val="20"/>
              </w:rPr>
              <w:t xml:space="preserve"> Governs all real estate title transfers since 1 July 1882.</w:t>
            </w:r>
          </w:p>
          <w:p>
            <w:pPr>
              <w:spacing w:before="60" w:after="60" w:line="276" w:lineRule="auto"/>
              <w:ind w:left="173" w:right="173"/>
            </w:pPr>
            <w:r>
              <w:rPr>
                <w:rFonts w:ascii="Calibri" w:hAnsi="Calibri"/>
                <w:b/>
                <w:color w:val="1A365D"/>
                <w:sz w:val="20"/>
              </w:rPr>
              <w:t>OFFICIAL_SOURCE_NAME:</w:t>
            </w:r>
            <w:r>
              <w:rPr>
                <w:rFonts w:ascii="Calibri" w:hAnsi="Calibri"/>
                <w:color w:val="2D3748"/>
                <w:sz w:val="20"/>
              </w:rPr>
              <w:t xml:space="preserve"> India Code Portal, Legislative Department</w:t>
            </w:r>
          </w:p>
          <w:p>
            <w:pPr>
              <w:spacing w:before="60" w:after="60" w:line="276" w:lineRule="auto"/>
              <w:ind w:left="173" w:right="173"/>
            </w:pPr>
            <w:r>
              <w:rPr>
                <w:rFonts w:ascii="Calibri" w:hAnsi="Calibri"/>
                <w:b/>
                <w:color w:val="1A365D"/>
                <w:sz w:val="20"/>
              </w:rPr>
              <w:t>OFFICIAL_SOURCE_URL:</w:t>
            </w:r>
            <w:r>
              <w:rPr>
                <w:rFonts w:ascii="Calibri" w:hAnsi="Calibri"/>
                <w:color w:val="2D3748"/>
                <w:sz w:val="20"/>
              </w:rPr>
              <w:t xml:space="preserve"> https://www.indiacode.nic.in/handle/123456789/2338</w:t>
            </w:r>
          </w:p>
          <w:p>
            <w:pPr>
              <w:spacing w:before="60" w:after="60" w:line="276" w:lineRule="auto"/>
              <w:ind w:left="173" w:right="173"/>
            </w:pPr>
            <w:r>
              <w:rPr>
                <w:rFonts w:ascii="Calibri" w:hAnsi="Calibri"/>
                <w:b/>
                <w:color w:val="1A365D"/>
                <w:sz w:val="20"/>
              </w:rPr>
              <w:t>OFFICIAL_IDENTIFIER:</w:t>
            </w:r>
            <w:r>
              <w:rPr>
                <w:rFonts w:ascii="Calibri" w:hAnsi="Calibri"/>
                <w:color w:val="2D3748"/>
                <w:sz w:val="20"/>
              </w:rPr>
              <w:t xml:space="preserve"> Act No. 4 of 1882, Section 54</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TPA 1882, S. 54</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TPA, Section 54, sale of immovable property, conveyance, registration, agreement to sell, Suraj Lamp, Section 53A</w:t>
            </w:r>
          </w:p>
          <w:p>
            <w:pPr>
              <w:spacing w:before="60" w:after="60" w:line="276" w:lineRule="auto"/>
              <w:ind w:left="173" w:right="173"/>
            </w:pPr>
            <w:r>
              <w:rPr>
                <w:rFonts w:ascii="Calibri" w:hAnsi="Calibri"/>
                <w:b/>
                <w:color w:val="1A365D"/>
                <w:sz w:val="20"/>
              </w:rPr>
              <w:t>VERSION:</w:t>
            </w:r>
            <w:r>
              <w:rPr>
                <w:rFonts w:ascii="Calibri" w:hAnsi="Calibri"/>
                <w:color w:val="2D3748"/>
                <w:sz w:val="20"/>
              </w:rPr>
              <w:t xml:space="preserve"> 2.1</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Record: IND-PROP-SRA001-V2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DOCUMENT_ID:</w:t>
            </w:r>
            <w:r>
              <w:rPr>
                <w:rFonts w:ascii="Calibri" w:hAnsi="Calibri"/>
                <w:color w:val="2D3748"/>
                <w:sz w:val="20"/>
              </w:rPr>
              <w:t xml:space="preserve"> IND-PROP-SRA001-V2</w:t>
            </w:r>
          </w:p>
          <w:p>
            <w:pPr>
              <w:spacing w:before="60" w:after="60" w:line="276" w:lineRule="auto"/>
              <w:ind w:left="173" w:right="173"/>
            </w:pPr>
            <w:r>
              <w:rPr>
                <w:rFonts w:ascii="Calibri" w:hAnsi="Calibri"/>
                <w:b/>
                <w:color w:val="1A365D"/>
                <w:sz w:val="20"/>
              </w:rPr>
              <w:t>TITLE:</w:t>
            </w:r>
            <w:r>
              <w:rPr>
                <w:rFonts w:ascii="Calibri" w:hAnsi="Calibri"/>
                <w:color w:val="2D3748"/>
                <w:sz w:val="20"/>
              </w:rPr>
              <w:t xml:space="preserve"> Specific Performance Post-2018 Amendment: Statutory Remedy, Exceptions, and Temporal Operation</w:t>
            </w:r>
          </w:p>
          <w:p>
            <w:pPr>
              <w:spacing w:before="60" w:after="60" w:line="276" w:lineRule="auto"/>
              <w:ind w:left="173" w:right="173"/>
            </w:pPr>
            <w:r>
              <w:rPr>
                <w:rFonts w:ascii="Calibri" w:hAnsi="Calibri"/>
                <w:b/>
                <w:color w:val="1A365D"/>
                <w:sz w:val="20"/>
              </w:rPr>
              <w:t>LEGAL_AREA:</w:t>
            </w:r>
            <w:r>
              <w:rPr>
                <w:rFonts w:ascii="Calibri" w:hAnsi="Calibri"/>
                <w:color w:val="2D3748"/>
                <w:sz w:val="20"/>
              </w:rPr>
              <w:t xml:space="preserve"> Specific Relief &amp; Equity</w:t>
            </w:r>
          </w:p>
          <w:p>
            <w:pPr>
              <w:spacing w:before="60" w:after="60" w:line="276" w:lineRule="auto"/>
              <w:ind w:left="173" w:right="173"/>
            </w:pPr>
            <w:r>
              <w:rPr>
                <w:rFonts w:ascii="Calibri" w:hAnsi="Calibri"/>
                <w:b/>
                <w:color w:val="1A365D"/>
                <w:sz w:val="20"/>
              </w:rPr>
              <w:t>SUB_AREA:</w:t>
            </w:r>
            <w:r>
              <w:rPr>
                <w:rFonts w:ascii="Calibri" w:hAnsi="Calibri"/>
                <w:color w:val="2D3748"/>
                <w:sz w:val="20"/>
              </w:rPr>
              <w:t xml:space="preserve"> Specific Performance of Contracts</w:t>
            </w:r>
          </w:p>
          <w:p>
            <w:pPr>
              <w:spacing w:before="60" w:after="60" w:line="276" w:lineRule="auto"/>
              <w:ind w:left="173" w:right="173"/>
            </w:pPr>
            <w:r>
              <w:rPr>
                <w:rFonts w:ascii="Calibri" w:hAnsi="Calibri"/>
                <w:b/>
                <w:color w:val="1A365D"/>
                <w:sz w:val="20"/>
              </w:rPr>
              <w:t>SOURCE_TYPE:</w:t>
            </w:r>
            <w:r>
              <w:rPr>
                <w:rFonts w:ascii="Calibri" w:hAnsi="Calibri"/>
                <w:color w:val="2D3748"/>
                <w:sz w:val="20"/>
              </w:rPr>
              <w:t xml:space="preserve"> Central Statute</w:t>
            </w:r>
          </w:p>
          <w:p>
            <w:pPr>
              <w:spacing w:before="60" w:after="60" w:line="276" w:lineRule="auto"/>
              <w:ind w:left="173" w:right="173"/>
            </w:pPr>
            <w:r>
              <w:rPr>
                <w:rFonts w:ascii="Calibri" w:hAnsi="Calibri"/>
                <w:b/>
                <w:color w:val="1A365D"/>
                <w:sz w:val="20"/>
              </w:rPr>
              <w:t>AUTHORITY_LEVEL:</w:t>
            </w:r>
            <w:r>
              <w:rPr>
                <w:rFonts w:ascii="Calibri" w:hAnsi="Calibri"/>
                <w:color w:val="2D3748"/>
                <w:sz w:val="20"/>
              </w:rPr>
              <w:t xml:space="preserve"> Level 1 - Primary Statutory</w:t>
            </w:r>
          </w:p>
          <w:p>
            <w:pPr>
              <w:spacing w:before="60" w:after="60" w:line="276" w:lineRule="auto"/>
              <w:ind w:left="173" w:right="173"/>
            </w:pPr>
            <w:r>
              <w:rPr>
                <w:rFonts w:ascii="Calibri" w:hAnsi="Calibri"/>
                <w:b/>
                <w:color w:val="1A365D"/>
                <w:sz w:val="20"/>
              </w:rPr>
              <w:t>JURISDICTION:</w:t>
            </w:r>
            <w:r>
              <w:rPr>
                <w:rFonts w:ascii="Calibri" w:hAnsi="Calibri"/>
                <w:color w:val="2D3748"/>
                <w:sz w:val="20"/>
              </w:rPr>
              <w:t xml:space="preserve"> Union of India</w:t>
            </w:r>
          </w:p>
          <w:p>
            <w:pPr>
              <w:spacing w:before="60" w:after="60" w:line="276" w:lineRule="auto"/>
              <w:ind w:left="173" w:right="173"/>
            </w:pPr>
            <w:r>
              <w:rPr>
                <w:rFonts w:ascii="Calibri" w:hAnsi="Calibri"/>
                <w:b/>
                <w:color w:val="1A365D"/>
                <w:sz w:val="20"/>
              </w:rPr>
              <w:t>STATE_OR_UT:</w:t>
            </w:r>
            <w:r>
              <w:rPr>
                <w:rFonts w:ascii="Calibri" w:hAnsi="Calibri"/>
                <w:color w:val="2D3748"/>
                <w:sz w:val="20"/>
              </w:rPr>
              <w:t xml:space="preserve"> All States and Union Territories</w:t>
            </w:r>
          </w:p>
          <w:p>
            <w:pPr>
              <w:spacing w:before="60" w:after="60" w:line="276" w:lineRule="auto"/>
              <w:ind w:left="173" w:right="173"/>
            </w:pPr>
            <w:r>
              <w:rPr>
                <w:rFonts w:ascii="Calibri" w:hAnsi="Calibri"/>
                <w:b/>
                <w:color w:val="1A365D"/>
                <w:sz w:val="20"/>
              </w:rPr>
              <w:t>COURT_OR_AUTHORITY:</w:t>
            </w:r>
            <w:r>
              <w:rPr>
                <w:rFonts w:ascii="Calibri" w:hAnsi="Calibri"/>
                <w:color w:val="2D3748"/>
                <w:sz w:val="20"/>
              </w:rPr>
              <w:t xml:space="preserve"> Civil Courts / Commercial Courts</w:t>
            </w:r>
          </w:p>
          <w:p>
            <w:pPr>
              <w:spacing w:before="60" w:after="60" w:line="276" w:lineRule="auto"/>
              <w:ind w:left="173" w:right="173"/>
            </w:pPr>
            <w:r>
              <w:rPr>
                <w:rFonts w:ascii="Calibri" w:hAnsi="Calibri"/>
                <w:b/>
                <w:color w:val="1A365D"/>
                <w:sz w:val="20"/>
              </w:rPr>
              <w:t>STATUTE:</w:t>
            </w:r>
            <w:r>
              <w:rPr>
                <w:rFonts w:ascii="Calibri" w:hAnsi="Calibri"/>
                <w:color w:val="2D3748"/>
                <w:sz w:val="20"/>
              </w:rPr>
              <w:t xml:space="preserve"> Specific Relief Act, 1963</w:t>
            </w:r>
          </w:p>
          <w:p>
            <w:pPr>
              <w:spacing w:before="60" w:after="60" w:line="276" w:lineRule="auto"/>
              <w:ind w:left="173" w:right="173"/>
            </w:pPr>
            <w:r>
              <w:rPr>
                <w:rFonts w:ascii="Calibri" w:hAnsi="Calibri"/>
                <w:b/>
                <w:color w:val="1A365D"/>
                <w:sz w:val="20"/>
              </w:rPr>
              <w:t>ARTICLE: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SECTION:</w:t>
            </w:r>
            <w:r>
              <w:rPr>
                <w:rFonts w:ascii="Calibri" w:hAnsi="Calibri"/>
                <w:color w:val="2D3748"/>
                <w:sz w:val="20"/>
              </w:rPr>
              <w:t xml:space="preserve"> Sections 10, 14, 16(c), 20</w:t>
            </w:r>
          </w:p>
          <w:p>
            <w:pPr>
              <w:spacing w:before="60" w:after="60" w:line="276" w:lineRule="auto"/>
              <w:ind w:left="173" w:right="173"/>
            </w:pPr>
            <w:r>
              <w:rPr>
                <w:rFonts w:ascii="Calibri" w:hAnsi="Calibri"/>
                <w:b/>
                <w:color w:val="1A365D"/>
                <w:sz w:val="20"/>
              </w:rPr>
              <w:t>RULE: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LEGAL_PROPOSITION:</w:t>
            </w:r>
            <w:r>
              <w:rPr>
                <w:rFonts w:ascii="Calibri" w:hAnsi="Calibri"/>
                <w:color w:val="2D3748"/>
                <w:sz w:val="20"/>
              </w:rPr>
              <w:t xml:space="preserve"> Post the Specific Relief (Amendment) Act, 2018, specific performance of a contract shall be enforced by the court subject strictly to the conditions and exceptions contained in the Act (specifically Sections 11(2), 14, and 16). The plaintiff must plead and prove continuous readiness and willingness under Section 16(c).</w:t>
            </w:r>
          </w:p>
          <w:p>
            <w:pPr>
              <w:spacing w:before="60" w:after="60" w:line="276" w:lineRule="auto"/>
              <w:ind w:left="173" w:right="173"/>
            </w:pPr>
            <w:r>
              <w:rPr>
                <w:rFonts w:ascii="Calibri" w:hAnsi="Calibri"/>
                <w:b/>
                <w:color w:val="1A365D"/>
                <w:sz w:val="20"/>
              </w:rPr>
              <w:t>SIMPLE_EXPLANATION:</w:t>
            </w:r>
            <w:r>
              <w:rPr>
                <w:rFonts w:ascii="Calibri" w:hAnsi="Calibri"/>
                <w:color w:val="2D3748"/>
                <w:sz w:val="20"/>
              </w:rPr>
              <w:t xml:space="preserve"> The 2018 amendment substituted Section 10 to make specific performance the standard statutory remedy rather than an extraordinary discretionary alternative to damages, subject to statutory bars.</w:t>
            </w:r>
          </w:p>
          <w:p>
            <w:pPr>
              <w:spacing w:before="60" w:after="60" w:line="276" w:lineRule="auto"/>
              <w:ind w:left="173" w:right="173"/>
            </w:pPr>
            <w:r>
              <w:rPr>
                <w:rFonts w:ascii="Calibri" w:hAnsi="Calibri"/>
                <w:b/>
                <w:color w:val="1A365D"/>
                <w:sz w:val="20"/>
              </w:rPr>
              <w:t>APPLICATION / WHEN RELEVANT:</w:t>
            </w:r>
            <w:r>
              <w:rPr>
                <w:rFonts w:ascii="Calibri" w:hAnsi="Calibri"/>
                <w:color w:val="2D3748"/>
                <w:sz w:val="20"/>
              </w:rPr>
              <w:t xml:space="preserve"> Drafting suits for specific performance in real estate sales, joint development agreements, and corporate share purchase contracts.</w:t>
            </w:r>
          </w:p>
          <w:p>
            <w:pPr>
              <w:spacing w:before="60" w:after="60" w:line="276" w:lineRule="auto"/>
              <w:ind w:left="173" w:right="173"/>
            </w:pPr>
            <w:r>
              <w:rPr>
                <w:rFonts w:ascii="Calibri" w:hAnsi="Calibri"/>
                <w:b/>
                <w:color w:val="1A365D"/>
                <w:sz w:val="20"/>
              </w:rPr>
              <w:t>EXCEPTIONS / LIMITATIONS:</w:t>
            </w:r>
            <w:r>
              <w:rPr>
                <w:rFonts w:ascii="Calibri" w:hAnsi="Calibri"/>
                <w:color w:val="2D3748"/>
                <w:sz w:val="20"/>
              </w:rPr>
              <w:t xml:space="preserve"> Specific performance cannot be enforced if: (i) substituted performance is obtained under Section 20; (ii) contract is determinable; (iii) contract runs into details or requires continuous supervision; (iv) contract depends on personal qualifications (Section 14); or (v) plaintiff fails to aver and prove readiness and willingness (Section 16(c)).</w:t>
            </w:r>
          </w:p>
          <w:p>
            <w:pPr>
              <w:spacing w:before="60" w:after="60" w:line="276" w:lineRule="auto"/>
              <w:ind w:left="173" w:right="173"/>
            </w:pPr>
            <w:r>
              <w:rPr>
                <w:rFonts w:ascii="Calibri" w:hAnsi="Calibri"/>
                <w:b/>
                <w:color w:val="1A365D"/>
                <w:sz w:val="20"/>
              </w:rPr>
              <w:t>IMPORTANT_QUALIFICATIONS:</w:t>
            </w:r>
            <w:r>
              <w:rPr>
                <w:rFonts w:ascii="Calibri" w:hAnsi="Calibri"/>
                <w:color w:val="2D3748"/>
                <w:sz w:val="20"/>
              </w:rPr>
              <w:t xml:space="preserve"> Prospective Application: In Katta Sujatha Reddy v. Siddamsetty Infra Projects (2023) 1 SCC 355, the Supreme Court held that the 2018 amendment to Section 10 is substantive and operates prospectively. Contracts executed prior to 1 October 2018 remain governed by the pre-amendment discretionary regime.</w:t>
            </w:r>
          </w:p>
          <w:p>
            <w:pPr>
              <w:spacing w:before="60" w:after="60" w:line="276" w:lineRule="auto"/>
              <w:ind w:left="173" w:right="173"/>
            </w:pPr>
            <w:r>
              <w:rPr>
                <w:rFonts w:ascii="Calibri" w:hAnsi="Calibri"/>
                <w:b/>
                <w:color w:val="1A365D"/>
                <w:sz w:val="20"/>
              </w:rPr>
              <w:t>RELATED_PROVISIONS:</w:t>
            </w:r>
            <w:r>
              <w:rPr>
                <w:rFonts w:ascii="Calibri" w:hAnsi="Calibri"/>
                <w:color w:val="2D3748"/>
                <w:sz w:val="20"/>
              </w:rPr>
              <w:t xml:space="preserve"> Specific Relief Act Sections 14, 16(c), 20; Indian Contract Act Sections 73, 74.</w:t>
            </w:r>
          </w:p>
          <w:p>
            <w:pPr>
              <w:spacing w:before="60" w:after="60" w:line="276" w:lineRule="auto"/>
              <w:ind w:left="173" w:right="173"/>
            </w:pPr>
            <w:r>
              <w:rPr>
                <w:rFonts w:ascii="Calibri" w:hAnsi="Calibri"/>
                <w:b/>
                <w:color w:val="1A365D"/>
                <w:sz w:val="20"/>
              </w:rPr>
              <w:t>RELATED_CASE_LAW:</w:t>
            </w:r>
            <w:r>
              <w:rPr>
                <w:rFonts w:ascii="Calibri" w:hAnsi="Calibri"/>
                <w:color w:val="2D3748"/>
                <w:sz w:val="20"/>
              </w:rPr>
              <w:t xml:space="preserve"> B. Santoshamma v. D. Sarala (2020) 19 SCC 80; Katta Sujatha Reddy v. Siddamsetty Infra Projects (2023) 1 SCC 355.</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 / AMENDED LAW</w:t>
            </w:r>
          </w:p>
          <w:p>
            <w:pPr>
              <w:spacing w:before="60" w:after="60" w:line="276" w:lineRule="auto"/>
              <w:ind w:left="173" w:right="173"/>
            </w:pPr>
            <w:r>
              <w:rPr>
                <w:rFonts w:ascii="Calibri" w:hAnsi="Calibri"/>
                <w:b/>
                <w:color w:val="1A365D"/>
                <w:sz w:val="20"/>
              </w:rPr>
              <w:t>EFFECTIVE_FROM:</w:t>
            </w:r>
            <w:r>
              <w:rPr>
                <w:rFonts w:ascii="Calibri" w:hAnsi="Calibri"/>
                <w:color w:val="2D3748"/>
                <w:sz w:val="20"/>
              </w:rPr>
              <w:t xml:space="preserve"> 2018-10-01 (Amended by Act 18 of 2018)</w:t>
            </w:r>
          </w:p>
          <w:p>
            <w:pPr>
              <w:spacing w:before="60" w:after="60" w:line="276" w:lineRule="auto"/>
              <w:ind w:left="173" w:right="173"/>
            </w:pPr>
            <w:r>
              <w:rPr>
                <w:rFonts w:ascii="Calibri" w:hAnsi="Calibri"/>
                <w:b/>
                <w:color w:val="1A365D"/>
                <w:sz w:val="20"/>
              </w:rPr>
              <w:t>EFFECTIVE_TO:</w:t>
            </w:r>
            <w:r>
              <w:rPr>
                <w:rFonts w:ascii="Calibri" w:hAnsi="Calibri"/>
                <w:color w:val="2D3748"/>
                <w:sz w:val="20"/>
              </w:rPr>
              <w:t xml:space="preserve"> Open</w:t>
            </w:r>
          </w:p>
          <w:p>
            <w:pPr>
              <w:spacing w:before="60" w:after="60" w:line="276" w:lineRule="auto"/>
              <w:ind w:left="173" w:right="173"/>
            </w:pPr>
            <w:r>
              <w:rPr>
                <w:rFonts w:ascii="Calibri" w:hAnsi="Calibri"/>
                <w:b/>
                <w:color w:val="1A365D"/>
                <w:sz w:val="20"/>
              </w:rPr>
              <w:t>HISTORICAL_APPLICABILITY:</w:t>
            </w:r>
            <w:r>
              <w:rPr>
                <w:rFonts w:ascii="Calibri" w:hAnsi="Calibri"/>
                <w:color w:val="2D3748"/>
                <w:sz w:val="20"/>
              </w:rPr>
              <w:t xml:space="preserve"> Contracts executed prior to 01.10.2018 follow discretionary regime; contracts executed on or after 01.10.2018 follow the amended statutory remedy framework.</w:t>
            </w:r>
          </w:p>
          <w:p>
            <w:pPr>
              <w:spacing w:before="60" w:after="60" w:line="276" w:lineRule="auto"/>
              <w:ind w:left="173" w:right="173"/>
            </w:pPr>
            <w:r>
              <w:rPr>
                <w:rFonts w:ascii="Calibri" w:hAnsi="Calibri"/>
                <w:b/>
                <w:color w:val="1A365D"/>
                <w:sz w:val="20"/>
              </w:rPr>
              <w:t>OFFICIAL_SOURCE_NAME:</w:t>
            </w:r>
            <w:r>
              <w:rPr>
                <w:rFonts w:ascii="Calibri" w:hAnsi="Calibri"/>
                <w:color w:val="2D3748"/>
                <w:sz w:val="20"/>
              </w:rPr>
              <w:t xml:space="preserve"> India Code Portal / Specific Relief (Amendment) Act, 2018</w:t>
            </w:r>
          </w:p>
          <w:p>
            <w:pPr>
              <w:spacing w:before="60" w:after="60" w:line="276" w:lineRule="auto"/>
              <w:ind w:left="173" w:right="173"/>
            </w:pPr>
            <w:r>
              <w:rPr>
                <w:rFonts w:ascii="Calibri" w:hAnsi="Calibri"/>
                <w:b/>
                <w:color w:val="1A365D"/>
                <w:sz w:val="20"/>
              </w:rPr>
              <w:t>OFFICIAL_SOURCE_URL:</w:t>
            </w:r>
            <w:r>
              <w:rPr>
                <w:rFonts w:ascii="Calibri" w:hAnsi="Calibri"/>
                <w:color w:val="2D3748"/>
                <w:sz w:val="20"/>
              </w:rPr>
              <w:t xml:space="preserve"> https://www.indiacode.nic.in/handle/123456789/1583</w:t>
            </w:r>
          </w:p>
          <w:p>
            <w:pPr>
              <w:spacing w:before="60" w:after="60" w:line="276" w:lineRule="auto"/>
              <w:ind w:left="173" w:right="173"/>
            </w:pPr>
            <w:r>
              <w:rPr>
                <w:rFonts w:ascii="Calibri" w:hAnsi="Calibri"/>
                <w:b/>
                <w:color w:val="1A365D"/>
                <w:sz w:val="20"/>
              </w:rPr>
              <w:t>OFFICIAL_IDENTIFIER:</w:t>
            </w:r>
            <w:r>
              <w:rPr>
                <w:rFonts w:ascii="Calibri" w:hAnsi="Calibri"/>
                <w:color w:val="2D3748"/>
                <w:sz w:val="20"/>
              </w:rPr>
              <w:t xml:space="preserve"> Act No. 47 of 1963, Section 10</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SRA 1963 (as amended 2018), S. 10</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Specific Relief Act, Section 10, specific performance, 2018 amendment, Section 16(c), readiness and willingness, Katta Sujatha Reddy</w:t>
            </w:r>
          </w:p>
          <w:p>
            <w:pPr>
              <w:spacing w:before="60" w:after="60" w:line="276" w:lineRule="auto"/>
              <w:ind w:left="173" w:right="173"/>
            </w:pPr>
            <w:r>
              <w:rPr>
                <w:rFonts w:ascii="Calibri" w:hAnsi="Calibri"/>
                <w:b/>
                <w:color w:val="1A365D"/>
                <w:sz w:val="20"/>
              </w:rPr>
              <w:t>VERSION:</w:t>
            </w:r>
            <w:r>
              <w:rPr>
                <w:rFonts w:ascii="Calibri" w:hAnsi="Calibri"/>
                <w:color w:val="2D3748"/>
                <w:sz w:val="20"/>
              </w:rPr>
              <w:t xml:space="preserve"> 2.1</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Record: IND-CORP-IBC001-V2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DOCUMENT_ID:</w:t>
            </w:r>
            <w:r>
              <w:rPr>
                <w:rFonts w:ascii="Calibri" w:hAnsi="Calibri"/>
                <w:color w:val="2D3748"/>
                <w:sz w:val="20"/>
              </w:rPr>
              <w:t xml:space="preserve"> IND-CORP-IBC001-V2</w:t>
            </w:r>
          </w:p>
          <w:p>
            <w:pPr>
              <w:spacing w:before="60" w:after="60" w:line="276" w:lineRule="auto"/>
              <w:ind w:left="173" w:right="173"/>
            </w:pPr>
            <w:r>
              <w:rPr>
                <w:rFonts w:ascii="Calibri" w:hAnsi="Calibri"/>
                <w:b/>
                <w:color w:val="1A365D"/>
                <w:sz w:val="20"/>
              </w:rPr>
              <w:t>TITLE:</w:t>
            </w:r>
            <w:r>
              <w:rPr>
                <w:rFonts w:ascii="Calibri" w:hAnsi="Calibri"/>
                <w:color w:val="2D3748"/>
                <w:sz w:val="20"/>
              </w:rPr>
              <w:t xml:space="preserve"> Corporate Insolvency Default Thresholds: Temporal Notifications, CIRP versus Pre-Pack, and Dispute Safeguards</w:t>
            </w:r>
          </w:p>
          <w:p>
            <w:pPr>
              <w:spacing w:before="60" w:after="60" w:line="276" w:lineRule="auto"/>
              <w:ind w:left="173" w:right="173"/>
            </w:pPr>
            <w:r>
              <w:rPr>
                <w:rFonts w:ascii="Calibri" w:hAnsi="Calibri"/>
                <w:b/>
                <w:color w:val="1A365D"/>
                <w:sz w:val="20"/>
              </w:rPr>
              <w:t>LEGAL_AREA:</w:t>
            </w:r>
            <w:r>
              <w:rPr>
                <w:rFonts w:ascii="Calibri" w:hAnsi="Calibri"/>
                <w:color w:val="2D3748"/>
                <w:sz w:val="20"/>
              </w:rPr>
              <w:t xml:space="preserve"> Corporate &amp; Insolvency Law</w:t>
            </w:r>
          </w:p>
          <w:p>
            <w:pPr>
              <w:spacing w:before="60" w:after="60" w:line="276" w:lineRule="auto"/>
              <w:ind w:left="173" w:right="173"/>
            </w:pPr>
            <w:r>
              <w:rPr>
                <w:rFonts w:ascii="Calibri" w:hAnsi="Calibri"/>
                <w:b/>
                <w:color w:val="1A365D"/>
                <w:sz w:val="20"/>
              </w:rPr>
              <w:t>SUB_AREA:</w:t>
            </w:r>
            <w:r>
              <w:rPr>
                <w:rFonts w:ascii="Calibri" w:hAnsi="Calibri"/>
                <w:color w:val="2D3748"/>
                <w:sz w:val="20"/>
              </w:rPr>
              <w:t xml:space="preserve"> Corporate Insolvency Resolution Process (CIRP)</w:t>
            </w:r>
          </w:p>
          <w:p>
            <w:pPr>
              <w:spacing w:before="60" w:after="60" w:line="276" w:lineRule="auto"/>
              <w:ind w:left="173" w:right="173"/>
            </w:pPr>
            <w:r>
              <w:rPr>
                <w:rFonts w:ascii="Calibri" w:hAnsi="Calibri"/>
                <w:b/>
                <w:color w:val="1A365D"/>
                <w:sz w:val="20"/>
              </w:rPr>
              <w:t>SOURCE_TYPE:</w:t>
            </w:r>
            <w:r>
              <w:rPr>
                <w:rFonts w:ascii="Calibri" w:hAnsi="Calibri"/>
                <w:color w:val="2D3748"/>
                <w:sz w:val="20"/>
              </w:rPr>
              <w:t xml:space="preserve"> Central Statute &amp; Delegated Notification</w:t>
            </w:r>
          </w:p>
          <w:p>
            <w:pPr>
              <w:spacing w:before="60" w:after="60" w:line="276" w:lineRule="auto"/>
              <w:ind w:left="173" w:right="173"/>
            </w:pPr>
            <w:r>
              <w:rPr>
                <w:rFonts w:ascii="Calibri" w:hAnsi="Calibri"/>
                <w:b/>
                <w:color w:val="1A365D"/>
                <w:sz w:val="20"/>
              </w:rPr>
              <w:t>AUTHORITY_LEVEL:</w:t>
            </w:r>
            <w:r>
              <w:rPr>
                <w:rFonts w:ascii="Calibri" w:hAnsi="Calibri"/>
                <w:color w:val="2D3748"/>
                <w:sz w:val="20"/>
              </w:rPr>
              <w:t xml:space="preserve"> Level 1 - Primary Delegated</w:t>
            </w:r>
          </w:p>
          <w:p>
            <w:pPr>
              <w:spacing w:before="60" w:after="60" w:line="276" w:lineRule="auto"/>
              <w:ind w:left="173" w:right="173"/>
            </w:pPr>
            <w:r>
              <w:rPr>
                <w:rFonts w:ascii="Calibri" w:hAnsi="Calibri"/>
                <w:b/>
                <w:color w:val="1A365D"/>
                <w:sz w:val="20"/>
              </w:rPr>
              <w:t>JURISDICTION:</w:t>
            </w:r>
            <w:r>
              <w:rPr>
                <w:rFonts w:ascii="Calibri" w:hAnsi="Calibri"/>
                <w:color w:val="2D3748"/>
                <w:sz w:val="20"/>
              </w:rPr>
              <w:t xml:space="preserve"> Union of India</w:t>
            </w:r>
          </w:p>
          <w:p>
            <w:pPr>
              <w:spacing w:before="60" w:after="60" w:line="276" w:lineRule="auto"/>
              <w:ind w:left="173" w:right="173"/>
            </w:pPr>
            <w:r>
              <w:rPr>
                <w:rFonts w:ascii="Calibri" w:hAnsi="Calibri"/>
                <w:b/>
                <w:color w:val="1A365D"/>
                <w:sz w:val="20"/>
              </w:rPr>
              <w:t>STATE_OR_UT:</w:t>
            </w:r>
            <w:r>
              <w:rPr>
                <w:rFonts w:ascii="Calibri" w:hAnsi="Calibri"/>
                <w:color w:val="2D3748"/>
                <w:sz w:val="20"/>
              </w:rPr>
              <w:t xml:space="preserve"> All States and Union Territories</w:t>
            </w:r>
          </w:p>
          <w:p>
            <w:pPr>
              <w:spacing w:before="60" w:after="60" w:line="276" w:lineRule="auto"/>
              <w:ind w:left="173" w:right="173"/>
            </w:pPr>
            <w:r>
              <w:rPr>
                <w:rFonts w:ascii="Calibri" w:hAnsi="Calibri"/>
                <w:b/>
                <w:color w:val="1A365D"/>
                <w:sz w:val="20"/>
              </w:rPr>
              <w:t>COURT_OR_AUTHORITY:</w:t>
            </w:r>
            <w:r>
              <w:rPr>
                <w:rFonts w:ascii="Calibri" w:hAnsi="Calibri"/>
                <w:color w:val="2D3748"/>
                <w:sz w:val="20"/>
              </w:rPr>
              <w:t xml:space="preserve"> National Company Law Tribunal (NCLT) / NCLAT</w:t>
            </w:r>
          </w:p>
          <w:p>
            <w:pPr>
              <w:spacing w:before="60" w:after="60" w:line="276" w:lineRule="auto"/>
              <w:ind w:left="173" w:right="173"/>
            </w:pPr>
            <w:r>
              <w:rPr>
                <w:rFonts w:ascii="Calibri" w:hAnsi="Calibri"/>
                <w:b/>
                <w:color w:val="1A365D"/>
                <w:sz w:val="20"/>
              </w:rPr>
              <w:t>STATUTE:</w:t>
            </w:r>
            <w:r>
              <w:rPr>
                <w:rFonts w:ascii="Calibri" w:hAnsi="Calibri"/>
                <w:color w:val="2D3748"/>
                <w:sz w:val="20"/>
              </w:rPr>
              <w:t xml:space="preserve"> Insolvency and Bankruptcy Code, 2016</w:t>
            </w:r>
          </w:p>
          <w:p>
            <w:pPr>
              <w:spacing w:before="60" w:after="60" w:line="276" w:lineRule="auto"/>
              <w:ind w:left="173" w:right="173"/>
            </w:pPr>
            <w:r>
              <w:rPr>
                <w:rFonts w:ascii="Calibri" w:hAnsi="Calibri"/>
                <w:b/>
                <w:color w:val="1A365D"/>
                <w:sz w:val="20"/>
              </w:rPr>
              <w:t>ARTICLE: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SECTION:</w:t>
            </w:r>
            <w:r>
              <w:rPr>
                <w:rFonts w:ascii="Calibri" w:hAnsi="Calibri"/>
                <w:color w:val="2D3748"/>
                <w:sz w:val="20"/>
              </w:rPr>
              <w:t xml:space="preserve"> Sections 4, 7, 8, 9, 14, 53</w:t>
            </w:r>
          </w:p>
          <w:p>
            <w:pPr>
              <w:spacing w:before="60" w:after="60" w:line="276" w:lineRule="auto"/>
              <w:ind w:left="173" w:right="173"/>
            </w:pPr>
            <w:r>
              <w:rPr>
                <w:rFonts w:ascii="Calibri" w:hAnsi="Calibri"/>
                <w:b/>
                <w:color w:val="1A365D"/>
                <w:sz w:val="20"/>
              </w:rPr>
              <w:t>RULE:</w:t>
            </w:r>
            <w:r>
              <w:rPr>
                <w:rFonts w:ascii="Calibri" w:hAnsi="Calibri"/>
                <w:color w:val="2D3748"/>
                <w:sz w:val="20"/>
              </w:rPr>
              <w:t xml:space="preserve"> Insolvency and Bankruptcy (Application to Adjudicating Authority) Rules, 2016</w:t>
            </w:r>
          </w:p>
          <w:p>
            <w:pPr>
              <w:spacing w:before="60" w:after="60" w:line="276" w:lineRule="auto"/>
              <w:ind w:left="173" w:right="173"/>
            </w:pPr>
            <w:r>
              <w:rPr>
                <w:rFonts w:ascii="Calibri" w:hAnsi="Calibri"/>
                <w:b/>
                <w:color w:val="1A365D"/>
                <w:sz w:val="20"/>
              </w:rPr>
              <w:t>LEGAL_PROPOSITION:</w:t>
            </w:r>
            <w:r>
              <w:rPr>
                <w:rFonts w:ascii="Calibri" w:hAnsi="Calibri"/>
                <w:color w:val="2D3748"/>
                <w:sz w:val="20"/>
              </w:rPr>
              <w:t xml:space="preserve"> Under Section 4 IBC, the default threshold to initiate CIRP is notification-dependent. Effective 24 March 2020, Ministry of Corporate Affairs Notification S.O. 1205(E) raised the minimum default threshold for CIRP from ₹1 Lakh to ₹1 Crore. Pre-packaged insolvency under Chapter III-A carries a separate statutory threshold of ₹10 Lakhs.</w:t>
            </w:r>
          </w:p>
          <w:p>
            <w:pPr>
              <w:spacing w:before="60" w:after="60" w:line="276" w:lineRule="auto"/>
              <w:ind w:left="173" w:right="173"/>
            </w:pPr>
            <w:r>
              <w:rPr>
                <w:rFonts w:ascii="Calibri" w:hAnsi="Calibri"/>
                <w:b/>
                <w:color w:val="1A365D"/>
                <w:sz w:val="20"/>
              </w:rPr>
              <w:t>SIMPLE_EXPLANATION:</w:t>
            </w:r>
            <w:r>
              <w:rPr>
                <w:rFonts w:ascii="Calibri" w:hAnsi="Calibri"/>
                <w:color w:val="2D3748"/>
                <w:sz w:val="20"/>
              </w:rPr>
              <w:t xml:space="preserve"> The NCLT cannot admit CIRP petitions under Section 7 or 9 for defaults under ₹1 Crore. Operational debtors can block insolvency by demonstrating a genuine pre-existing dispute pre-dating the Section 8 demand notice.</w:t>
            </w:r>
          </w:p>
          <w:p>
            <w:pPr>
              <w:spacing w:before="60" w:after="60" w:line="276" w:lineRule="auto"/>
              <w:ind w:left="173" w:right="173"/>
            </w:pPr>
            <w:r>
              <w:rPr>
                <w:rFonts w:ascii="Calibri" w:hAnsi="Calibri"/>
                <w:b/>
                <w:color w:val="1A365D"/>
                <w:sz w:val="20"/>
              </w:rPr>
              <w:t>APPLICATION / WHEN RELEVANT:</w:t>
            </w:r>
            <w:r>
              <w:rPr>
                <w:rFonts w:ascii="Calibri" w:hAnsi="Calibri"/>
                <w:color w:val="2D3748"/>
                <w:sz w:val="20"/>
              </w:rPr>
              <w:t xml:space="preserve"> Filing or defending Section 7 and 9 insolvency petitions before the NCLT; enforcing the statutory moratorium under Section 14.</w:t>
            </w:r>
          </w:p>
          <w:p>
            <w:pPr>
              <w:spacing w:before="60" w:after="60" w:line="276" w:lineRule="auto"/>
              <w:ind w:left="173" w:right="173"/>
            </w:pPr>
            <w:r>
              <w:rPr>
                <w:rFonts w:ascii="Calibri" w:hAnsi="Calibri"/>
                <w:b/>
                <w:color w:val="1A365D"/>
                <w:sz w:val="20"/>
              </w:rPr>
              <w:t>EXCEPTIONS / LIMITATIONS:</w:t>
            </w:r>
            <w:r>
              <w:rPr>
                <w:rFonts w:ascii="Calibri" w:hAnsi="Calibri"/>
                <w:color w:val="2D3748"/>
                <w:sz w:val="20"/>
              </w:rPr>
              <w:t xml:space="preserve"> Pre-packaged insolvency resolution process for Micro, Small and Medium Enterprises (MSMEs) under Chapter III-A carries a lower threshold of ₹10 Lakhs pursuant to Notification S.O. 1543(E) dated 09-04-2021.</w:t>
            </w:r>
          </w:p>
          <w:p>
            <w:pPr>
              <w:spacing w:before="60" w:after="60" w:line="276" w:lineRule="auto"/>
              <w:ind w:left="173" w:right="173"/>
            </w:pPr>
            <w:r>
              <w:rPr>
                <w:rFonts w:ascii="Calibri" w:hAnsi="Calibri"/>
                <w:b/>
                <w:color w:val="1A365D"/>
                <w:sz w:val="20"/>
              </w:rPr>
              <w:t>IMPORTANT_QUALIFICATIONS:</w:t>
            </w:r>
            <w:r>
              <w:rPr>
                <w:rFonts w:ascii="Calibri" w:hAnsi="Calibri"/>
                <w:color w:val="2D3748"/>
                <w:sz w:val="20"/>
              </w:rPr>
              <w:t xml:space="preserve"> The default threshold is temporal: defaults occurring and petitions filed prior to 24 March 2020 were governed by the ₹1 Lakh threshold. The IBC is an insolvency resolution statute, not a debt collection mechanism (Swiss Ribbons). A plausible pre-existing dispute mandates dismissal of an operational creditor's Section 9 petition (Mobilox Innovations).</w:t>
            </w:r>
          </w:p>
          <w:p>
            <w:pPr>
              <w:spacing w:before="60" w:after="60" w:line="276" w:lineRule="auto"/>
              <w:ind w:left="173" w:right="173"/>
            </w:pPr>
            <w:r>
              <w:rPr>
                <w:rFonts w:ascii="Calibri" w:hAnsi="Calibri"/>
                <w:b/>
                <w:color w:val="1A365D"/>
                <w:sz w:val="20"/>
              </w:rPr>
              <w:t>RELATED_PROVISIONS:</w:t>
            </w:r>
            <w:r>
              <w:rPr>
                <w:rFonts w:ascii="Calibri" w:hAnsi="Calibri"/>
                <w:color w:val="2D3748"/>
                <w:sz w:val="20"/>
              </w:rPr>
              <w:t xml:space="preserve"> IBC Sections 8, 14 (Moratorium), 53 (Liquidation Waterfall).</w:t>
            </w:r>
          </w:p>
          <w:p>
            <w:pPr>
              <w:spacing w:before="60" w:after="60" w:line="276" w:lineRule="auto"/>
              <w:ind w:left="173" w:right="173"/>
            </w:pPr>
            <w:r>
              <w:rPr>
                <w:rFonts w:ascii="Calibri" w:hAnsi="Calibri"/>
                <w:b/>
                <w:color w:val="1A365D"/>
                <w:sz w:val="20"/>
              </w:rPr>
              <w:t>RELATED_CASE_LAW:</w:t>
            </w:r>
            <w:r>
              <w:rPr>
                <w:rFonts w:ascii="Calibri" w:hAnsi="Calibri"/>
                <w:color w:val="2D3748"/>
                <w:sz w:val="20"/>
              </w:rPr>
              <w:t xml:space="preserve"> Mobilox Innovations Pvt. Ltd. v. Kirusa Software Pvt. Ltd. (2018) 1 SCC 353; Swiss Ribbons Pvt. Ltd. v. Union of India (2019) 4 SCC 17.</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 / AMENDED LAW</w:t>
            </w:r>
          </w:p>
          <w:p>
            <w:pPr>
              <w:spacing w:before="60" w:after="60" w:line="276" w:lineRule="auto"/>
              <w:ind w:left="173" w:right="173"/>
            </w:pPr>
            <w:r>
              <w:rPr>
                <w:rFonts w:ascii="Calibri" w:hAnsi="Calibri"/>
                <w:b/>
                <w:color w:val="1A365D"/>
                <w:sz w:val="20"/>
              </w:rPr>
              <w:t>EFFECTIVE_FROM:</w:t>
            </w:r>
            <w:r>
              <w:rPr>
                <w:rFonts w:ascii="Calibri" w:hAnsi="Calibri"/>
                <w:color w:val="2D3748"/>
                <w:sz w:val="20"/>
              </w:rPr>
              <w:t xml:space="preserve"> 2020-03-24 (Notification S.O. 1205(E))</w:t>
            </w:r>
          </w:p>
          <w:p>
            <w:pPr>
              <w:spacing w:before="60" w:after="60" w:line="276" w:lineRule="auto"/>
              <w:ind w:left="173" w:right="173"/>
            </w:pPr>
            <w:r>
              <w:rPr>
                <w:rFonts w:ascii="Calibri" w:hAnsi="Calibri"/>
                <w:b/>
                <w:color w:val="1A365D"/>
                <w:sz w:val="20"/>
              </w:rPr>
              <w:t>EFFECTIVE_TO:</w:t>
            </w:r>
            <w:r>
              <w:rPr>
                <w:rFonts w:ascii="Calibri" w:hAnsi="Calibri"/>
                <w:color w:val="2D3748"/>
                <w:sz w:val="20"/>
              </w:rPr>
              <w:t xml:space="preserve"> Open</w:t>
            </w:r>
          </w:p>
          <w:p>
            <w:pPr>
              <w:spacing w:before="60" w:after="60" w:line="276" w:lineRule="auto"/>
              <w:ind w:left="173" w:right="173"/>
            </w:pPr>
            <w:r>
              <w:rPr>
                <w:rFonts w:ascii="Calibri" w:hAnsi="Calibri"/>
                <w:b/>
                <w:color w:val="1A365D"/>
                <w:sz w:val="20"/>
              </w:rPr>
              <w:t>HISTORICAL_APPLICABILITY:</w:t>
            </w:r>
            <w:r>
              <w:rPr>
                <w:rFonts w:ascii="Calibri" w:hAnsi="Calibri"/>
                <w:color w:val="2D3748"/>
                <w:sz w:val="20"/>
              </w:rPr>
              <w:t xml:space="preserve"> ₹1 Lakh default threshold applied from 01.12.2016 to 23.03.2020; ₹1 Crore threshold applies from 24.03.2020 onwards for standard CIRP.</w:t>
            </w:r>
          </w:p>
          <w:p>
            <w:pPr>
              <w:spacing w:before="60" w:after="60" w:line="276" w:lineRule="auto"/>
              <w:ind w:left="173" w:right="173"/>
            </w:pPr>
            <w:r>
              <w:rPr>
                <w:rFonts w:ascii="Calibri" w:hAnsi="Calibri"/>
                <w:b/>
                <w:color w:val="1A365D"/>
                <w:sz w:val="20"/>
              </w:rPr>
              <w:t>OFFICIAL_SOURCE_NAME:</w:t>
            </w:r>
            <w:r>
              <w:rPr>
                <w:rFonts w:ascii="Calibri" w:hAnsi="Calibri"/>
                <w:color w:val="2D3748"/>
                <w:sz w:val="20"/>
              </w:rPr>
              <w:t xml:space="preserve"> Insolvency and Bankruptcy Board of India / Ministry of Corporate Affairs</w:t>
            </w:r>
          </w:p>
          <w:p>
            <w:pPr>
              <w:spacing w:before="60" w:after="60" w:line="276" w:lineRule="auto"/>
              <w:ind w:left="173" w:right="173"/>
            </w:pPr>
            <w:r>
              <w:rPr>
                <w:rFonts w:ascii="Calibri" w:hAnsi="Calibri"/>
                <w:b/>
                <w:color w:val="1A365D"/>
                <w:sz w:val="20"/>
              </w:rPr>
              <w:t>OFFICIAL_SOURCE_URL:</w:t>
            </w:r>
            <w:r>
              <w:rPr>
                <w:rFonts w:ascii="Calibri" w:hAnsi="Calibri"/>
                <w:color w:val="2D3748"/>
                <w:sz w:val="20"/>
              </w:rPr>
              <w:t xml:space="preserve"> https://www.ibbi.gov.in</w:t>
            </w:r>
          </w:p>
          <w:p>
            <w:pPr>
              <w:spacing w:before="60" w:after="60" w:line="276" w:lineRule="auto"/>
              <w:ind w:left="173" w:right="173"/>
            </w:pPr>
            <w:r>
              <w:rPr>
                <w:rFonts w:ascii="Calibri" w:hAnsi="Calibri"/>
                <w:b/>
                <w:color w:val="1A365D"/>
                <w:sz w:val="20"/>
              </w:rPr>
              <w:t>OFFICIAL_IDENTIFIER:</w:t>
            </w:r>
            <w:r>
              <w:rPr>
                <w:rFonts w:ascii="Calibri" w:hAnsi="Calibri"/>
                <w:color w:val="2D3748"/>
                <w:sz w:val="20"/>
              </w:rPr>
              <w:t xml:space="preserve"> MCA Notification S.O. 1205(E)</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IBC 2016, S. 4 Notification S.O. 1205(E)</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IBC, Section 4, default threshold, 1 crore, CIRP, MSME pre-pack, 10 lakhs, NCLT, operational creditor, pre-existing dispute, moratorium</w:t>
            </w:r>
          </w:p>
          <w:p>
            <w:pPr>
              <w:spacing w:before="60" w:after="60" w:line="276" w:lineRule="auto"/>
              <w:ind w:left="173" w:right="173"/>
            </w:pPr>
            <w:r>
              <w:rPr>
                <w:rFonts w:ascii="Calibri" w:hAnsi="Calibri"/>
                <w:b/>
                <w:color w:val="1A365D"/>
                <w:sz w:val="20"/>
              </w:rPr>
              <w:t>VERSION:</w:t>
            </w:r>
            <w:r>
              <w:rPr>
                <w:rFonts w:ascii="Calibri" w:hAnsi="Calibri"/>
                <w:color w:val="2D3748"/>
                <w:sz w:val="20"/>
              </w:rPr>
              <w:t xml:space="preserve"> 2.1</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Record: IND-COMM-ARB001-V2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DOCUMENT_ID:</w:t>
            </w:r>
            <w:r>
              <w:rPr>
                <w:rFonts w:ascii="Calibri" w:hAnsi="Calibri"/>
                <w:color w:val="2D3748"/>
                <w:sz w:val="20"/>
              </w:rPr>
              <w:t xml:space="preserve"> IND-COMM-ARB001-V2</w:t>
            </w:r>
          </w:p>
          <w:p>
            <w:pPr>
              <w:spacing w:before="60" w:after="60" w:line="276" w:lineRule="auto"/>
              <w:ind w:left="173" w:right="173"/>
            </w:pPr>
            <w:r>
              <w:rPr>
                <w:rFonts w:ascii="Calibri" w:hAnsi="Calibri"/>
                <w:b/>
                <w:color w:val="1A365D"/>
                <w:sz w:val="20"/>
              </w:rPr>
              <w:t>TITLE:</w:t>
            </w:r>
            <w:r>
              <w:rPr>
                <w:rFonts w:ascii="Calibri" w:hAnsi="Calibri"/>
                <w:color w:val="2D3748"/>
                <w:sz w:val="20"/>
              </w:rPr>
              <w:t xml:space="preserve"> Arbitration Agreement Existence versus Stamp Duty Deficiencies: Referral, Adjudication, and Kompetenz-Kompetenz</w:t>
            </w:r>
          </w:p>
          <w:p>
            <w:pPr>
              <w:spacing w:before="60" w:after="60" w:line="276" w:lineRule="auto"/>
              <w:ind w:left="173" w:right="173"/>
            </w:pPr>
            <w:r>
              <w:rPr>
                <w:rFonts w:ascii="Calibri" w:hAnsi="Calibri"/>
                <w:b/>
                <w:color w:val="1A365D"/>
                <w:sz w:val="20"/>
              </w:rPr>
              <w:t>LEGAL_AREA:</w:t>
            </w:r>
            <w:r>
              <w:rPr>
                <w:rFonts w:ascii="Calibri" w:hAnsi="Calibri"/>
                <w:color w:val="2D3748"/>
                <w:sz w:val="20"/>
              </w:rPr>
              <w:t xml:space="preserve"> Arbitration &amp; ADR</w:t>
            </w:r>
          </w:p>
          <w:p>
            <w:pPr>
              <w:spacing w:before="60" w:after="60" w:line="276" w:lineRule="auto"/>
              <w:ind w:left="173" w:right="173"/>
            </w:pPr>
            <w:r>
              <w:rPr>
                <w:rFonts w:ascii="Calibri" w:hAnsi="Calibri"/>
                <w:b/>
                <w:color w:val="1A365D"/>
                <w:sz w:val="20"/>
              </w:rPr>
              <w:t>SUB_AREA:</w:t>
            </w:r>
            <w:r>
              <w:rPr>
                <w:rFonts w:ascii="Calibri" w:hAnsi="Calibri"/>
                <w:color w:val="2D3748"/>
                <w:sz w:val="20"/>
              </w:rPr>
              <w:t xml:space="preserve"> Arbitration Agreements &amp; Reference</w:t>
            </w:r>
          </w:p>
          <w:p>
            <w:pPr>
              <w:spacing w:before="60" w:after="60" w:line="276" w:lineRule="auto"/>
              <w:ind w:left="173" w:right="173"/>
            </w:pPr>
            <w:r>
              <w:rPr>
                <w:rFonts w:ascii="Calibri" w:hAnsi="Calibri"/>
                <w:b/>
                <w:color w:val="1A365D"/>
                <w:sz w:val="20"/>
              </w:rPr>
              <w:t>SOURCE_TYPE:</w:t>
            </w:r>
            <w:r>
              <w:rPr>
                <w:rFonts w:ascii="Calibri" w:hAnsi="Calibri"/>
                <w:color w:val="2D3748"/>
                <w:sz w:val="20"/>
              </w:rPr>
              <w:t xml:space="preserve"> Central Statute &amp; Constitution Bench Precedent</w:t>
            </w:r>
          </w:p>
          <w:p>
            <w:pPr>
              <w:spacing w:before="60" w:after="60" w:line="276" w:lineRule="auto"/>
              <w:ind w:left="173" w:right="173"/>
            </w:pPr>
            <w:r>
              <w:rPr>
                <w:rFonts w:ascii="Calibri" w:hAnsi="Calibri"/>
                <w:b/>
                <w:color w:val="1A365D"/>
                <w:sz w:val="20"/>
              </w:rPr>
              <w:t>AUTHORITY_LEVEL:</w:t>
            </w:r>
            <w:r>
              <w:rPr>
                <w:rFonts w:ascii="Calibri" w:hAnsi="Calibri"/>
                <w:color w:val="2D3748"/>
                <w:sz w:val="20"/>
              </w:rPr>
              <w:t xml:space="preserve"> Level 1 - Constitution Bench</w:t>
            </w:r>
          </w:p>
          <w:p>
            <w:pPr>
              <w:spacing w:before="60" w:after="60" w:line="276" w:lineRule="auto"/>
              <w:ind w:left="173" w:right="173"/>
            </w:pPr>
            <w:r>
              <w:rPr>
                <w:rFonts w:ascii="Calibri" w:hAnsi="Calibri"/>
                <w:b/>
                <w:color w:val="1A365D"/>
                <w:sz w:val="20"/>
              </w:rPr>
              <w:t>JURISDICTION:</w:t>
            </w:r>
            <w:r>
              <w:rPr>
                <w:rFonts w:ascii="Calibri" w:hAnsi="Calibri"/>
                <w:color w:val="2D3748"/>
                <w:sz w:val="20"/>
              </w:rPr>
              <w:t xml:space="preserve"> Union of India</w:t>
            </w:r>
          </w:p>
          <w:p>
            <w:pPr>
              <w:spacing w:before="60" w:after="60" w:line="276" w:lineRule="auto"/>
              <w:ind w:left="173" w:right="173"/>
            </w:pPr>
            <w:r>
              <w:rPr>
                <w:rFonts w:ascii="Calibri" w:hAnsi="Calibri"/>
                <w:b/>
                <w:color w:val="1A365D"/>
                <w:sz w:val="20"/>
              </w:rPr>
              <w:t>STATE_OR_UT:</w:t>
            </w:r>
            <w:r>
              <w:rPr>
                <w:rFonts w:ascii="Calibri" w:hAnsi="Calibri"/>
                <w:color w:val="2D3748"/>
                <w:sz w:val="20"/>
              </w:rPr>
              <w:t xml:space="preserve"> All States and Union Territories</w:t>
            </w:r>
          </w:p>
          <w:p>
            <w:pPr>
              <w:spacing w:before="60" w:after="60" w:line="276" w:lineRule="auto"/>
              <w:ind w:left="173" w:right="173"/>
            </w:pPr>
            <w:r>
              <w:rPr>
                <w:rFonts w:ascii="Calibri" w:hAnsi="Calibri"/>
                <w:b/>
                <w:color w:val="1A365D"/>
                <w:sz w:val="20"/>
              </w:rPr>
              <w:t>COURT_OR_AUTHORITY:</w:t>
            </w:r>
            <w:r>
              <w:rPr>
                <w:rFonts w:ascii="Calibri" w:hAnsi="Calibri"/>
                <w:color w:val="2D3748"/>
                <w:sz w:val="20"/>
              </w:rPr>
              <w:t xml:space="preserve"> Supreme Court of India / High Courts / Arbitral Tribunals</w:t>
            </w:r>
          </w:p>
          <w:p>
            <w:pPr>
              <w:spacing w:before="60" w:after="60" w:line="276" w:lineRule="auto"/>
              <w:ind w:left="173" w:right="173"/>
            </w:pPr>
            <w:r>
              <w:rPr>
                <w:rFonts w:ascii="Calibri" w:hAnsi="Calibri"/>
                <w:b/>
                <w:color w:val="1A365D"/>
                <w:sz w:val="20"/>
              </w:rPr>
              <w:t>STATUTE:</w:t>
            </w:r>
            <w:r>
              <w:rPr>
                <w:rFonts w:ascii="Calibri" w:hAnsi="Calibri"/>
                <w:color w:val="2D3748"/>
                <w:sz w:val="20"/>
              </w:rPr>
              <w:t xml:space="preserve"> Arbitration and Conciliation Act, 1996; Indian Stamp Act, 1899</w:t>
            </w:r>
          </w:p>
          <w:p>
            <w:pPr>
              <w:spacing w:before="60" w:after="60" w:line="276" w:lineRule="auto"/>
              <w:ind w:left="173" w:right="173"/>
            </w:pPr>
            <w:r>
              <w:rPr>
                <w:rFonts w:ascii="Calibri" w:hAnsi="Calibri"/>
                <w:b/>
                <w:color w:val="1A365D"/>
                <w:sz w:val="20"/>
              </w:rPr>
              <w:t>ARTICLE: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SECTION:</w:t>
            </w:r>
            <w:r>
              <w:rPr>
                <w:rFonts w:ascii="Calibri" w:hAnsi="Calibri"/>
                <w:color w:val="2D3748"/>
                <w:sz w:val="20"/>
              </w:rPr>
              <w:t xml:space="preserve"> Sections 8, 11(6), 16</w:t>
            </w:r>
          </w:p>
          <w:p>
            <w:pPr>
              <w:spacing w:before="60" w:after="60" w:line="276" w:lineRule="auto"/>
              <w:ind w:left="173" w:right="173"/>
            </w:pPr>
            <w:r>
              <w:rPr>
                <w:rFonts w:ascii="Calibri" w:hAnsi="Calibri"/>
                <w:b/>
                <w:color w:val="1A365D"/>
                <w:sz w:val="20"/>
              </w:rPr>
              <w:t>RULE: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LEGAL_PROPOSITION:</w:t>
            </w:r>
            <w:r>
              <w:rPr>
                <w:rFonts w:ascii="Calibri" w:hAnsi="Calibri"/>
                <w:color w:val="2D3748"/>
                <w:sz w:val="20"/>
              </w:rPr>
              <w:t xml:space="preserve"> An unstamped or insufficiently stamped underlying contract does not render the arbitration agreement contained therein void or non-existent in law. At the Section 8 and Section 11 stage, referral courts examine only the prima facie existence of the arbitration agreement, leaving questions of stamping, impounding, and duty validation to the arbitral tribunal under Section 16 (Kompetenz-Kompetenz).</w:t>
            </w:r>
          </w:p>
          <w:p>
            <w:pPr>
              <w:spacing w:before="60" w:after="60" w:line="276" w:lineRule="auto"/>
              <w:ind w:left="173" w:right="173"/>
            </w:pPr>
            <w:r>
              <w:rPr>
                <w:rFonts w:ascii="Calibri" w:hAnsi="Calibri"/>
                <w:b/>
                <w:color w:val="1A365D"/>
                <w:sz w:val="20"/>
              </w:rPr>
              <w:t>SIMPLE_EXPLANATION:</w:t>
            </w:r>
            <w:r>
              <w:rPr>
                <w:rFonts w:ascii="Calibri" w:hAnsi="Calibri"/>
                <w:color w:val="2D3748"/>
                <w:sz w:val="20"/>
              </w:rPr>
              <w:t xml:space="preserve"> Non-stamping does not kill an arbitration agreement. Courts cannot refuse to refer disputes to arbitration on stamp duty objections; the arbitral tribunal handles stamping and statutory impounding.</w:t>
            </w:r>
          </w:p>
          <w:p>
            <w:pPr>
              <w:spacing w:before="60" w:after="60" w:line="276" w:lineRule="auto"/>
              <w:ind w:left="173" w:right="173"/>
            </w:pPr>
            <w:r>
              <w:rPr>
                <w:rFonts w:ascii="Calibri" w:hAnsi="Calibri"/>
                <w:b/>
                <w:color w:val="1A365D"/>
                <w:sz w:val="20"/>
              </w:rPr>
              <w:t>APPLICATION / WHEN RELEVANT:</w:t>
            </w:r>
            <w:r>
              <w:rPr>
                <w:rFonts w:ascii="Calibri" w:hAnsi="Calibri"/>
                <w:color w:val="2D3748"/>
                <w:sz w:val="20"/>
              </w:rPr>
              <w:t xml:space="preserve"> Defending Section 11 arbitrator appointments and Section 8 referral applications against stamp duty objections raised by respondents.</w:t>
            </w:r>
          </w:p>
          <w:p>
            <w:pPr>
              <w:spacing w:before="60" w:after="60" w:line="276" w:lineRule="auto"/>
              <w:ind w:left="173" w:right="173"/>
            </w:pPr>
            <w:r>
              <w:rPr>
                <w:rFonts w:ascii="Calibri" w:hAnsi="Calibri"/>
                <w:b/>
                <w:color w:val="1A365D"/>
                <w:sz w:val="20"/>
              </w:rPr>
              <w:t>EXCEPTIONS / LIMITATIONS:</w:t>
            </w:r>
            <w:r>
              <w:rPr>
                <w:rFonts w:ascii="Calibri" w:hAnsi="Calibri"/>
                <w:color w:val="2D3748"/>
                <w:sz w:val="20"/>
              </w:rPr>
              <w:t xml:space="preserve"> Agreements where the arbitration clause is proven to be non-existent or forged. Furthermore, the arbitral tribunal cannot act upon or admit into evidence an unstamped instrument until stamp duty and penalties are cured in accordance with the Stamp Act.</w:t>
            </w:r>
          </w:p>
          <w:p>
            <w:pPr>
              <w:spacing w:before="60" w:after="60" w:line="276" w:lineRule="auto"/>
              <w:ind w:left="173" w:right="173"/>
            </w:pPr>
            <w:r>
              <w:rPr>
                <w:rFonts w:ascii="Calibri" w:hAnsi="Calibri"/>
                <w:b/>
                <w:color w:val="1A365D"/>
                <w:sz w:val="20"/>
              </w:rPr>
              <w:t>IMPORTANT_QUALIFICATIONS:</w:t>
            </w:r>
            <w:r>
              <w:rPr>
                <w:rFonts w:ascii="Calibri" w:hAnsi="Calibri"/>
                <w:color w:val="2D3748"/>
                <w:sz w:val="20"/>
              </w:rPr>
              <w:t xml:space="preserve"> A 7-Judge Constitution Bench in In Re: Interplay overruled NN Global Mercantile (2023) 7 SCC 1. The Court held that unstamped agreements are inadmissible in evidence under Section 35 of the Stamp Act, but are not void ab initio; inadmissibility is a curable defect within the jurisdiction of the arbitral tribunal.</w:t>
            </w:r>
          </w:p>
          <w:p>
            <w:pPr>
              <w:spacing w:before="60" w:after="60" w:line="276" w:lineRule="auto"/>
              <w:ind w:left="173" w:right="173"/>
            </w:pPr>
            <w:r>
              <w:rPr>
                <w:rFonts w:ascii="Calibri" w:hAnsi="Calibri"/>
                <w:b/>
                <w:color w:val="1A365D"/>
                <w:sz w:val="20"/>
              </w:rPr>
              <w:t>RELATED_PROVISIONS:</w:t>
            </w:r>
            <w:r>
              <w:rPr>
                <w:rFonts w:ascii="Calibri" w:hAnsi="Calibri"/>
                <w:color w:val="2D3748"/>
                <w:sz w:val="20"/>
              </w:rPr>
              <w:t xml:space="preserve"> Arbitration Act Sections 9, 16, 34; Indian Stamp Act Sections 33, 35.</w:t>
            </w:r>
          </w:p>
          <w:p>
            <w:pPr>
              <w:spacing w:before="60" w:after="60" w:line="276" w:lineRule="auto"/>
              <w:ind w:left="173" w:right="173"/>
            </w:pPr>
            <w:r>
              <w:rPr>
                <w:rFonts w:ascii="Calibri" w:hAnsi="Calibri"/>
                <w:b/>
                <w:color w:val="1A365D"/>
                <w:sz w:val="20"/>
              </w:rPr>
              <w:t>RELATED_CASE_LAW:</w:t>
            </w:r>
            <w:r>
              <w:rPr>
                <w:rFonts w:ascii="Calibri" w:hAnsi="Calibri"/>
                <w:color w:val="2D3748"/>
                <w:sz w:val="20"/>
              </w:rPr>
              <w:t xml:space="preserve"> In Re: Interplay Between Arbitration Agreements and the Indian Stamp Act, 1899 (2023) 15 SCR 1081 / 2023 INSC 1066.</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w:t>
            </w:r>
          </w:p>
          <w:p>
            <w:pPr>
              <w:spacing w:before="60" w:after="60" w:line="276" w:lineRule="auto"/>
              <w:ind w:left="173" w:right="173"/>
            </w:pPr>
            <w:r>
              <w:rPr>
                <w:rFonts w:ascii="Calibri" w:hAnsi="Calibri"/>
                <w:b/>
                <w:color w:val="1A365D"/>
                <w:sz w:val="20"/>
              </w:rPr>
              <w:t>EFFECTIVE_FROM:</w:t>
            </w:r>
            <w:r>
              <w:rPr>
                <w:rFonts w:ascii="Calibri" w:hAnsi="Calibri"/>
                <w:color w:val="2D3748"/>
                <w:sz w:val="20"/>
              </w:rPr>
              <w:t xml:space="preserve"> 2023-12-13 (Affirmed in 7-Judge Curative Ruling)</w:t>
            </w:r>
          </w:p>
          <w:p>
            <w:pPr>
              <w:spacing w:before="60" w:after="60" w:line="276" w:lineRule="auto"/>
              <w:ind w:left="173" w:right="173"/>
            </w:pPr>
            <w:r>
              <w:rPr>
                <w:rFonts w:ascii="Calibri" w:hAnsi="Calibri"/>
                <w:b/>
                <w:color w:val="1A365D"/>
                <w:sz w:val="20"/>
              </w:rPr>
              <w:t>EFFECTIVE_TO:</w:t>
            </w:r>
            <w:r>
              <w:rPr>
                <w:rFonts w:ascii="Calibri" w:hAnsi="Calibri"/>
                <w:color w:val="2D3748"/>
                <w:sz w:val="20"/>
              </w:rPr>
              <w:t xml:space="preserve"> Open</w:t>
            </w:r>
          </w:p>
          <w:p>
            <w:pPr>
              <w:spacing w:before="60" w:after="60" w:line="276" w:lineRule="auto"/>
              <w:ind w:left="173" w:right="173"/>
            </w:pPr>
            <w:r>
              <w:rPr>
                <w:rFonts w:ascii="Calibri" w:hAnsi="Calibri"/>
                <w:b/>
                <w:color w:val="1A365D"/>
                <w:sz w:val="20"/>
              </w:rPr>
              <w:t>HISTORICAL_APPLICABILITY:</w:t>
            </w:r>
            <w:r>
              <w:rPr>
                <w:rFonts w:ascii="Calibri" w:hAnsi="Calibri"/>
                <w:color w:val="2D3748"/>
                <w:sz w:val="20"/>
              </w:rPr>
              <w:t xml:space="preserve"> Overrules SMS Tea Estates (2011), Garware Wall Ropes (2019), and NN Global (5-Judge Bench 2023).</w:t>
            </w:r>
          </w:p>
          <w:p>
            <w:pPr>
              <w:spacing w:before="60" w:after="60" w:line="276" w:lineRule="auto"/>
              <w:ind w:left="173" w:right="173"/>
            </w:pPr>
            <w:r>
              <w:rPr>
                <w:rFonts w:ascii="Calibri" w:hAnsi="Calibri"/>
                <w:b/>
                <w:color w:val="1A365D"/>
                <w:sz w:val="20"/>
              </w:rPr>
              <w:t>OFFICIAL_SOURCE_NAME:</w:t>
            </w:r>
            <w:r>
              <w:rPr>
                <w:rFonts w:ascii="Calibri" w:hAnsi="Calibri"/>
                <w:color w:val="2D3748"/>
                <w:sz w:val="20"/>
              </w:rPr>
              <w:t xml:space="preserve"> Supreme Court of India Judgment Portal</w:t>
            </w:r>
          </w:p>
          <w:p>
            <w:pPr>
              <w:spacing w:before="60" w:after="60" w:line="276" w:lineRule="auto"/>
              <w:ind w:left="173" w:right="173"/>
            </w:pPr>
            <w:r>
              <w:rPr>
                <w:rFonts w:ascii="Calibri" w:hAnsi="Calibri"/>
                <w:b/>
                <w:color w:val="1A365D"/>
                <w:sz w:val="20"/>
              </w:rPr>
              <w:t>OFFICIAL_SOURCE_URL:</w:t>
            </w:r>
            <w:r>
              <w:rPr>
                <w:rFonts w:ascii="Calibri" w:hAnsi="Calibri"/>
                <w:color w:val="2D3748"/>
                <w:sz w:val="20"/>
              </w:rPr>
              <w:t xml:space="preserve"> https://main.sci.gov.in/judgments</w:t>
            </w:r>
          </w:p>
          <w:p>
            <w:pPr>
              <w:spacing w:before="60" w:after="60" w:line="276" w:lineRule="auto"/>
              <w:ind w:left="173" w:right="173"/>
            </w:pPr>
            <w:r>
              <w:rPr>
                <w:rFonts w:ascii="Calibri" w:hAnsi="Calibri"/>
                <w:b/>
                <w:color w:val="1A365D"/>
                <w:sz w:val="20"/>
              </w:rPr>
              <w:t>OFFICIAL_IDENTIFIER:</w:t>
            </w:r>
            <w:r>
              <w:rPr>
                <w:rFonts w:ascii="Calibri" w:hAnsi="Calibri"/>
                <w:color w:val="2D3748"/>
                <w:sz w:val="20"/>
              </w:rPr>
              <w:t xml:space="preserve"> 2023 INSC 1066</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2023 INSC 1066; (2023) 15 SCR 1081</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Arbitration Act, Section 8, Section 11, unstamped agreement, Stamp Act, 7-judge bench, In Re Interplay, kompetenz-kompetenz</w:t>
            </w:r>
          </w:p>
          <w:p>
            <w:pPr>
              <w:spacing w:before="60" w:after="60" w:line="276" w:lineRule="auto"/>
              <w:ind w:left="173" w:right="173"/>
            </w:pPr>
            <w:r>
              <w:rPr>
                <w:rFonts w:ascii="Calibri" w:hAnsi="Calibri"/>
                <w:b/>
                <w:color w:val="1A365D"/>
                <w:sz w:val="20"/>
              </w:rPr>
              <w:t>VERSION:</w:t>
            </w:r>
            <w:r>
              <w:rPr>
                <w:rFonts w:ascii="Calibri" w:hAnsi="Calibri"/>
                <w:color w:val="2D3748"/>
                <w:sz w:val="20"/>
              </w:rPr>
              <w:t xml:space="preserve"> 2.1</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Record: IND-COMM-BNK001-V2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DOCUMENT_ID:</w:t>
            </w:r>
            <w:r>
              <w:rPr>
                <w:rFonts w:ascii="Calibri" w:hAnsi="Calibri"/>
                <w:color w:val="2D3748"/>
                <w:sz w:val="20"/>
              </w:rPr>
              <w:t xml:space="preserve"> IND-COMM-BNK001-V2</w:t>
            </w:r>
          </w:p>
          <w:p>
            <w:pPr>
              <w:spacing w:before="60" w:after="60" w:line="276" w:lineRule="auto"/>
              <w:ind w:left="173" w:right="173"/>
            </w:pPr>
            <w:r>
              <w:rPr>
                <w:rFonts w:ascii="Calibri" w:hAnsi="Calibri"/>
                <w:b/>
                <w:color w:val="1A365D"/>
                <w:sz w:val="20"/>
              </w:rPr>
              <w:t>TITLE:</w:t>
            </w:r>
            <w:r>
              <w:rPr>
                <w:rFonts w:ascii="Calibri" w:hAnsi="Calibri"/>
                <w:color w:val="2D3748"/>
                <w:sz w:val="20"/>
              </w:rPr>
              <w:t xml:space="preserve"> Cheque Dishonour: Discretionary Nature of Interim Compensation under Section 143A versus Appellate Deposits under Section 148</w:t>
            </w:r>
          </w:p>
          <w:p>
            <w:pPr>
              <w:spacing w:before="60" w:after="60" w:line="276" w:lineRule="auto"/>
              <w:ind w:left="173" w:right="173"/>
            </w:pPr>
            <w:r>
              <w:rPr>
                <w:rFonts w:ascii="Calibri" w:hAnsi="Calibri"/>
                <w:b/>
                <w:color w:val="1A365D"/>
                <w:sz w:val="20"/>
              </w:rPr>
              <w:t>LEGAL_AREA:</w:t>
            </w:r>
            <w:r>
              <w:rPr>
                <w:rFonts w:ascii="Calibri" w:hAnsi="Calibri"/>
                <w:color w:val="2D3748"/>
                <w:sz w:val="20"/>
              </w:rPr>
              <w:t xml:space="preserve"> Banking &amp; Commercial Criminal Law</w:t>
            </w:r>
          </w:p>
          <w:p>
            <w:pPr>
              <w:spacing w:before="60" w:after="60" w:line="276" w:lineRule="auto"/>
              <w:ind w:left="173" w:right="173"/>
            </w:pPr>
            <w:r>
              <w:rPr>
                <w:rFonts w:ascii="Calibri" w:hAnsi="Calibri"/>
                <w:b/>
                <w:color w:val="1A365D"/>
                <w:sz w:val="20"/>
              </w:rPr>
              <w:t>SUB_AREA:</w:t>
            </w:r>
            <w:r>
              <w:rPr>
                <w:rFonts w:ascii="Calibri" w:hAnsi="Calibri"/>
                <w:color w:val="2D3748"/>
                <w:sz w:val="20"/>
              </w:rPr>
              <w:t xml:space="preserve"> Negotiable Instruments / Cheque Bounce</w:t>
            </w:r>
          </w:p>
          <w:p>
            <w:pPr>
              <w:spacing w:before="60" w:after="60" w:line="276" w:lineRule="auto"/>
              <w:ind w:left="173" w:right="173"/>
            </w:pPr>
            <w:r>
              <w:rPr>
                <w:rFonts w:ascii="Calibri" w:hAnsi="Calibri"/>
                <w:b/>
                <w:color w:val="1A365D"/>
                <w:sz w:val="20"/>
              </w:rPr>
              <w:t>SOURCE_TYPE:</w:t>
            </w:r>
            <w:r>
              <w:rPr>
                <w:rFonts w:ascii="Calibri" w:hAnsi="Calibri"/>
                <w:color w:val="2D3748"/>
                <w:sz w:val="20"/>
              </w:rPr>
              <w:t xml:space="preserve"> Central Statute &amp; Precedent</w:t>
            </w:r>
          </w:p>
          <w:p>
            <w:pPr>
              <w:spacing w:before="60" w:after="60" w:line="276" w:lineRule="auto"/>
              <w:ind w:left="173" w:right="173"/>
            </w:pPr>
            <w:r>
              <w:rPr>
                <w:rFonts w:ascii="Calibri" w:hAnsi="Calibri"/>
                <w:b/>
                <w:color w:val="1A365D"/>
                <w:sz w:val="20"/>
              </w:rPr>
              <w:t>AUTHORITY_LEVEL:</w:t>
            </w:r>
            <w:r>
              <w:rPr>
                <w:rFonts w:ascii="Calibri" w:hAnsi="Calibri"/>
                <w:color w:val="2D3748"/>
                <w:sz w:val="20"/>
              </w:rPr>
              <w:t xml:space="preserve"> Level 1 - Supreme Court Precedent</w:t>
            </w:r>
          </w:p>
          <w:p>
            <w:pPr>
              <w:spacing w:before="60" w:after="60" w:line="276" w:lineRule="auto"/>
              <w:ind w:left="173" w:right="173"/>
            </w:pPr>
            <w:r>
              <w:rPr>
                <w:rFonts w:ascii="Calibri" w:hAnsi="Calibri"/>
                <w:b/>
                <w:color w:val="1A365D"/>
                <w:sz w:val="20"/>
              </w:rPr>
              <w:t>JURISDICTION:</w:t>
            </w:r>
            <w:r>
              <w:rPr>
                <w:rFonts w:ascii="Calibri" w:hAnsi="Calibri"/>
                <w:color w:val="2D3748"/>
                <w:sz w:val="20"/>
              </w:rPr>
              <w:t xml:space="preserve"> Union of India</w:t>
            </w:r>
          </w:p>
          <w:p>
            <w:pPr>
              <w:spacing w:before="60" w:after="60" w:line="276" w:lineRule="auto"/>
              <w:ind w:left="173" w:right="173"/>
            </w:pPr>
            <w:r>
              <w:rPr>
                <w:rFonts w:ascii="Calibri" w:hAnsi="Calibri"/>
                <w:b/>
                <w:color w:val="1A365D"/>
                <w:sz w:val="20"/>
              </w:rPr>
              <w:t>STATE_OR_UT:</w:t>
            </w:r>
            <w:r>
              <w:rPr>
                <w:rFonts w:ascii="Calibri" w:hAnsi="Calibri"/>
                <w:color w:val="2D3748"/>
                <w:sz w:val="20"/>
              </w:rPr>
              <w:t xml:space="preserve"> All States and Union Territories</w:t>
            </w:r>
          </w:p>
          <w:p>
            <w:pPr>
              <w:spacing w:before="60" w:after="60" w:line="276" w:lineRule="auto"/>
              <w:ind w:left="173" w:right="173"/>
            </w:pPr>
            <w:r>
              <w:rPr>
                <w:rFonts w:ascii="Calibri" w:hAnsi="Calibri"/>
                <w:b/>
                <w:color w:val="1A365D"/>
                <w:sz w:val="20"/>
              </w:rPr>
              <w:t>COURT_OR_AUTHORITY:</w:t>
            </w:r>
            <w:r>
              <w:rPr>
                <w:rFonts w:ascii="Calibri" w:hAnsi="Calibri"/>
                <w:color w:val="2D3748"/>
                <w:sz w:val="20"/>
              </w:rPr>
              <w:t xml:space="preserve"> Judicial Magistrate First Class / Metropolitan Magistrate / Appellate Sessions Court</w:t>
            </w:r>
          </w:p>
          <w:p>
            <w:pPr>
              <w:spacing w:before="60" w:after="60" w:line="276" w:lineRule="auto"/>
              <w:ind w:left="173" w:right="173"/>
            </w:pPr>
            <w:r>
              <w:rPr>
                <w:rFonts w:ascii="Calibri" w:hAnsi="Calibri"/>
                <w:b/>
                <w:color w:val="1A365D"/>
                <w:sz w:val="20"/>
              </w:rPr>
              <w:t>STATUTE:</w:t>
            </w:r>
            <w:r>
              <w:rPr>
                <w:rFonts w:ascii="Calibri" w:hAnsi="Calibri"/>
                <w:color w:val="2D3748"/>
                <w:sz w:val="20"/>
              </w:rPr>
              <w:t xml:space="preserve"> Negotiable Instruments Act, 1881</w:t>
            </w:r>
          </w:p>
          <w:p>
            <w:pPr>
              <w:spacing w:before="60" w:after="60" w:line="276" w:lineRule="auto"/>
              <w:ind w:left="173" w:right="173"/>
            </w:pPr>
            <w:r>
              <w:rPr>
                <w:rFonts w:ascii="Calibri" w:hAnsi="Calibri"/>
                <w:b/>
                <w:color w:val="1A365D"/>
                <w:sz w:val="20"/>
              </w:rPr>
              <w:t>ARTICLE: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SECTION:</w:t>
            </w:r>
            <w:r>
              <w:rPr>
                <w:rFonts w:ascii="Calibri" w:hAnsi="Calibri"/>
                <w:color w:val="2D3748"/>
                <w:sz w:val="20"/>
              </w:rPr>
              <w:t xml:space="preserve"> Sections 138, 143A, 148</w:t>
            </w:r>
          </w:p>
          <w:p>
            <w:pPr>
              <w:spacing w:before="60" w:after="60" w:line="276" w:lineRule="auto"/>
              <w:ind w:left="173" w:right="173"/>
            </w:pPr>
            <w:r>
              <w:rPr>
                <w:rFonts w:ascii="Calibri" w:hAnsi="Calibri"/>
                <w:b/>
                <w:color w:val="1A365D"/>
                <w:sz w:val="20"/>
              </w:rPr>
              <w:t>RULE: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LEGAL_PROPOSITION:</w:t>
            </w:r>
            <w:r>
              <w:rPr>
                <w:rFonts w:ascii="Calibri" w:hAnsi="Calibri"/>
                <w:color w:val="2D3748"/>
                <w:sz w:val="20"/>
              </w:rPr>
              <w:t xml:space="preserve"> The power of the trial magistrate to order interim compensation up to 20% under Section 143A is discretionary and not mandatory. In contrast, appellate deposits of a minimum of 20% upon conviction under Section 148 remain generally mandatory unless exceptional circumstances exist.</w:t>
            </w:r>
          </w:p>
          <w:p>
            <w:pPr>
              <w:spacing w:before="60" w:after="60" w:line="276" w:lineRule="auto"/>
              <w:ind w:left="173" w:right="173"/>
            </w:pPr>
            <w:r>
              <w:rPr>
                <w:rFonts w:ascii="Calibri" w:hAnsi="Calibri"/>
                <w:b/>
                <w:color w:val="1A365D"/>
                <w:sz w:val="20"/>
              </w:rPr>
              <w:t>SIMPLE_EXPLANATION:</w:t>
            </w:r>
            <w:r>
              <w:rPr>
                <w:rFonts w:ascii="Calibri" w:hAnsi="Calibri"/>
                <w:color w:val="2D3748"/>
                <w:sz w:val="20"/>
              </w:rPr>
              <w:t xml:space="preserve"> Trial courts cannot automatically order an accused to pay 20% interim compensation in a cheque bounce case. The magistrate must evaluate prima facie merits, plausible defenses, and recorded reasons.</w:t>
            </w:r>
          </w:p>
          <w:p>
            <w:pPr>
              <w:spacing w:before="60" w:after="60" w:line="276" w:lineRule="auto"/>
              <w:ind w:left="173" w:right="173"/>
            </w:pPr>
            <w:r>
              <w:rPr>
                <w:rFonts w:ascii="Calibri" w:hAnsi="Calibri"/>
                <w:b/>
                <w:color w:val="1A365D"/>
                <w:sz w:val="20"/>
              </w:rPr>
              <w:t>APPLICATION / WHEN RELEVANT:</w:t>
            </w:r>
            <w:r>
              <w:rPr>
                <w:rFonts w:ascii="Calibri" w:hAnsi="Calibri"/>
                <w:color w:val="2D3748"/>
                <w:sz w:val="20"/>
              </w:rPr>
              <w:t xml:space="preserve"> Defending drawers against mechanical interim compensation orders under Section 143A in Section 138 trials.</w:t>
            </w:r>
          </w:p>
          <w:p>
            <w:pPr>
              <w:spacing w:before="60" w:after="60" w:line="276" w:lineRule="auto"/>
              <w:ind w:left="173" w:right="173"/>
            </w:pPr>
            <w:r>
              <w:rPr>
                <w:rFonts w:ascii="Calibri" w:hAnsi="Calibri"/>
                <w:b/>
                <w:color w:val="1A365D"/>
                <w:sz w:val="20"/>
              </w:rPr>
              <w:t>EXCEPTIONS / LIMITATIONS:</w:t>
            </w:r>
            <w:r>
              <w:rPr>
                <w:rFonts w:ascii="Calibri" w:hAnsi="Calibri"/>
                <w:color w:val="2D3748"/>
                <w:sz w:val="20"/>
              </w:rPr>
              <w:t xml:space="preserve"> Section 143A applies at the trial stage prior to conviction (discretionary). Section 148 applies post-conviction at the appellate stage (ordinarily mandatory under Surinder Singh Deswal).</w:t>
            </w:r>
          </w:p>
          <w:p>
            <w:pPr>
              <w:spacing w:before="60" w:after="60" w:line="276" w:lineRule="auto"/>
              <w:ind w:left="173" w:right="173"/>
            </w:pPr>
            <w:r>
              <w:rPr>
                <w:rFonts w:ascii="Calibri" w:hAnsi="Calibri"/>
                <w:b/>
                <w:color w:val="1A365D"/>
                <w:sz w:val="20"/>
              </w:rPr>
              <w:t>IMPORTANT_QUALIFICATIONS:</w:t>
            </w:r>
            <w:r>
              <w:rPr>
                <w:rFonts w:ascii="Calibri" w:hAnsi="Calibri"/>
                <w:color w:val="2D3748"/>
                <w:sz w:val="20"/>
              </w:rPr>
              <w:t xml:space="preserve"> In Rakesh Ranjan Shrivastava v. State of Jharkhand (2024) 4 SCC 419, the Supreme Court ruled that the word 'may' in Section 143A cannot be read as 'shall'. Magistrates must record reasoned considerations before ordering interim compensation.</w:t>
            </w:r>
          </w:p>
          <w:p>
            <w:pPr>
              <w:spacing w:before="60" w:after="60" w:line="276" w:lineRule="auto"/>
              <w:ind w:left="173" w:right="173"/>
            </w:pPr>
            <w:r>
              <w:rPr>
                <w:rFonts w:ascii="Calibri" w:hAnsi="Calibri"/>
                <w:b/>
                <w:color w:val="1A365D"/>
                <w:sz w:val="20"/>
              </w:rPr>
              <w:t>RELATED_PROVISIONS:</w:t>
            </w:r>
            <w:r>
              <w:rPr>
                <w:rFonts w:ascii="Calibri" w:hAnsi="Calibri"/>
                <w:color w:val="2D3748"/>
                <w:sz w:val="20"/>
              </w:rPr>
              <w:t xml:space="preserve"> Negotiable Instruments Act Sections 138, 139, 148; BNSS Section 144.</w:t>
            </w:r>
          </w:p>
          <w:p>
            <w:pPr>
              <w:spacing w:before="60" w:after="60" w:line="276" w:lineRule="auto"/>
              <w:ind w:left="173" w:right="173"/>
            </w:pPr>
            <w:r>
              <w:rPr>
                <w:rFonts w:ascii="Calibri" w:hAnsi="Calibri"/>
                <w:b/>
                <w:color w:val="1A365D"/>
                <w:sz w:val="20"/>
              </w:rPr>
              <w:t>RELATED_CASE_LAW:</w:t>
            </w:r>
            <w:r>
              <w:rPr>
                <w:rFonts w:ascii="Calibri" w:hAnsi="Calibri"/>
                <w:color w:val="2D3748"/>
                <w:sz w:val="20"/>
              </w:rPr>
              <w:t xml:space="preserve"> Rakesh Ranjan Shrivastava v. State of Jharkhand (2024) 4 SCC 419 / 2024 INSC 205; Surinder Singh Deswal v. Virender Gandhi (2019) 11 SCC 341.</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w:t>
            </w:r>
          </w:p>
          <w:p>
            <w:pPr>
              <w:spacing w:before="60" w:after="60" w:line="276" w:lineRule="auto"/>
              <w:ind w:left="173" w:right="173"/>
            </w:pPr>
            <w:r>
              <w:rPr>
                <w:rFonts w:ascii="Calibri" w:hAnsi="Calibri"/>
                <w:b/>
                <w:color w:val="1A365D"/>
                <w:sz w:val="20"/>
              </w:rPr>
              <w:t>EFFECTIVE_FROM:</w:t>
            </w:r>
            <w:r>
              <w:rPr>
                <w:rFonts w:ascii="Calibri" w:hAnsi="Calibri"/>
                <w:color w:val="2D3748"/>
                <w:sz w:val="20"/>
              </w:rPr>
              <w:t xml:space="preserve"> 2024-03-15 (Affirmed in Rakesh Ranjan Shrivastava)</w:t>
            </w:r>
          </w:p>
          <w:p>
            <w:pPr>
              <w:spacing w:before="60" w:after="60" w:line="276" w:lineRule="auto"/>
              <w:ind w:left="173" w:right="173"/>
            </w:pPr>
            <w:r>
              <w:rPr>
                <w:rFonts w:ascii="Calibri" w:hAnsi="Calibri"/>
                <w:b/>
                <w:color w:val="1A365D"/>
                <w:sz w:val="20"/>
              </w:rPr>
              <w:t>EFFECTIVE_TO:</w:t>
            </w:r>
            <w:r>
              <w:rPr>
                <w:rFonts w:ascii="Calibri" w:hAnsi="Calibri"/>
                <w:color w:val="2D3748"/>
                <w:sz w:val="20"/>
              </w:rPr>
              <w:t xml:space="preserve"> Open</w:t>
            </w:r>
          </w:p>
          <w:p>
            <w:pPr>
              <w:spacing w:before="60" w:after="60" w:line="276" w:lineRule="auto"/>
              <w:ind w:left="173" w:right="173"/>
            </w:pPr>
            <w:r>
              <w:rPr>
                <w:rFonts w:ascii="Calibri" w:hAnsi="Calibri"/>
                <w:b/>
                <w:color w:val="1A365D"/>
                <w:sz w:val="20"/>
              </w:rPr>
              <w:t>HISTORICAL_APPLICABILITY:</w:t>
            </w:r>
            <w:r>
              <w:rPr>
                <w:rFonts w:ascii="Calibri" w:hAnsi="Calibri"/>
                <w:color w:val="2D3748"/>
                <w:sz w:val="20"/>
              </w:rPr>
              <w:t xml:space="preserve"> Section 143A inserted by Act 20 of 2018 with effect from 01.09.2018; confirmed as discretionary in March 2024.</w:t>
            </w:r>
          </w:p>
          <w:p>
            <w:pPr>
              <w:spacing w:before="60" w:after="60" w:line="276" w:lineRule="auto"/>
              <w:ind w:left="173" w:right="173"/>
            </w:pPr>
            <w:r>
              <w:rPr>
                <w:rFonts w:ascii="Calibri" w:hAnsi="Calibri"/>
                <w:b/>
                <w:color w:val="1A365D"/>
                <w:sz w:val="20"/>
              </w:rPr>
              <w:t>OFFICIAL_SOURCE_NAME:</w:t>
            </w:r>
            <w:r>
              <w:rPr>
                <w:rFonts w:ascii="Calibri" w:hAnsi="Calibri"/>
                <w:color w:val="2D3748"/>
                <w:sz w:val="20"/>
              </w:rPr>
              <w:t xml:space="preserve"> Supreme Court of India Judgment Portal</w:t>
            </w:r>
          </w:p>
          <w:p>
            <w:pPr>
              <w:spacing w:before="60" w:after="60" w:line="276" w:lineRule="auto"/>
              <w:ind w:left="173" w:right="173"/>
            </w:pPr>
            <w:r>
              <w:rPr>
                <w:rFonts w:ascii="Calibri" w:hAnsi="Calibri"/>
                <w:b/>
                <w:color w:val="1A365D"/>
                <w:sz w:val="20"/>
              </w:rPr>
              <w:t>OFFICIAL_SOURCE_URL:</w:t>
            </w:r>
            <w:r>
              <w:rPr>
                <w:rFonts w:ascii="Calibri" w:hAnsi="Calibri"/>
                <w:color w:val="2D3748"/>
                <w:sz w:val="20"/>
              </w:rPr>
              <w:t xml:space="preserve"> https://main.sci.gov.in/judgments</w:t>
            </w:r>
          </w:p>
          <w:p>
            <w:pPr>
              <w:spacing w:before="60" w:after="60" w:line="276" w:lineRule="auto"/>
              <w:ind w:left="173" w:right="173"/>
            </w:pPr>
            <w:r>
              <w:rPr>
                <w:rFonts w:ascii="Calibri" w:hAnsi="Calibri"/>
                <w:b/>
                <w:color w:val="1A365D"/>
                <w:sz w:val="20"/>
              </w:rPr>
              <w:t>OFFICIAL_IDENTIFIER:</w:t>
            </w:r>
            <w:r>
              <w:rPr>
                <w:rFonts w:ascii="Calibri" w:hAnsi="Calibri"/>
                <w:color w:val="2D3748"/>
                <w:sz w:val="20"/>
              </w:rPr>
              <w:t xml:space="preserve"> 2024 INSC 205</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2024 INSC 205; (2024) 4 SCC 419</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Negotiable Instruments Act, Section 138, Section 143A, Section 148, interim compensation, discretionary, cheque bounce, Rakesh Ranjan</w:t>
            </w:r>
          </w:p>
          <w:p>
            <w:pPr>
              <w:spacing w:before="60" w:after="60" w:line="276" w:lineRule="auto"/>
              <w:ind w:left="173" w:right="173"/>
            </w:pPr>
            <w:r>
              <w:rPr>
                <w:rFonts w:ascii="Calibri" w:hAnsi="Calibri"/>
                <w:b/>
                <w:color w:val="1A365D"/>
                <w:sz w:val="20"/>
              </w:rPr>
              <w:t>VERSION:</w:t>
            </w:r>
            <w:r>
              <w:rPr>
                <w:rFonts w:ascii="Calibri" w:hAnsi="Calibri"/>
                <w:color w:val="2D3748"/>
                <w:sz w:val="20"/>
              </w:rPr>
              <w:t xml:space="preserve"> 2.1</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Record: IND-COMM-CPA001-V2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DOCUMENT_ID:</w:t>
            </w:r>
            <w:r>
              <w:rPr>
                <w:rFonts w:ascii="Calibri" w:hAnsi="Calibri"/>
                <w:color w:val="2D3748"/>
                <w:sz w:val="20"/>
              </w:rPr>
              <w:t xml:space="preserve"> IND-COMM-CPA001-V2</w:t>
            </w:r>
          </w:p>
          <w:p>
            <w:pPr>
              <w:spacing w:before="60" w:after="60" w:line="276" w:lineRule="auto"/>
              <w:ind w:left="173" w:right="173"/>
            </w:pPr>
            <w:r>
              <w:rPr>
                <w:rFonts w:ascii="Calibri" w:hAnsi="Calibri"/>
                <w:b/>
                <w:color w:val="1A365D"/>
                <w:sz w:val="20"/>
              </w:rPr>
              <w:t>TITLE:</w:t>
            </w:r>
            <w:r>
              <w:rPr>
                <w:rFonts w:ascii="Calibri" w:hAnsi="Calibri"/>
                <w:color w:val="2D3748"/>
                <w:sz w:val="20"/>
              </w:rPr>
              <w:t xml:space="preserve"> Consumer Forum Pecuniary Jurisdiction: Consideration-Paid Standard and Operative Subordinate Rules</w:t>
            </w:r>
          </w:p>
          <w:p>
            <w:pPr>
              <w:spacing w:before="60" w:after="60" w:line="276" w:lineRule="auto"/>
              <w:ind w:left="173" w:right="173"/>
            </w:pPr>
            <w:r>
              <w:rPr>
                <w:rFonts w:ascii="Calibri" w:hAnsi="Calibri"/>
                <w:b/>
                <w:color w:val="1A365D"/>
                <w:sz w:val="20"/>
              </w:rPr>
              <w:t>LEGAL_AREA:</w:t>
            </w:r>
            <w:r>
              <w:rPr>
                <w:rFonts w:ascii="Calibri" w:hAnsi="Calibri"/>
                <w:color w:val="2D3748"/>
                <w:sz w:val="20"/>
              </w:rPr>
              <w:t xml:space="preserve"> Consumer Protection Law</w:t>
            </w:r>
          </w:p>
          <w:p>
            <w:pPr>
              <w:spacing w:before="60" w:after="60" w:line="276" w:lineRule="auto"/>
              <w:ind w:left="173" w:right="173"/>
            </w:pPr>
            <w:r>
              <w:rPr>
                <w:rFonts w:ascii="Calibri" w:hAnsi="Calibri"/>
                <w:b/>
                <w:color w:val="1A365D"/>
                <w:sz w:val="20"/>
              </w:rPr>
              <w:t>SUB_AREA:</w:t>
            </w:r>
            <w:r>
              <w:rPr>
                <w:rFonts w:ascii="Calibri" w:hAnsi="Calibri"/>
                <w:color w:val="2D3748"/>
                <w:sz w:val="20"/>
              </w:rPr>
              <w:t xml:space="preserve"> Consumer Disputes Redressal Commissions</w:t>
            </w:r>
          </w:p>
          <w:p>
            <w:pPr>
              <w:spacing w:before="60" w:after="60" w:line="276" w:lineRule="auto"/>
              <w:ind w:left="173" w:right="173"/>
            </w:pPr>
            <w:r>
              <w:rPr>
                <w:rFonts w:ascii="Calibri" w:hAnsi="Calibri"/>
                <w:b/>
                <w:color w:val="1A365D"/>
                <w:sz w:val="20"/>
              </w:rPr>
              <w:t>SOURCE_TYPE:</w:t>
            </w:r>
            <w:r>
              <w:rPr>
                <w:rFonts w:ascii="Calibri" w:hAnsi="Calibri"/>
                <w:color w:val="2D3748"/>
                <w:sz w:val="20"/>
              </w:rPr>
              <w:t xml:space="preserve"> Central Statute &amp; Subordinate Legislation</w:t>
            </w:r>
          </w:p>
          <w:p>
            <w:pPr>
              <w:spacing w:before="60" w:after="60" w:line="276" w:lineRule="auto"/>
              <w:ind w:left="173" w:right="173"/>
            </w:pPr>
            <w:r>
              <w:rPr>
                <w:rFonts w:ascii="Calibri" w:hAnsi="Calibri"/>
                <w:b/>
                <w:color w:val="1A365D"/>
                <w:sz w:val="20"/>
              </w:rPr>
              <w:t>AUTHORITY_LEVEL:</w:t>
            </w:r>
            <w:r>
              <w:rPr>
                <w:rFonts w:ascii="Calibri" w:hAnsi="Calibri"/>
                <w:color w:val="2D3748"/>
                <w:sz w:val="20"/>
              </w:rPr>
              <w:t xml:space="preserve"> Level 1 - Primary Delegated</w:t>
            </w:r>
          </w:p>
          <w:p>
            <w:pPr>
              <w:spacing w:before="60" w:after="60" w:line="276" w:lineRule="auto"/>
              <w:ind w:left="173" w:right="173"/>
            </w:pPr>
            <w:r>
              <w:rPr>
                <w:rFonts w:ascii="Calibri" w:hAnsi="Calibri"/>
                <w:b/>
                <w:color w:val="1A365D"/>
                <w:sz w:val="20"/>
              </w:rPr>
              <w:t>JURISDICTION:</w:t>
            </w:r>
            <w:r>
              <w:rPr>
                <w:rFonts w:ascii="Calibri" w:hAnsi="Calibri"/>
                <w:color w:val="2D3748"/>
                <w:sz w:val="20"/>
              </w:rPr>
              <w:t xml:space="preserve"> Union of India</w:t>
            </w:r>
          </w:p>
          <w:p>
            <w:pPr>
              <w:spacing w:before="60" w:after="60" w:line="276" w:lineRule="auto"/>
              <w:ind w:left="173" w:right="173"/>
            </w:pPr>
            <w:r>
              <w:rPr>
                <w:rFonts w:ascii="Calibri" w:hAnsi="Calibri"/>
                <w:b/>
                <w:color w:val="1A365D"/>
                <w:sz w:val="20"/>
              </w:rPr>
              <w:t>STATE_OR_UT:</w:t>
            </w:r>
            <w:r>
              <w:rPr>
                <w:rFonts w:ascii="Calibri" w:hAnsi="Calibri"/>
                <w:color w:val="2D3748"/>
                <w:sz w:val="20"/>
              </w:rPr>
              <w:t xml:space="preserve"> All States and Union Territories</w:t>
            </w:r>
          </w:p>
          <w:p>
            <w:pPr>
              <w:spacing w:before="60" w:after="60" w:line="276" w:lineRule="auto"/>
              <w:ind w:left="173" w:right="173"/>
            </w:pPr>
            <w:r>
              <w:rPr>
                <w:rFonts w:ascii="Calibri" w:hAnsi="Calibri"/>
                <w:b/>
                <w:color w:val="1A365D"/>
                <w:sz w:val="20"/>
              </w:rPr>
              <w:t>COURT_OR_AUTHORITY:</w:t>
            </w:r>
            <w:r>
              <w:rPr>
                <w:rFonts w:ascii="Calibri" w:hAnsi="Calibri"/>
                <w:color w:val="2D3748"/>
                <w:sz w:val="20"/>
              </w:rPr>
              <w:t xml:space="preserve"> District / State / National Consumer Disputes Redressal Commissions</w:t>
            </w:r>
          </w:p>
          <w:p>
            <w:pPr>
              <w:spacing w:before="60" w:after="60" w:line="276" w:lineRule="auto"/>
              <w:ind w:left="173" w:right="173"/>
            </w:pPr>
            <w:r>
              <w:rPr>
                <w:rFonts w:ascii="Calibri" w:hAnsi="Calibri"/>
                <w:b/>
                <w:color w:val="1A365D"/>
                <w:sz w:val="20"/>
              </w:rPr>
              <w:t>STATUTE:</w:t>
            </w:r>
            <w:r>
              <w:rPr>
                <w:rFonts w:ascii="Calibri" w:hAnsi="Calibri"/>
                <w:color w:val="2D3748"/>
                <w:sz w:val="20"/>
              </w:rPr>
              <w:t xml:space="preserve"> Consumer Protection Act, 2019</w:t>
            </w:r>
          </w:p>
          <w:p>
            <w:pPr>
              <w:spacing w:before="60" w:after="60" w:line="276" w:lineRule="auto"/>
              <w:ind w:left="173" w:right="173"/>
            </w:pPr>
            <w:r>
              <w:rPr>
                <w:rFonts w:ascii="Calibri" w:hAnsi="Calibri"/>
                <w:b/>
                <w:color w:val="1A365D"/>
                <w:sz w:val="20"/>
              </w:rPr>
              <w:t>ARTICLE: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SECTION:</w:t>
            </w:r>
            <w:r>
              <w:rPr>
                <w:rFonts w:ascii="Calibri" w:hAnsi="Calibri"/>
                <w:color w:val="2D3748"/>
                <w:sz w:val="20"/>
              </w:rPr>
              <w:t xml:space="preserve"> Sections 34, 47, 58</w:t>
            </w:r>
          </w:p>
          <w:p>
            <w:pPr>
              <w:spacing w:before="60" w:after="60" w:line="276" w:lineRule="auto"/>
              <w:ind w:left="173" w:right="173"/>
            </w:pPr>
            <w:r>
              <w:rPr>
                <w:rFonts w:ascii="Calibri" w:hAnsi="Calibri"/>
                <w:b/>
                <w:color w:val="1A365D"/>
                <w:sz w:val="20"/>
              </w:rPr>
              <w:t>RULE:</w:t>
            </w:r>
            <w:r>
              <w:rPr>
                <w:rFonts w:ascii="Calibri" w:hAnsi="Calibri"/>
                <w:color w:val="2D3748"/>
                <w:sz w:val="20"/>
              </w:rPr>
              <w:t xml:space="preserve"> Consumer Protection (Jurisdiction of the District Commission, the State Commission and the National Commission) Rules, 2021</w:t>
            </w:r>
          </w:p>
          <w:p>
            <w:pPr>
              <w:spacing w:before="60" w:after="60" w:line="276" w:lineRule="auto"/>
              <w:ind w:left="173" w:right="173"/>
            </w:pPr>
            <w:r>
              <w:rPr>
                <w:rFonts w:ascii="Calibri" w:hAnsi="Calibri"/>
                <w:b/>
                <w:color w:val="1A365D"/>
                <w:sz w:val="20"/>
              </w:rPr>
              <w:t>LEGAL_PROPOSITION:</w:t>
            </w:r>
            <w:r>
              <w:rPr>
                <w:rFonts w:ascii="Calibri" w:hAnsi="Calibri"/>
                <w:color w:val="2D3748"/>
                <w:sz w:val="20"/>
              </w:rPr>
              <w:t xml:space="preserve"> Under the applicable 2021 Rules as operative for the relevant period, consumer commission pecuniary jurisdiction is determined strictly by the actual value of consideration paid for goods or services: District Commission up to ₹50 Lakhs; State Commission above ₹50 Lakhs up to ₹2 Crores; National Commission (NCDRC) above ₹2 Crores.</w:t>
            </w:r>
          </w:p>
          <w:p>
            <w:pPr>
              <w:spacing w:before="60" w:after="60" w:line="276" w:lineRule="auto"/>
              <w:ind w:left="173" w:right="173"/>
            </w:pPr>
            <w:r>
              <w:rPr>
                <w:rFonts w:ascii="Calibri" w:hAnsi="Calibri"/>
                <w:b/>
                <w:color w:val="1A365D"/>
                <w:sz w:val="20"/>
              </w:rPr>
              <w:t>SIMPLE_EXPLANATION:</w:t>
            </w:r>
            <w:r>
              <w:rPr>
                <w:rFonts w:ascii="Calibri" w:hAnsi="Calibri"/>
                <w:color w:val="2D3748"/>
                <w:sz w:val="20"/>
              </w:rPr>
              <w:t xml:space="preserve"> Pecuniary jurisdiction is calculated exclusively on the actual consideration money paid, eliminating the repealed 1986 Act practice of artificially inflating jurisdiction by adding compensation claims.</w:t>
            </w:r>
          </w:p>
          <w:p>
            <w:pPr>
              <w:spacing w:before="60" w:after="60" w:line="276" w:lineRule="auto"/>
              <w:ind w:left="173" w:right="173"/>
            </w:pPr>
            <w:r>
              <w:rPr>
                <w:rFonts w:ascii="Calibri" w:hAnsi="Calibri"/>
                <w:b/>
                <w:color w:val="1A365D"/>
                <w:sz w:val="20"/>
              </w:rPr>
              <w:t>APPLICATION / WHEN RELEVANT:</w:t>
            </w:r>
            <w:r>
              <w:rPr>
                <w:rFonts w:ascii="Calibri" w:hAnsi="Calibri"/>
                <w:color w:val="2D3748"/>
                <w:sz w:val="20"/>
              </w:rPr>
              <w:t xml:space="preserve"> Determining the correct consumer forum at the time of filing and challenging complaints filed before higher commissions based on inflated damages.</w:t>
            </w:r>
          </w:p>
          <w:p>
            <w:pPr>
              <w:spacing w:before="60" w:after="60" w:line="276" w:lineRule="auto"/>
              <w:ind w:left="173" w:right="173"/>
            </w:pPr>
            <w:r>
              <w:rPr>
                <w:rFonts w:ascii="Calibri" w:hAnsi="Calibri"/>
                <w:b/>
                <w:color w:val="1A365D"/>
                <w:sz w:val="20"/>
              </w:rPr>
              <w:t>EXCEPTIONS / LIMITATIONS:</w:t>
            </w:r>
            <w:r>
              <w:rPr>
                <w:rFonts w:ascii="Calibri" w:hAnsi="Calibri"/>
                <w:color w:val="2D3748"/>
                <w:sz w:val="20"/>
              </w:rPr>
              <w:t xml:space="preserve"> Class action consumer complaints under Section 35(1)(c) where aggregate consideration paid governs. Monetary limits are rule-dependent and subject to future gazette revisions by the Central Government.</w:t>
            </w:r>
          </w:p>
          <w:p>
            <w:pPr>
              <w:spacing w:before="60" w:after="60" w:line="276" w:lineRule="auto"/>
              <w:ind w:left="173" w:right="173"/>
            </w:pPr>
            <w:r>
              <w:rPr>
                <w:rFonts w:ascii="Calibri" w:hAnsi="Calibri"/>
                <w:b/>
                <w:color w:val="1A365D"/>
                <w:sz w:val="20"/>
              </w:rPr>
              <w:t>IMPORTANT_QUALIFICATIONS:</w:t>
            </w:r>
            <w:r>
              <w:rPr>
                <w:rFonts w:ascii="Calibri" w:hAnsi="Calibri"/>
                <w:color w:val="2D3748"/>
                <w:sz w:val="20"/>
              </w:rPr>
              <w:t xml:space="preserve"> Notification G.S.R. 883(E) dated December 30, 2021 superseded the higher baseline limits originally enacted in the 2019 Act (which had specified District up to 1 Cr, State up to 10 Cr).</w:t>
            </w:r>
          </w:p>
          <w:p>
            <w:pPr>
              <w:spacing w:before="60" w:after="60" w:line="276" w:lineRule="auto"/>
              <w:ind w:left="173" w:right="173"/>
            </w:pPr>
            <w:r>
              <w:rPr>
                <w:rFonts w:ascii="Calibri" w:hAnsi="Calibri"/>
                <w:b/>
                <w:color w:val="1A365D"/>
                <w:sz w:val="20"/>
              </w:rPr>
              <w:t>RELATED_PROVISIONS:</w:t>
            </w:r>
            <w:r>
              <w:rPr>
                <w:rFonts w:ascii="Calibri" w:hAnsi="Calibri"/>
                <w:color w:val="2D3748"/>
                <w:sz w:val="20"/>
              </w:rPr>
              <w:t xml:space="preserve"> Consumer Protection Act, 2019 Sections 2(7), 35, 47, 58.</w:t>
            </w:r>
          </w:p>
          <w:p>
            <w:pPr>
              <w:spacing w:before="60" w:after="60" w:line="276" w:lineRule="auto"/>
              <w:ind w:left="173" w:right="173"/>
            </w:pPr>
            <w:r>
              <w:rPr>
                <w:rFonts w:ascii="Calibri" w:hAnsi="Calibri"/>
                <w:b/>
                <w:color w:val="1A365D"/>
                <w:sz w:val="20"/>
              </w:rPr>
              <w:t>RELATED_CASE_LAW:</w:t>
            </w:r>
            <w:r>
              <w:rPr>
                <w:rFonts w:ascii="Calibri" w:hAnsi="Calibri"/>
                <w:color w:val="2D3748"/>
                <w:sz w:val="20"/>
              </w:rPr>
              <w:t xml:space="preserve"> Neena Aneja v. Jai Prakash Associates Ltd. (2022) 2 SCC 161.</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 / AMENDED LAW</w:t>
            </w:r>
          </w:p>
          <w:p>
            <w:pPr>
              <w:spacing w:before="60" w:after="60" w:line="276" w:lineRule="auto"/>
              <w:ind w:left="173" w:right="173"/>
            </w:pPr>
            <w:r>
              <w:rPr>
                <w:rFonts w:ascii="Calibri" w:hAnsi="Calibri"/>
                <w:b/>
                <w:color w:val="1A365D"/>
                <w:sz w:val="20"/>
              </w:rPr>
              <w:t>EFFECTIVE_FROM:</w:t>
            </w:r>
            <w:r>
              <w:rPr>
                <w:rFonts w:ascii="Calibri" w:hAnsi="Calibri"/>
                <w:color w:val="2D3748"/>
                <w:sz w:val="20"/>
              </w:rPr>
              <w:t xml:space="preserve"> 2021-12-30 (Notification G.S.R. 883(E))</w:t>
            </w:r>
          </w:p>
          <w:p>
            <w:pPr>
              <w:spacing w:before="60" w:after="60" w:line="276" w:lineRule="auto"/>
              <w:ind w:left="173" w:right="173"/>
            </w:pPr>
            <w:r>
              <w:rPr>
                <w:rFonts w:ascii="Calibri" w:hAnsi="Calibri"/>
                <w:b/>
                <w:color w:val="1A365D"/>
                <w:sz w:val="20"/>
              </w:rPr>
              <w:t>EFFECTIVE_TO:</w:t>
            </w:r>
            <w:r>
              <w:rPr>
                <w:rFonts w:ascii="Calibri" w:hAnsi="Calibri"/>
                <w:color w:val="2D3748"/>
                <w:sz w:val="20"/>
              </w:rPr>
              <w:t xml:space="preserve"> Open</w:t>
            </w:r>
          </w:p>
          <w:p>
            <w:pPr>
              <w:spacing w:before="60" w:after="60" w:line="276" w:lineRule="auto"/>
              <w:ind w:left="173" w:right="173"/>
            </w:pPr>
            <w:r>
              <w:rPr>
                <w:rFonts w:ascii="Calibri" w:hAnsi="Calibri"/>
                <w:b/>
                <w:color w:val="1A365D"/>
                <w:sz w:val="20"/>
              </w:rPr>
              <w:t>HISTORICAL_APPLICABILITY:</w:t>
            </w:r>
            <w:r>
              <w:rPr>
                <w:rFonts w:ascii="Calibri" w:hAnsi="Calibri"/>
                <w:color w:val="2D3748"/>
                <w:sz w:val="20"/>
              </w:rPr>
              <w:t xml:space="preserve"> 2019 Act baseline limits operated from 20.07.2020 until modified by G.S.R. 883(E) on 30.12.2021.</w:t>
            </w:r>
          </w:p>
          <w:p>
            <w:pPr>
              <w:spacing w:before="60" w:after="60" w:line="276" w:lineRule="auto"/>
              <w:ind w:left="173" w:right="173"/>
            </w:pPr>
            <w:r>
              <w:rPr>
                <w:rFonts w:ascii="Calibri" w:hAnsi="Calibri"/>
                <w:b/>
                <w:color w:val="1A365D"/>
                <w:sz w:val="20"/>
              </w:rPr>
              <w:t>OFFICIAL_SOURCE_NAME:</w:t>
            </w:r>
            <w:r>
              <w:rPr>
                <w:rFonts w:ascii="Calibri" w:hAnsi="Calibri"/>
                <w:color w:val="2D3748"/>
                <w:sz w:val="20"/>
              </w:rPr>
              <w:t xml:space="preserve"> Ministry of Consumer Affairs, Food and Public Distribution</w:t>
            </w:r>
          </w:p>
          <w:p>
            <w:pPr>
              <w:spacing w:before="60" w:after="60" w:line="276" w:lineRule="auto"/>
              <w:ind w:left="173" w:right="173"/>
            </w:pPr>
            <w:r>
              <w:rPr>
                <w:rFonts w:ascii="Calibri" w:hAnsi="Calibri"/>
                <w:b/>
                <w:color w:val="1A365D"/>
                <w:sz w:val="20"/>
              </w:rPr>
              <w:t>OFFICIAL_SOURCE_URL:</w:t>
            </w:r>
            <w:r>
              <w:rPr>
                <w:rFonts w:ascii="Calibri" w:hAnsi="Calibri"/>
                <w:color w:val="2D3748"/>
                <w:sz w:val="20"/>
              </w:rPr>
              <w:t xml:space="preserve"> https://consumeraffairs.nic.in</w:t>
            </w:r>
          </w:p>
          <w:p>
            <w:pPr>
              <w:spacing w:before="60" w:after="60" w:line="276" w:lineRule="auto"/>
              <w:ind w:left="173" w:right="173"/>
            </w:pPr>
            <w:r>
              <w:rPr>
                <w:rFonts w:ascii="Calibri" w:hAnsi="Calibri"/>
                <w:b/>
                <w:color w:val="1A365D"/>
                <w:sz w:val="20"/>
              </w:rPr>
              <w:t>OFFICIAL_IDENTIFIER:</w:t>
            </w:r>
            <w:r>
              <w:rPr>
                <w:rFonts w:ascii="Calibri" w:hAnsi="Calibri"/>
                <w:color w:val="2D3748"/>
                <w:sz w:val="20"/>
              </w:rPr>
              <w:t xml:space="preserve"> G.S.R. 883(E)</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CPA 2019, Pecuniary Rules 2021, G.S.R. 883(E)</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Consumer Protection Act 2019, pecuniary jurisdiction, 2021 Rules, consideration paid, District Commission, NCDRC, G.S.R. 883(E)</w:t>
            </w:r>
          </w:p>
          <w:p>
            <w:pPr>
              <w:spacing w:before="60" w:after="60" w:line="276" w:lineRule="auto"/>
              <w:ind w:left="173" w:right="173"/>
            </w:pPr>
            <w:r>
              <w:rPr>
                <w:rFonts w:ascii="Calibri" w:hAnsi="Calibri"/>
                <w:b/>
                <w:color w:val="1A365D"/>
                <w:sz w:val="20"/>
              </w:rPr>
              <w:t>VERSION:</w:t>
            </w:r>
            <w:r>
              <w:rPr>
                <w:rFonts w:ascii="Calibri" w:hAnsi="Calibri"/>
                <w:color w:val="2D3748"/>
                <w:sz w:val="20"/>
              </w:rPr>
              <w:t xml:space="preserve"> 2.1</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Record: IND-LAB-STATUS-V2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DOCUMENT_ID:</w:t>
            </w:r>
            <w:r>
              <w:rPr>
                <w:rFonts w:ascii="Calibri" w:hAnsi="Calibri"/>
                <w:color w:val="2D3748"/>
                <w:sz w:val="20"/>
              </w:rPr>
              <w:t xml:space="preserve"> IND-LAB-STATUS-V2</w:t>
            </w:r>
          </w:p>
          <w:p>
            <w:pPr>
              <w:spacing w:before="60" w:after="60" w:line="276" w:lineRule="auto"/>
              <w:ind w:left="173" w:right="173"/>
            </w:pPr>
            <w:r>
              <w:rPr>
                <w:rFonts w:ascii="Calibri" w:hAnsi="Calibri"/>
                <w:b/>
                <w:color w:val="1A365D"/>
                <w:sz w:val="20"/>
              </w:rPr>
              <w:t>TITLE:</w:t>
            </w:r>
            <w:r>
              <w:rPr>
                <w:rFonts w:ascii="Calibri" w:hAnsi="Calibri"/>
                <w:color w:val="2D3748"/>
                <w:sz w:val="20"/>
              </w:rPr>
              <w:t xml:space="preserve"> Labour Law Modernization: Central Labour Codes Implementation, Rulemaking Framework, and Transitional Savings</w:t>
            </w:r>
          </w:p>
          <w:p>
            <w:pPr>
              <w:spacing w:before="60" w:after="60" w:line="276" w:lineRule="auto"/>
              <w:ind w:left="173" w:right="173"/>
            </w:pPr>
            <w:r>
              <w:rPr>
                <w:rFonts w:ascii="Calibri" w:hAnsi="Calibri"/>
                <w:b/>
                <w:color w:val="1A365D"/>
                <w:sz w:val="20"/>
              </w:rPr>
              <w:t>LEGAL_AREA:</w:t>
            </w:r>
            <w:r>
              <w:rPr>
                <w:rFonts w:ascii="Calibri" w:hAnsi="Calibri"/>
                <w:color w:val="2D3748"/>
                <w:sz w:val="20"/>
              </w:rPr>
              <w:t xml:space="preserve"> Labour &amp; Employment Law</w:t>
            </w:r>
          </w:p>
          <w:p>
            <w:pPr>
              <w:spacing w:before="60" w:after="60" w:line="276" w:lineRule="auto"/>
              <w:ind w:left="173" w:right="173"/>
            </w:pPr>
            <w:r>
              <w:rPr>
                <w:rFonts w:ascii="Calibri" w:hAnsi="Calibri"/>
                <w:b/>
                <w:color w:val="1A365D"/>
                <w:sz w:val="20"/>
              </w:rPr>
              <w:t>SUB_AREA:</w:t>
            </w:r>
            <w:r>
              <w:rPr>
                <w:rFonts w:ascii="Calibri" w:hAnsi="Calibri"/>
                <w:color w:val="2D3748"/>
                <w:sz w:val="20"/>
              </w:rPr>
              <w:t xml:space="preserve"> Statutory Labour Framework Modernization &amp; Transitional Jurisprudence</w:t>
            </w:r>
          </w:p>
          <w:p>
            <w:pPr>
              <w:spacing w:before="60" w:after="60" w:line="276" w:lineRule="auto"/>
              <w:ind w:left="173" w:right="173"/>
            </w:pPr>
            <w:r>
              <w:rPr>
                <w:rFonts w:ascii="Calibri" w:hAnsi="Calibri"/>
                <w:b/>
                <w:color w:val="1A365D"/>
                <w:sz w:val="20"/>
              </w:rPr>
              <w:t>SOURCE_TYPE:</w:t>
            </w:r>
            <w:r>
              <w:rPr>
                <w:rFonts w:ascii="Calibri" w:hAnsi="Calibri"/>
                <w:color w:val="2D3748"/>
                <w:sz w:val="20"/>
              </w:rPr>
              <w:t xml:space="preserve"> Central Statutes, Gazette Notifications &amp; Subordinate Rules</w:t>
            </w:r>
          </w:p>
          <w:p>
            <w:pPr>
              <w:spacing w:before="60" w:after="60" w:line="276" w:lineRule="auto"/>
              <w:ind w:left="173" w:right="173"/>
            </w:pPr>
            <w:r>
              <w:rPr>
                <w:rFonts w:ascii="Calibri" w:hAnsi="Calibri"/>
                <w:b/>
                <w:color w:val="1A365D"/>
                <w:sz w:val="20"/>
              </w:rPr>
              <w:t>AUTHORITY_LEVEL:</w:t>
            </w:r>
            <w:r>
              <w:rPr>
                <w:rFonts w:ascii="Calibri" w:hAnsi="Calibri"/>
                <w:color w:val="2D3748"/>
                <w:sz w:val="20"/>
              </w:rPr>
              <w:t xml:space="preserve"> Level 1 - Primary Statutory &amp; Delegated</w:t>
            </w:r>
          </w:p>
          <w:p>
            <w:pPr>
              <w:spacing w:before="60" w:after="60" w:line="276" w:lineRule="auto"/>
              <w:ind w:left="173" w:right="173"/>
            </w:pPr>
            <w:r>
              <w:rPr>
                <w:rFonts w:ascii="Calibri" w:hAnsi="Calibri"/>
                <w:b/>
                <w:color w:val="1A365D"/>
                <w:sz w:val="20"/>
              </w:rPr>
              <w:t>JURISDICTION:</w:t>
            </w:r>
            <w:r>
              <w:rPr>
                <w:rFonts w:ascii="Calibri" w:hAnsi="Calibri"/>
                <w:color w:val="2D3748"/>
                <w:sz w:val="20"/>
              </w:rPr>
              <w:t xml:space="preserve"> Union of India and Respective States / UTs</w:t>
            </w:r>
          </w:p>
          <w:p>
            <w:pPr>
              <w:spacing w:before="60" w:after="60" w:line="276" w:lineRule="auto"/>
              <w:ind w:left="173" w:right="173"/>
            </w:pPr>
            <w:r>
              <w:rPr>
                <w:rFonts w:ascii="Calibri" w:hAnsi="Calibri"/>
                <w:b/>
                <w:color w:val="1A365D"/>
                <w:sz w:val="20"/>
              </w:rPr>
              <w:t>STATE_OR_UT:</w:t>
            </w:r>
            <w:r>
              <w:rPr>
                <w:rFonts w:ascii="Calibri" w:hAnsi="Calibri"/>
                <w:color w:val="2D3748"/>
                <w:sz w:val="20"/>
              </w:rPr>
              <w:t xml:space="preserve"> All States and Union Territories</w:t>
            </w:r>
          </w:p>
          <w:p>
            <w:pPr>
              <w:spacing w:before="60" w:after="60" w:line="276" w:lineRule="auto"/>
              <w:ind w:left="173" w:right="173"/>
            </w:pPr>
            <w:r>
              <w:rPr>
                <w:rFonts w:ascii="Calibri" w:hAnsi="Calibri"/>
                <w:b/>
                <w:color w:val="1A365D"/>
                <w:sz w:val="20"/>
              </w:rPr>
              <w:t>COURT_OR_AUTHORITY:</w:t>
            </w:r>
            <w:r>
              <w:rPr>
                <w:rFonts w:ascii="Calibri" w:hAnsi="Calibri"/>
                <w:color w:val="2D3748"/>
                <w:sz w:val="20"/>
              </w:rPr>
              <w:t xml:space="preserve"> Labour Courts / Industrial Tribunals / High Courts / Central &amp; State Labour Authorities</w:t>
            </w:r>
          </w:p>
          <w:p>
            <w:pPr>
              <w:spacing w:before="60" w:after="60" w:line="276" w:lineRule="auto"/>
              <w:ind w:left="173" w:right="173"/>
            </w:pPr>
            <w:r>
              <w:rPr>
                <w:rFonts w:ascii="Calibri" w:hAnsi="Calibri"/>
                <w:b/>
                <w:color w:val="1A365D"/>
                <w:sz w:val="20"/>
              </w:rPr>
              <w:t>STATUTE:</w:t>
            </w:r>
            <w:r>
              <w:rPr>
                <w:rFonts w:ascii="Calibri" w:hAnsi="Calibri"/>
                <w:color w:val="2D3748"/>
                <w:sz w:val="20"/>
              </w:rPr>
              <w:t xml:space="preserve"> Code on Wages, 2019; Industrial Relations Code, 2020; Code on Social Security, 2020; Occupational Safety, Health and Working Conditions Code, 2020</w:t>
            </w:r>
          </w:p>
          <w:p>
            <w:pPr>
              <w:spacing w:before="60" w:after="60" w:line="276" w:lineRule="auto"/>
              <w:ind w:left="173" w:right="173"/>
            </w:pPr>
            <w:r>
              <w:rPr>
                <w:rFonts w:ascii="Calibri" w:hAnsi="Calibri"/>
                <w:b/>
                <w:color w:val="1A365D"/>
                <w:sz w:val="20"/>
              </w:rPr>
              <w:t>ARTICLE: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SECTION:</w:t>
            </w:r>
            <w:r>
              <w:rPr>
                <w:rFonts w:ascii="Calibri" w:hAnsi="Calibri"/>
                <w:color w:val="2D3748"/>
                <w:sz w:val="20"/>
              </w:rPr>
              <w:t xml:space="preserve"> Commencement Sections: Wage Code § 1(3), IR Code § 1(3), SS Code § 1(3), OSH Code § 1(3); Repeal and Savings Provisions</w:t>
            </w:r>
          </w:p>
          <w:p>
            <w:pPr>
              <w:spacing w:before="60" w:after="60" w:line="276" w:lineRule="auto"/>
              <w:ind w:left="173" w:right="173"/>
            </w:pPr>
            <w:r>
              <w:rPr>
                <w:rFonts w:ascii="Calibri" w:hAnsi="Calibri"/>
                <w:b/>
                <w:color w:val="1A365D"/>
                <w:sz w:val="20"/>
              </w:rPr>
              <w:t>RULE:</w:t>
            </w:r>
            <w:r>
              <w:rPr>
                <w:rFonts w:ascii="Calibri" w:hAnsi="Calibri"/>
                <w:color w:val="2D3748"/>
                <w:sz w:val="20"/>
              </w:rPr>
              <w:t xml:space="preserve"> Central Subordinate Rules &amp; Respective State/UT Subordinate Rules</w:t>
            </w:r>
          </w:p>
          <w:p>
            <w:pPr>
              <w:spacing w:before="60" w:after="60" w:line="276" w:lineRule="auto"/>
              <w:ind w:left="173" w:right="173"/>
            </w:pPr>
            <w:r>
              <w:rPr>
                <w:rFonts w:ascii="Calibri" w:hAnsi="Calibri"/>
                <w:b/>
                <w:color w:val="1A365D"/>
                <w:sz w:val="20"/>
              </w:rPr>
              <w:t>LEGAL_PROPOSITION:</w:t>
            </w:r>
            <w:r>
              <w:rPr>
                <w:rFonts w:ascii="Calibri" w:hAnsi="Calibri"/>
                <w:color w:val="2D3748"/>
                <w:sz w:val="20"/>
              </w:rPr>
              <w:t xml:space="preserve"> Pursuant to official announcements by the Ministry of Labour and Employment, the four Labour Codes—Code on Wages, 2019; Industrial Relations Code, 2020; Code on Social Security, 2020; and Occupational Safety, Health and Working Conditions Code, 2020—were notified for statutory implementation with effect from 21 November 2025. Implementation and applicability operate on a dual-track temporal model: the Codes constitute CURRENT LAW to the extent commenced and applicable pursuant to respective statutory notifications and finalized Central and State subordinate rules; while legacy statutes (including the Industrial Disputes Act, 1947; Payment of Gratuity Act, 1972; Factories Act, 1948) govern as HISTORICAL / TRANSITIONAL LAW for past liabilities, saved proceedings, and matters subject to statutory transitional arrangements.</w:t>
            </w:r>
          </w:p>
          <w:p>
            <w:pPr>
              <w:spacing w:before="60" w:after="60" w:line="276" w:lineRule="auto"/>
              <w:ind w:left="173" w:right="173"/>
            </w:pPr>
            <w:r>
              <w:rPr>
                <w:rFonts w:ascii="Calibri" w:hAnsi="Calibri"/>
                <w:b/>
                <w:color w:val="1A365D"/>
                <w:sz w:val="20"/>
              </w:rPr>
              <w:t>SIMPLE_EXPLANATION:</w:t>
            </w:r>
            <w:r>
              <w:rPr>
                <w:rFonts w:ascii="Calibri" w:hAnsi="Calibri"/>
                <w:color w:val="2D3748"/>
                <w:sz w:val="20"/>
              </w:rPr>
              <w:t xml:space="preserve"> The four Labour Codes represent active modern labour law effective 21 November 2025. However, implementation requires checking the exact Code, commencement notification, applicable Central rules, and specific State/UT rules, while legacy statutes continue to govern historical claims and transitional proceedings.</w:t>
            </w:r>
          </w:p>
          <w:p>
            <w:pPr>
              <w:spacing w:before="60" w:after="60" w:line="276" w:lineRule="auto"/>
              <w:ind w:left="173" w:right="173"/>
            </w:pPr>
            <w:r>
              <w:rPr>
                <w:rFonts w:ascii="Calibri" w:hAnsi="Calibri"/>
                <w:b/>
                <w:color w:val="1A365D"/>
                <w:sz w:val="20"/>
              </w:rPr>
              <w:t>APPLICATION / WHEN RELEVANT:</w:t>
            </w:r>
            <w:r>
              <w:rPr>
                <w:rFonts w:ascii="Calibri" w:hAnsi="Calibri"/>
                <w:color w:val="2D3748"/>
                <w:sz w:val="20"/>
              </w:rPr>
              <w:t xml:space="preserve"> Advising employers and trade unions on wage definitions, retrenchment and layoff approvals, standing orders, trade union recognition, social security schemes, gig/platform worker compliance, and workplace safety standards.</w:t>
            </w:r>
          </w:p>
          <w:p>
            <w:pPr>
              <w:spacing w:before="60" w:after="60" w:line="276" w:lineRule="auto"/>
              <w:ind w:left="173" w:right="173"/>
            </w:pPr>
            <w:r>
              <w:rPr>
                <w:rFonts w:ascii="Calibri" w:hAnsi="Calibri"/>
                <w:b/>
                <w:color w:val="1A365D"/>
                <w:sz w:val="20"/>
              </w:rPr>
              <w:t>EXCEPTIONS / LIMITATIONS:</w:t>
            </w:r>
            <w:r>
              <w:rPr>
                <w:rFonts w:ascii="Calibri" w:hAnsi="Calibri"/>
                <w:color w:val="2D3748"/>
                <w:sz w:val="20"/>
              </w:rPr>
              <w:t xml:space="preserve"> Implementation is not mechanically uniform across all jurisdictions or provisions: (i) Under Entry 22 of the Concurrent List, operational enforcement requires synchronized State/UT subordinate rules, with certain State variations in thresholds; (ii) Particular administrative schemes or specialized provisions operate on distinct gazette timelines; (iii) Legacy statutes continue to control past claims, pending disputes, and transitional arrangements under statutory savings clauses.</w:t>
            </w:r>
          </w:p>
          <w:p>
            <w:pPr>
              <w:spacing w:before="60" w:after="60" w:line="276" w:lineRule="auto"/>
              <w:ind w:left="173" w:right="173"/>
            </w:pPr>
            <w:r>
              <w:rPr>
                <w:rFonts w:ascii="Calibri" w:hAnsi="Calibri"/>
                <w:b/>
                <w:color w:val="1A365D"/>
                <w:sz w:val="20"/>
              </w:rPr>
              <w:t>IMPORTANT_QUALIFICATIONS:</w:t>
            </w:r>
            <w:r>
              <w:rPr>
                <w:rFonts w:ascii="Calibri" w:hAnsi="Calibri"/>
                <w:color w:val="2D3748"/>
                <w:sz w:val="20"/>
              </w:rPr>
              <w:t xml:space="preserve"> The system applies a temporal model: CURRENT LAW = Labour Codes to the extent commenced and applicable. HISTORICAL / TRANSITIONAL LAW = Legacy statutes where application is preserved for earlier periods or by savings/transitional provisions. Practitioners must verify applicability against the specific Code, commencement notification, Central Rules, and State-specific subordinate rules.</w:t>
            </w:r>
          </w:p>
          <w:p>
            <w:pPr>
              <w:spacing w:before="60" w:after="60" w:line="276" w:lineRule="auto"/>
              <w:ind w:left="173" w:right="173"/>
            </w:pPr>
            <w:r>
              <w:rPr>
                <w:rFonts w:ascii="Calibri" w:hAnsi="Calibri"/>
                <w:b/>
                <w:color w:val="1A365D"/>
                <w:sz w:val="20"/>
              </w:rPr>
              <w:t>RELATED_PROVISIONS:</w:t>
            </w:r>
            <w:r>
              <w:rPr>
                <w:rFonts w:ascii="Calibri" w:hAnsi="Calibri"/>
                <w:color w:val="2D3748"/>
                <w:sz w:val="20"/>
              </w:rPr>
              <w:t xml:space="preserve"> Industrial Disputes Act, 1947; Payment of Gratuity Act, 1972; Employees' Provident Funds Act, 1952; Contract Labour Act, 1970.</w:t>
            </w:r>
          </w:p>
          <w:p>
            <w:pPr>
              <w:spacing w:before="60" w:after="60" w:line="276" w:lineRule="auto"/>
              <w:ind w:left="173" w:right="173"/>
            </w:pPr>
            <w:r>
              <w:rPr>
                <w:rFonts w:ascii="Calibri" w:hAnsi="Calibri"/>
                <w:b/>
                <w:color w:val="1A365D"/>
                <w:sz w:val="20"/>
              </w:rPr>
              <w:t>RELATED_CASE_LAW:</w:t>
            </w:r>
            <w:r>
              <w:rPr>
                <w:rFonts w:ascii="Calibri" w:hAnsi="Calibri"/>
                <w:color w:val="2D3748"/>
                <w:sz w:val="20"/>
              </w:rPr>
              <w:t xml:space="preserve"> Bangalore Water Supply and Sewerage Board v. A. Rajappa (1978) 2 SCC 213; State of Punjab v. Labour Court Jullundur (1980) 1 SCC 4.</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 / TRANSITIONAL LAW</w:t>
            </w:r>
          </w:p>
          <w:p>
            <w:pPr>
              <w:spacing w:before="60" w:after="60" w:line="276" w:lineRule="auto"/>
              <w:ind w:left="173" w:right="173"/>
            </w:pPr>
            <w:r>
              <w:rPr>
                <w:rFonts w:ascii="Calibri" w:hAnsi="Calibri"/>
                <w:b/>
                <w:color w:val="1A365D"/>
                <w:sz w:val="20"/>
              </w:rPr>
              <w:t>EFFECTIVE_FROM:</w:t>
            </w:r>
            <w:r>
              <w:rPr>
                <w:rFonts w:ascii="Calibri" w:hAnsi="Calibri"/>
                <w:color w:val="2D3748"/>
                <w:sz w:val="20"/>
              </w:rPr>
              <w:t xml:space="preserve"> 2025-11-21 (Implemented via Ministry of Labour &amp; Employment Gazette Notifications)</w:t>
            </w:r>
          </w:p>
          <w:p>
            <w:pPr>
              <w:spacing w:before="60" w:after="60" w:line="276" w:lineRule="auto"/>
              <w:ind w:left="173" w:right="173"/>
            </w:pPr>
            <w:r>
              <w:rPr>
                <w:rFonts w:ascii="Calibri" w:hAnsi="Calibri"/>
                <w:b/>
                <w:color w:val="1A365D"/>
                <w:sz w:val="20"/>
              </w:rPr>
              <w:t>EFFECTIVE_TO:</w:t>
            </w:r>
            <w:r>
              <w:rPr>
                <w:rFonts w:ascii="Calibri" w:hAnsi="Calibri"/>
                <w:color w:val="2D3748"/>
                <w:sz w:val="20"/>
              </w:rPr>
              <w:t xml:space="preserve"> Open</w:t>
            </w:r>
          </w:p>
          <w:p>
            <w:pPr>
              <w:spacing w:before="60" w:after="60" w:line="276" w:lineRule="auto"/>
              <w:ind w:left="173" w:right="173"/>
            </w:pPr>
            <w:r>
              <w:rPr>
                <w:rFonts w:ascii="Calibri" w:hAnsi="Calibri"/>
                <w:b/>
                <w:color w:val="1A365D"/>
                <w:sz w:val="20"/>
              </w:rPr>
              <w:t>HISTORICAL_APPLICABILITY:</w:t>
            </w:r>
            <w:r>
              <w:rPr>
                <w:rFonts w:ascii="Calibri" w:hAnsi="Calibri"/>
                <w:color w:val="2D3748"/>
                <w:sz w:val="20"/>
              </w:rPr>
              <w:t xml:space="preserve"> The 29 legacy labour statutes govern employment actions, disputes, and accrued liabilities for periods prior to 21.11.2025 and continue to apply to saved and transitional proceedings.</w:t>
            </w:r>
          </w:p>
          <w:p>
            <w:pPr>
              <w:spacing w:before="60" w:after="60" w:line="276" w:lineRule="auto"/>
              <w:ind w:left="173" w:right="173"/>
            </w:pPr>
            <w:r>
              <w:rPr>
                <w:rFonts w:ascii="Calibri" w:hAnsi="Calibri"/>
                <w:b/>
                <w:color w:val="1A365D"/>
                <w:sz w:val="20"/>
              </w:rPr>
              <w:t>OFFICIAL_SOURCE_NAME:</w:t>
            </w:r>
            <w:r>
              <w:rPr>
                <w:rFonts w:ascii="Calibri" w:hAnsi="Calibri"/>
                <w:color w:val="2D3748"/>
                <w:sz w:val="20"/>
              </w:rPr>
              <w:t xml:space="preserve"> Ministry of Labour and Employment, Government of India / Gazette of India</w:t>
            </w:r>
          </w:p>
          <w:p>
            <w:pPr>
              <w:spacing w:before="60" w:after="60" w:line="276" w:lineRule="auto"/>
              <w:ind w:left="173" w:right="173"/>
            </w:pPr>
            <w:r>
              <w:rPr>
                <w:rFonts w:ascii="Calibri" w:hAnsi="Calibri"/>
                <w:b/>
                <w:color w:val="1A365D"/>
                <w:sz w:val="20"/>
              </w:rPr>
              <w:t>OFFICIAL_SOURCE_URL:</w:t>
            </w:r>
            <w:r>
              <w:rPr>
                <w:rFonts w:ascii="Calibri" w:hAnsi="Calibri"/>
                <w:color w:val="2D3748"/>
                <w:sz w:val="20"/>
              </w:rPr>
              <w:t xml:space="preserve"> https://labour.gov.in</w:t>
            </w:r>
          </w:p>
          <w:p>
            <w:pPr>
              <w:spacing w:before="60" w:after="60" w:line="276" w:lineRule="auto"/>
              <w:ind w:left="173" w:right="173"/>
            </w:pPr>
            <w:r>
              <w:rPr>
                <w:rFonts w:ascii="Calibri" w:hAnsi="Calibri"/>
                <w:b/>
                <w:color w:val="1A365D"/>
                <w:sz w:val="20"/>
              </w:rPr>
              <w:t>OFFICIAL_IDENTIFIER:</w:t>
            </w:r>
            <w:r>
              <w:rPr>
                <w:rFonts w:ascii="Calibri" w:hAnsi="Calibri"/>
                <w:color w:val="2D3748"/>
                <w:sz w:val="20"/>
              </w:rPr>
              <w:t xml:space="preserve"> Acts 29 of 2019, 35 of 2020, 36 of 2020, 37 of 2020</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Central Labour Codes (2019-2020) &amp; Implementation Notifications 2025</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Labour Codes, Code on Wages, Industrial Relations, Social Security, OSH Code, 21 November 2025, transitional savings, State Rules, Concurrent List</w:t>
            </w:r>
          </w:p>
          <w:p>
            <w:pPr>
              <w:spacing w:before="60" w:after="60" w:line="276" w:lineRule="auto"/>
              <w:ind w:left="173" w:right="173"/>
            </w:pPr>
            <w:r>
              <w:rPr>
                <w:rFonts w:ascii="Calibri" w:hAnsi="Calibri"/>
                <w:b/>
                <w:color w:val="1A365D"/>
                <w:sz w:val="20"/>
              </w:rPr>
              <w:t>VERSION:</w:t>
            </w:r>
            <w:r>
              <w:rPr>
                <w:rFonts w:ascii="Calibri" w:hAnsi="Calibri"/>
                <w:color w:val="2D3748"/>
                <w:sz w:val="20"/>
              </w:rPr>
              <w:t xml:space="preserve"> 2.1</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Record: IND-TECH-DPDP01-V2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DOCUMENT_ID:</w:t>
            </w:r>
            <w:r>
              <w:rPr>
                <w:rFonts w:ascii="Calibri" w:hAnsi="Calibri"/>
                <w:color w:val="2D3748"/>
                <w:sz w:val="20"/>
              </w:rPr>
              <w:t xml:space="preserve"> IND-TECH-DPDP01-V2</w:t>
            </w:r>
          </w:p>
          <w:p>
            <w:pPr>
              <w:spacing w:before="60" w:after="60" w:line="276" w:lineRule="auto"/>
              <w:ind w:left="173" w:right="173"/>
            </w:pPr>
            <w:r>
              <w:rPr>
                <w:rFonts w:ascii="Calibri" w:hAnsi="Calibri"/>
                <w:b/>
                <w:color w:val="1A365D"/>
                <w:sz w:val="20"/>
              </w:rPr>
              <w:t>TITLE:</w:t>
            </w:r>
            <w:r>
              <w:rPr>
                <w:rFonts w:ascii="Calibri" w:hAnsi="Calibri"/>
                <w:color w:val="2D3748"/>
                <w:sz w:val="20"/>
              </w:rPr>
              <w:t xml:space="preserve"> Digital Personal Data Protection: Statutory Framework, 2025 Subordinate Rules, and Staggered Commencement Timeline</w:t>
            </w:r>
          </w:p>
          <w:p>
            <w:pPr>
              <w:spacing w:before="60" w:after="60" w:line="276" w:lineRule="auto"/>
              <w:ind w:left="173" w:right="173"/>
            </w:pPr>
            <w:r>
              <w:rPr>
                <w:rFonts w:ascii="Calibri" w:hAnsi="Calibri"/>
                <w:b/>
                <w:color w:val="1A365D"/>
                <w:sz w:val="20"/>
              </w:rPr>
              <w:t>LEGAL_AREA:</w:t>
            </w:r>
            <w:r>
              <w:rPr>
                <w:rFonts w:ascii="Calibri" w:hAnsi="Calibri"/>
                <w:color w:val="2D3748"/>
                <w:sz w:val="20"/>
              </w:rPr>
              <w:t xml:space="preserve"> Technology &amp; Privacy Law</w:t>
            </w:r>
          </w:p>
          <w:p>
            <w:pPr>
              <w:spacing w:before="60" w:after="60" w:line="276" w:lineRule="auto"/>
              <w:ind w:left="173" w:right="173"/>
            </w:pPr>
            <w:r>
              <w:rPr>
                <w:rFonts w:ascii="Calibri" w:hAnsi="Calibri"/>
                <w:b/>
                <w:color w:val="1A365D"/>
                <w:sz w:val="20"/>
              </w:rPr>
              <w:t>SUB_AREA:</w:t>
            </w:r>
            <w:r>
              <w:rPr>
                <w:rFonts w:ascii="Calibri" w:hAnsi="Calibri"/>
                <w:color w:val="2D3748"/>
                <w:sz w:val="20"/>
              </w:rPr>
              <w:t xml:space="preserve"> Digital Personal Data Protection</w:t>
            </w:r>
          </w:p>
          <w:p>
            <w:pPr>
              <w:spacing w:before="60" w:after="60" w:line="276" w:lineRule="auto"/>
              <w:ind w:left="173" w:right="173"/>
            </w:pPr>
            <w:r>
              <w:rPr>
                <w:rFonts w:ascii="Calibri" w:hAnsi="Calibri"/>
                <w:b/>
                <w:color w:val="1A365D"/>
                <w:sz w:val="20"/>
              </w:rPr>
              <w:t>SOURCE_TYPE:</w:t>
            </w:r>
            <w:r>
              <w:rPr>
                <w:rFonts w:ascii="Calibri" w:hAnsi="Calibri"/>
                <w:color w:val="2D3748"/>
                <w:sz w:val="20"/>
              </w:rPr>
              <w:t xml:space="preserve"> Central Statute &amp; Subordinate Rules</w:t>
            </w:r>
          </w:p>
          <w:p>
            <w:pPr>
              <w:spacing w:before="60" w:after="60" w:line="276" w:lineRule="auto"/>
              <w:ind w:left="173" w:right="173"/>
            </w:pPr>
            <w:r>
              <w:rPr>
                <w:rFonts w:ascii="Calibri" w:hAnsi="Calibri"/>
                <w:b/>
                <w:color w:val="1A365D"/>
                <w:sz w:val="20"/>
              </w:rPr>
              <w:t>AUTHORITY_LEVEL:</w:t>
            </w:r>
            <w:r>
              <w:rPr>
                <w:rFonts w:ascii="Calibri" w:hAnsi="Calibri"/>
                <w:color w:val="2D3748"/>
                <w:sz w:val="20"/>
              </w:rPr>
              <w:t xml:space="preserve"> Level 1 - Primary Statutory &amp; Delegated</w:t>
            </w:r>
          </w:p>
          <w:p>
            <w:pPr>
              <w:spacing w:before="60" w:after="60" w:line="276" w:lineRule="auto"/>
              <w:ind w:left="173" w:right="173"/>
            </w:pPr>
            <w:r>
              <w:rPr>
                <w:rFonts w:ascii="Calibri" w:hAnsi="Calibri"/>
                <w:b/>
                <w:color w:val="1A365D"/>
                <w:sz w:val="20"/>
              </w:rPr>
              <w:t>JURISDICTION:</w:t>
            </w:r>
            <w:r>
              <w:rPr>
                <w:rFonts w:ascii="Calibri" w:hAnsi="Calibri"/>
                <w:color w:val="2D3748"/>
                <w:sz w:val="20"/>
              </w:rPr>
              <w:t xml:space="preserve"> Union of India</w:t>
            </w:r>
          </w:p>
          <w:p>
            <w:pPr>
              <w:spacing w:before="60" w:after="60" w:line="276" w:lineRule="auto"/>
              <w:ind w:left="173" w:right="173"/>
            </w:pPr>
            <w:r>
              <w:rPr>
                <w:rFonts w:ascii="Calibri" w:hAnsi="Calibri"/>
                <w:b/>
                <w:color w:val="1A365D"/>
                <w:sz w:val="20"/>
              </w:rPr>
              <w:t>STATE_OR_UT:</w:t>
            </w:r>
            <w:r>
              <w:rPr>
                <w:rFonts w:ascii="Calibri" w:hAnsi="Calibri"/>
                <w:color w:val="2D3748"/>
                <w:sz w:val="20"/>
              </w:rPr>
              <w:t xml:space="preserve"> All States and Union Territories</w:t>
            </w:r>
          </w:p>
          <w:p>
            <w:pPr>
              <w:spacing w:before="60" w:after="60" w:line="276" w:lineRule="auto"/>
              <w:ind w:left="173" w:right="173"/>
            </w:pPr>
            <w:r>
              <w:rPr>
                <w:rFonts w:ascii="Calibri" w:hAnsi="Calibri"/>
                <w:b/>
                <w:color w:val="1A365D"/>
                <w:sz w:val="20"/>
              </w:rPr>
              <w:t>COURT_OR_AUTHORITY:</w:t>
            </w:r>
            <w:r>
              <w:rPr>
                <w:rFonts w:ascii="Calibri" w:hAnsi="Calibri"/>
                <w:color w:val="2D3748"/>
                <w:sz w:val="20"/>
              </w:rPr>
              <w:t xml:space="preserve"> Data Protection Board of India / High Courts / Supreme Court</w:t>
            </w:r>
          </w:p>
          <w:p>
            <w:pPr>
              <w:spacing w:before="60" w:after="60" w:line="276" w:lineRule="auto"/>
              <w:ind w:left="173" w:right="173"/>
            </w:pPr>
            <w:r>
              <w:rPr>
                <w:rFonts w:ascii="Calibri" w:hAnsi="Calibri"/>
                <w:b/>
                <w:color w:val="1A365D"/>
                <w:sz w:val="20"/>
              </w:rPr>
              <w:t>STATUTE:</w:t>
            </w:r>
            <w:r>
              <w:rPr>
                <w:rFonts w:ascii="Calibri" w:hAnsi="Calibri"/>
                <w:color w:val="2D3748"/>
                <w:sz w:val="20"/>
              </w:rPr>
              <w:t xml:space="preserve"> Digital Personal Data Protection Act, 2023 (Act No. 22 of 2023)</w:t>
            </w:r>
          </w:p>
          <w:p>
            <w:pPr>
              <w:spacing w:before="60" w:after="60" w:line="276" w:lineRule="auto"/>
              <w:ind w:left="173" w:right="173"/>
            </w:pPr>
            <w:r>
              <w:rPr>
                <w:rFonts w:ascii="Calibri" w:hAnsi="Calibri"/>
                <w:b/>
                <w:color w:val="1A365D"/>
                <w:sz w:val="20"/>
              </w:rPr>
              <w:t>ARTICLE:</w:t>
            </w:r>
            <w:r>
              <w:rPr>
                <w:rFonts w:ascii="Calibri" w:hAnsi="Calibri"/>
                <w:color w:val="2D3748"/>
                <w:sz w:val="20"/>
              </w:rPr>
              <w:t xml:space="preserve"> N/A</w:t>
            </w:r>
          </w:p>
          <w:p>
            <w:pPr>
              <w:spacing w:before="60" w:after="60" w:line="276" w:lineRule="auto"/>
              <w:ind w:left="173" w:right="173"/>
            </w:pPr>
            <w:r>
              <w:rPr>
                <w:rFonts w:ascii="Calibri" w:hAnsi="Calibri"/>
                <w:b/>
                <w:color w:val="1A365D"/>
                <w:sz w:val="20"/>
              </w:rPr>
              <w:t>SECTION:</w:t>
            </w:r>
            <w:r>
              <w:rPr>
                <w:rFonts w:ascii="Calibri" w:hAnsi="Calibri"/>
                <w:color w:val="2D3748"/>
                <w:sz w:val="20"/>
              </w:rPr>
              <w:t xml:space="preserve"> Sections 1(2), 3, 5, 6, 8, 9, 10, 18, 44</w:t>
            </w:r>
          </w:p>
          <w:p>
            <w:pPr>
              <w:spacing w:before="60" w:after="60" w:line="276" w:lineRule="auto"/>
              <w:ind w:left="173" w:right="173"/>
            </w:pPr>
            <w:r>
              <w:rPr>
                <w:rFonts w:ascii="Calibri" w:hAnsi="Calibri"/>
                <w:b/>
                <w:color w:val="1A365D"/>
                <w:sz w:val="20"/>
              </w:rPr>
              <w:t>RULE:</w:t>
            </w:r>
            <w:r>
              <w:rPr>
                <w:rFonts w:ascii="Calibri" w:hAnsi="Calibri"/>
                <w:color w:val="2D3748"/>
                <w:sz w:val="20"/>
              </w:rPr>
              <w:t xml:space="preserve"> Digital Personal Data Protection Rules, 2025</w:t>
            </w:r>
          </w:p>
          <w:p>
            <w:pPr>
              <w:spacing w:before="60" w:after="60" w:line="276" w:lineRule="auto"/>
              <w:ind w:left="173" w:right="173"/>
            </w:pPr>
            <w:r>
              <w:rPr>
                <w:rFonts w:ascii="Calibri" w:hAnsi="Calibri"/>
                <w:b/>
                <w:color w:val="1A365D"/>
                <w:sz w:val="20"/>
              </w:rPr>
              <w:t>LEGAL_PROPOSITION:</w:t>
            </w:r>
            <w:r>
              <w:rPr>
                <w:rFonts w:ascii="Calibri" w:hAnsi="Calibri"/>
                <w:color w:val="2D3748"/>
                <w:sz w:val="20"/>
              </w:rPr>
              <w:t xml:space="preserve"> The Digital Personal Data Protection Act, 2023 establishes the statutory regime for processing digital personal data. Following the official publication of the Digital Personal Data Protection Rules, 2025 by the Ministry of Electronics and Information Technology (MeitY), the framework operates under a staggered commencement model: provisions relating to the establishment of the Data Protection Board of India and basic rulemaking operate from their notified dates, while substantive obligations of Data Fiduciaries (notice, consent architecture, breach notifications, and Significant Data Fiduciary duties) commence in accordance with the transition timelines prescribed by MeitY.</w:t>
            </w:r>
          </w:p>
          <w:p>
            <w:pPr>
              <w:spacing w:before="60" w:after="60" w:line="276" w:lineRule="auto"/>
              <w:ind w:left="173" w:right="173"/>
            </w:pPr>
            <w:r>
              <w:rPr>
                <w:rFonts w:ascii="Calibri" w:hAnsi="Calibri"/>
                <w:b/>
                <w:color w:val="1A365D"/>
                <w:sz w:val="20"/>
              </w:rPr>
              <w:t>SIMPLE_EXPLANATION:</w:t>
            </w:r>
            <w:r>
              <w:rPr>
                <w:rFonts w:ascii="Calibri" w:hAnsi="Calibri"/>
                <w:color w:val="2D3748"/>
                <w:sz w:val="20"/>
              </w:rPr>
              <w:t xml:space="preserve"> The DPDP Act and the 2025 Rules govern personal data handling in India. Obligations are staggered: core administrative mechanisms activate first, followed by phased transition periods for data fiduciaries to achieve operational compliance.</w:t>
            </w:r>
          </w:p>
          <w:p>
            <w:pPr>
              <w:spacing w:before="60" w:after="60" w:line="276" w:lineRule="auto"/>
              <w:ind w:left="173" w:right="173"/>
            </w:pPr>
            <w:r>
              <w:rPr>
                <w:rFonts w:ascii="Calibri" w:hAnsi="Calibri"/>
                <w:b/>
                <w:color w:val="1A365D"/>
                <w:sz w:val="20"/>
              </w:rPr>
              <w:t>APPLICATION / WHEN RELEVANT:</w:t>
            </w:r>
            <w:r>
              <w:rPr>
                <w:rFonts w:ascii="Calibri" w:hAnsi="Calibri"/>
                <w:color w:val="2D3748"/>
                <w:sz w:val="20"/>
              </w:rPr>
              <w:t xml:space="preserve"> Advising enterprises, digital startups, and data processors on notice and consent mechanisms, cross-border data transfers, data principal rights, children's data safeguards, and cybersecurity incident reporting.</w:t>
            </w:r>
          </w:p>
          <w:p>
            <w:pPr>
              <w:spacing w:before="60" w:after="60" w:line="276" w:lineRule="auto"/>
              <w:ind w:left="173" w:right="173"/>
            </w:pPr>
            <w:r>
              <w:rPr>
                <w:rFonts w:ascii="Calibri" w:hAnsi="Calibri"/>
                <w:b/>
                <w:color w:val="1A365D"/>
                <w:sz w:val="20"/>
              </w:rPr>
              <w:t>EXCEPTIONS / LIMITATIONS:</w:t>
            </w:r>
            <w:r>
              <w:rPr>
                <w:rFonts w:ascii="Calibri" w:hAnsi="Calibri"/>
                <w:color w:val="2D3748"/>
                <w:sz w:val="20"/>
              </w:rPr>
              <w:t xml:space="preserve"> Exemptions under Section 17 for state instrumentalities, national security, research, statistical purposes, and judicial proceedings.</w:t>
            </w:r>
          </w:p>
          <w:p>
            <w:pPr>
              <w:spacing w:before="60" w:after="60" w:line="276" w:lineRule="auto"/>
              <w:ind w:left="173" w:right="173"/>
            </w:pPr>
            <w:r>
              <w:rPr>
                <w:rFonts w:ascii="Calibri" w:hAnsi="Calibri"/>
                <w:b/>
                <w:color w:val="1A365D"/>
                <w:sz w:val="20"/>
              </w:rPr>
              <w:t>IMPORTANT_QUALIFICATIONS:</w:t>
            </w:r>
            <w:r>
              <w:rPr>
                <w:rFonts w:ascii="Calibri" w:hAnsi="Calibri"/>
                <w:color w:val="2D3748"/>
                <w:sz w:val="20"/>
              </w:rPr>
              <w:t xml:space="preserve"> The system enforces a non-binary temporal model: (i) Rules Notified: DPDP Rules, 2025 published in Gazette; (ii) Staggered Commencement: Enforcement of penalties and detailed fiduciary obligations follow notified phase-in windows; (iii) Transitional Operation: Section 43A of the Information Technology Act, 2000 and the 2011 SPDI Rules continue to govern legacy liabilities until full operationalization and formal repeal.</w:t>
            </w:r>
          </w:p>
          <w:p>
            <w:pPr>
              <w:spacing w:before="60" w:after="60" w:line="276" w:lineRule="auto"/>
              <w:ind w:left="173" w:right="173"/>
            </w:pPr>
            <w:r>
              <w:rPr>
                <w:rFonts w:ascii="Calibri" w:hAnsi="Calibri"/>
                <w:b/>
                <w:color w:val="1A365D"/>
                <w:sz w:val="20"/>
              </w:rPr>
              <w:t>RELATED_PROVISIONS:</w:t>
            </w:r>
            <w:r>
              <w:rPr>
                <w:rFonts w:ascii="Calibri" w:hAnsi="Calibri"/>
                <w:color w:val="2D3748"/>
                <w:sz w:val="20"/>
              </w:rPr>
              <w:t xml:space="preserve"> Information Technology Act, 2000 Sections 43A, 69A, 79; Constitution of India Article 21.</w:t>
            </w:r>
          </w:p>
          <w:p>
            <w:pPr>
              <w:spacing w:before="60" w:after="60" w:line="276" w:lineRule="auto"/>
              <w:ind w:left="173" w:right="173"/>
            </w:pPr>
            <w:r>
              <w:rPr>
                <w:rFonts w:ascii="Calibri" w:hAnsi="Calibri"/>
                <w:b/>
                <w:color w:val="1A365D"/>
                <w:sz w:val="20"/>
              </w:rPr>
              <w:t>RELATED_CASE_LAW:</w:t>
            </w:r>
            <w:r>
              <w:rPr>
                <w:rFonts w:ascii="Calibri" w:hAnsi="Calibri"/>
                <w:color w:val="2D3748"/>
                <w:sz w:val="20"/>
              </w:rPr>
              <w:t xml:space="preserve"> Justice K.S. Puttaswamy (Retd.) v. Union of India (2017) 10 SCC 1.</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 / TRANSITIONAL LAW</w:t>
            </w:r>
          </w:p>
          <w:p>
            <w:pPr>
              <w:spacing w:before="60" w:after="60" w:line="276" w:lineRule="auto"/>
              <w:ind w:left="173" w:right="173"/>
            </w:pPr>
            <w:r>
              <w:rPr>
                <w:rFonts w:ascii="Calibri" w:hAnsi="Calibri"/>
                <w:b/>
                <w:color w:val="1A365D"/>
                <w:sz w:val="20"/>
              </w:rPr>
              <w:t>EFFECTIVE_FROM:</w:t>
            </w:r>
            <w:r>
              <w:rPr>
                <w:rFonts w:ascii="Calibri" w:hAnsi="Calibri"/>
                <w:color w:val="2D3748"/>
                <w:sz w:val="20"/>
              </w:rPr>
              <w:t xml:space="preserve"> 2023-08-11 (Act Assent); Rules Notified 2025; Staggered Operational Phase-in</w:t>
            </w:r>
          </w:p>
          <w:p>
            <w:pPr>
              <w:spacing w:before="60" w:after="60" w:line="276" w:lineRule="auto"/>
              <w:ind w:left="173" w:right="173"/>
            </w:pPr>
            <w:r>
              <w:rPr>
                <w:rFonts w:ascii="Calibri" w:hAnsi="Calibri"/>
                <w:b/>
                <w:color w:val="1A365D"/>
                <w:sz w:val="20"/>
              </w:rPr>
              <w:t>EFFECTIVE_TO:</w:t>
            </w:r>
            <w:r>
              <w:rPr>
                <w:rFonts w:ascii="Calibri" w:hAnsi="Calibri"/>
                <w:color w:val="2D3748"/>
                <w:sz w:val="20"/>
              </w:rPr>
              <w:t xml:space="preserve"> Open</w:t>
            </w:r>
          </w:p>
          <w:p>
            <w:pPr>
              <w:spacing w:before="60" w:after="60" w:line="276" w:lineRule="auto"/>
              <w:ind w:left="173" w:right="173"/>
            </w:pPr>
            <w:r>
              <w:rPr>
                <w:rFonts w:ascii="Calibri" w:hAnsi="Calibri"/>
                <w:b/>
                <w:color w:val="1A365D"/>
                <w:sz w:val="20"/>
              </w:rPr>
              <w:t>HISTORICAL_APPLICABILITY:</w:t>
            </w:r>
            <w:r>
              <w:rPr>
                <w:rFonts w:ascii="Calibri" w:hAnsi="Calibri"/>
                <w:color w:val="2D3748"/>
                <w:sz w:val="20"/>
              </w:rPr>
              <w:t xml:space="preserve"> The Information Technology (Reasonable Security Practices and Procedures and Sensitive Personal Data or Information) Rules, 2011 govern legacy liabilities prior to notified DPDP phase-in.</w:t>
            </w:r>
          </w:p>
          <w:p>
            <w:pPr>
              <w:spacing w:before="60" w:after="60" w:line="276" w:lineRule="auto"/>
              <w:ind w:left="173" w:right="173"/>
            </w:pPr>
            <w:r>
              <w:rPr>
                <w:rFonts w:ascii="Calibri" w:hAnsi="Calibri"/>
                <w:b/>
                <w:color w:val="1A365D"/>
                <w:sz w:val="20"/>
              </w:rPr>
              <w:t>OFFICIAL_SOURCE_NAME:</w:t>
            </w:r>
            <w:r>
              <w:rPr>
                <w:rFonts w:ascii="Calibri" w:hAnsi="Calibri"/>
                <w:color w:val="2D3748"/>
                <w:sz w:val="20"/>
              </w:rPr>
              <w:t xml:space="preserve"> Ministry of Electronics and Information Technology (MeitY), Government of India</w:t>
            </w:r>
          </w:p>
          <w:p>
            <w:pPr>
              <w:spacing w:before="60" w:after="60" w:line="276" w:lineRule="auto"/>
              <w:ind w:left="173" w:right="173"/>
            </w:pPr>
            <w:r>
              <w:rPr>
                <w:rFonts w:ascii="Calibri" w:hAnsi="Calibri"/>
                <w:b/>
                <w:color w:val="1A365D"/>
                <w:sz w:val="20"/>
              </w:rPr>
              <w:t>OFFICIAL_SOURCE_URL:</w:t>
            </w:r>
            <w:r>
              <w:rPr>
                <w:rFonts w:ascii="Calibri" w:hAnsi="Calibri"/>
                <w:color w:val="2D3748"/>
                <w:sz w:val="20"/>
              </w:rPr>
              <w:t xml:space="preserve"> https://www.meity.gov.in</w:t>
            </w:r>
          </w:p>
          <w:p>
            <w:pPr>
              <w:spacing w:before="60" w:after="60" w:line="276" w:lineRule="auto"/>
              <w:ind w:left="173" w:right="173"/>
            </w:pPr>
            <w:r>
              <w:rPr>
                <w:rFonts w:ascii="Calibri" w:hAnsi="Calibri"/>
                <w:b/>
                <w:color w:val="1A365D"/>
                <w:sz w:val="20"/>
              </w:rPr>
              <w:t>OFFICIAL_IDENTIFIER:</w:t>
            </w:r>
            <w:r>
              <w:rPr>
                <w:rFonts w:ascii="Calibri" w:hAnsi="Calibri"/>
                <w:color w:val="2D3748"/>
                <w:sz w:val="20"/>
              </w:rPr>
              <w:t xml:space="preserve"> Act No. 22 of 2023 &amp; DPDP Rules 2025</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DPDP Act 2023; DPDP Rules 2025</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DPDP Act 2023, DPDP Rules 2025, MeitY, Data Protection Board, Data Fiduciary, Consent Manager, staggered commencement, Section 43A IT Act</w:t>
            </w:r>
          </w:p>
          <w:p>
            <w:pPr>
              <w:spacing w:before="60" w:after="60" w:line="276" w:lineRule="auto"/>
              <w:ind w:left="173" w:right="173"/>
            </w:pPr>
            <w:r>
              <w:rPr>
                <w:rFonts w:ascii="Calibri" w:hAnsi="Calibri"/>
                <w:b/>
                <w:color w:val="1A365D"/>
                <w:sz w:val="20"/>
              </w:rPr>
              <w:t>VERSION:</w:t>
            </w:r>
            <w:r>
              <w:rPr>
                <w:rFonts w:ascii="Calibri" w:hAnsi="Calibri"/>
                <w:color w:val="2D3748"/>
                <w:sz w:val="20"/>
              </w:rPr>
              <w:t xml:space="preserve"> 2.1</w:t>
            </w:r>
          </w:p>
        </w:tc>
      </w:tr>
    </w:tbl>
    <w:p>
      <w:pPr>
        <w:keepNext/>
        <w:spacing w:before="280" w:after="120"/>
      </w:pPr>
      <w:r>
        <w:rPr>
          <w:rFonts w:ascii="Calibri" w:hAnsi="Calibri"/>
          <w:b/>
          <w:color w:val="2B6CB0"/>
          <w:sz w:val="26"/>
        </w:rPr>
        <w:t>Section 5: Master Landmark Judicial Precedents</w:t>
      </w:r>
    </w:p>
    <w:p>
      <w:pPr>
        <w:spacing w:before="160" w:after="160"/>
      </w:pPr>
      <w:r>
        <w:rPr>
          <w:rFonts w:ascii="Consolas" w:hAnsi="Consolas"/>
          <w:color w:val="A0AEC0"/>
          <w:sz w:val="19"/>
        </w:rPr>
        <w:t>================================================================================</w:t>
      </w:r>
    </w:p>
    <w:p>
      <w:pPr>
        <w:keepNext/>
        <w:spacing w:before="160" w:after="80"/>
      </w:pPr>
      <w:r>
        <w:rPr>
          <w:rFonts w:ascii="Calibri" w:hAnsi="Calibri"/>
          <w:b/>
          <w:color w:val="1A365D"/>
          <w:sz w:val="24"/>
        </w:rPr>
        <w:t>Case: CASE-CONST-001-V2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CASE_ID:</w:t>
            </w:r>
            <w:r>
              <w:rPr>
                <w:rFonts w:ascii="Calibri" w:hAnsi="Calibri"/>
                <w:color w:val="2D3748"/>
                <w:sz w:val="20"/>
              </w:rPr>
              <w:t xml:space="preserve"> CASE-CONST-001-V2</w:t>
            </w:r>
          </w:p>
          <w:p>
            <w:pPr>
              <w:spacing w:before="60" w:after="60" w:line="276" w:lineRule="auto"/>
              <w:ind w:left="173" w:right="173"/>
            </w:pPr>
            <w:r>
              <w:rPr>
                <w:rFonts w:ascii="Calibri" w:hAnsi="Calibri"/>
                <w:b/>
                <w:color w:val="1A365D"/>
                <w:sz w:val="20"/>
              </w:rPr>
              <w:t>CASE_NAME:</w:t>
            </w:r>
            <w:r>
              <w:rPr>
                <w:rFonts w:ascii="Calibri" w:hAnsi="Calibri"/>
                <w:color w:val="2D3748"/>
                <w:sz w:val="20"/>
              </w:rPr>
              <w:t xml:space="preserve"> Kesavananda Bharati Sripadagalvaru v. State of Kerala</w:t>
            </w:r>
          </w:p>
          <w:p>
            <w:pPr>
              <w:spacing w:before="60" w:after="60" w:line="276" w:lineRule="auto"/>
              <w:ind w:left="173" w:right="173"/>
            </w:pPr>
            <w:r>
              <w:rPr>
                <w:rFonts w:ascii="Calibri" w:hAnsi="Calibri"/>
                <w:b/>
                <w:color w:val="1A365D"/>
                <w:sz w:val="20"/>
              </w:rPr>
              <w:t>COURT:</w:t>
            </w:r>
            <w:r>
              <w:rPr>
                <w:rFonts w:ascii="Calibri" w:hAnsi="Calibri"/>
                <w:color w:val="2D3748"/>
                <w:sz w:val="20"/>
              </w:rPr>
              <w:t xml:space="preserve"> Supreme Court of India (13-Judge Constitution Bench)</w:t>
            </w:r>
          </w:p>
          <w:p>
            <w:pPr>
              <w:spacing w:before="60" w:after="60" w:line="276" w:lineRule="auto"/>
              <w:ind w:left="173" w:right="173"/>
            </w:pPr>
            <w:r>
              <w:rPr>
                <w:rFonts w:ascii="Calibri" w:hAnsi="Calibri"/>
                <w:b/>
                <w:color w:val="1A365D"/>
                <w:sz w:val="20"/>
              </w:rPr>
              <w:t>BENCH:</w:t>
            </w:r>
            <w:r>
              <w:rPr>
                <w:rFonts w:ascii="Calibri" w:hAnsi="Calibri"/>
                <w:color w:val="2D3748"/>
                <w:sz w:val="20"/>
              </w:rPr>
              <w:t xml:space="preserve"> S.M. Sikri (CJI), J.M. Shelat, K.S. Hegde, A.N. Grover, A.N. Ray, P. Jaganmohan Reddy, D.G. Palekar, H.R. Khanna, K.K. Mathew, M.H. Beg, S.N. Dwivedi, A.K. Mukherjea, Y.V. Chandrachud, JJ.</w:t>
            </w:r>
          </w:p>
          <w:p>
            <w:pPr>
              <w:spacing w:before="60" w:after="60" w:line="276" w:lineRule="auto"/>
              <w:ind w:left="173" w:right="173"/>
            </w:pPr>
            <w:r>
              <w:rPr>
                <w:rFonts w:ascii="Calibri" w:hAnsi="Calibri"/>
                <w:b/>
                <w:color w:val="1A365D"/>
                <w:sz w:val="20"/>
              </w:rPr>
              <w:t>DATE_OF_JUDGMENT:</w:t>
            </w:r>
            <w:r>
              <w:rPr>
                <w:rFonts w:ascii="Calibri" w:hAnsi="Calibri"/>
                <w:color w:val="2D3748"/>
                <w:sz w:val="20"/>
              </w:rPr>
              <w:t xml:space="preserve"> 1973-04-24</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(1973) 4 SCC 225; AIR 1973 SC 1461; 1973 INSC 258</w:t>
            </w:r>
          </w:p>
          <w:p>
            <w:pPr>
              <w:spacing w:before="60" w:after="60" w:line="276" w:lineRule="auto"/>
              <w:ind w:left="173" w:right="173"/>
            </w:pPr>
            <w:r>
              <w:rPr>
                <w:rFonts w:ascii="Calibri" w:hAnsi="Calibri"/>
                <w:b/>
                <w:color w:val="1A365D"/>
                <w:sz w:val="20"/>
              </w:rPr>
              <w:t>RELEVANT_PROVISIONS:</w:t>
            </w:r>
            <w:r>
              <w:rPr>
                <w:rFonts w:ascii="Calibri" w:hAnsi="Calibri"/>
                <w:color w:val="2D3748"/>
                <w:sz w:val="20"/>
              </w:rPr>
              <w:t xml:space="preserve"> Constitution of India, Articles 13, 31C, 368</w:t>
            </w:r>
          </w:p>
          <w:p>
            <w:pPr>
              <w:spacing w:before="60" w:after="60" w:line="276" w:lineRule="auto"/>
              <w:ind w:left="173" w:right="173"/>
            </w:pPr>
            <w:r>
              <w:rPr>
                <w:rFonts w:ascii="Calibri" w:hAnsi="Calibri"/>
                <w:b/>
                <w:color w:val="1A365D"/>
                <w:sz w:val="20"/>
              </w:rPr>
              <w:t>LEGAL_ISSUE:</w:t>
            </w:r>
            <w:r>
              <w:rPr>
                <w:rFonts w:ascii="Calibri" w:hAnsi="Calibri"/>
                <w:color w:val="2D3748"/>
                <w:sz w:val="20"/>
              </w:rPr>
              <w:t xml:space="preserve"> What is the scope and constitutional limit of Parliament's amending power under Article 368?</w:t>
            </w:r>
          </w:p>
          <w:p>
            <w:pPr>
              <w:spacing w:before="60" w:after="60" w:line="276" w:lineRule="auto"/>
              <w:ind w:left="173" w:right="173"/>
            </w:pPr>
            <w:r>
              <w:rPr>
                <w:rFonts w:ascii="Calibri" w:hAnsi="Calibri"/>
                <w:b/>
                <w:color w:val="1A365D"/>
                <w:sz w:val="20"/>
              </w:rPr>
              <w:t>VERIFIED_FACTS:</w:t>
            </w:r>
            <w:r>
              <w:rPr>
                <w:rFonts w:ascii="Calibri" w:hAnsi="Calibri"/>
                <w:color w:val="2D3748"/>
                <w:sz w:val="20"/>
              </w:rPr>
              <w:t xml:space="preserve"> Petitioner challenged the Kerala Land Reforms Act amendments and the 24th, 25th, and 29th Constitutional Amendments curtailing fundamental rights and asserting unlimited parliamentary amendment authority.</w:t>
            </w:r>
          </w:p>
          <w:p>
            <w:pPr>
              <w:spacing w:before="60" w:after="60" w:line="276" w:lineRule="auto"/>
              <w:ind w:left="173" w:right="173"/>
            </w:pPr>
            <w:r>
              <w:rPr>
                <w:rFonts w:ascii="Calibri" w:hAnsi="Calibri"/>
                <w:b/>
                <w:color w:val="1A365D"/>
                <w:sz w:val="20"/>
              </w:rPr>
              <w:t>HOLDING:</w:t>
            </w:r>
            <w:r>
              <w:rPr>
                <w:rFonts w:ascii="Calibri" w:hAnsi="Calibri"/>
                <w:color w:val="2D3748"/>
                <w:sz w:val="20"/>
              </w:rPr>
              <w:t xml:space="preserve"> Parliament has wide power to amend any provision of the Constitution under Article 368, but cannot alter, destroy, or emasculate the Basic Structure or essential framework of the Constitution.</w:t>
            </w:r>
          </w:p>
          <w:p>
            <w:pPr>
              <w:spacing w:before="60" w:after="60" w:line="276" w:lineRule="auto"/>
              <w:ind w:left="173" w:right="173"/>
            </w:pPr>
            <w:r>
              <w:rPr>
                <w:rFonts w:ascii="Calibri" w:hAnsi="Calibri"/>
                <w:b/>
                <w:color w:val="1A365D"/>
                <w:sz w:val="20"/>
              </w:rPr>
              <w:t>LEGAL_PRINCIPLE / RATIO:</w:t>
            </w:r>
            <w:r>
              <w:rPr>
                <w:rFonts w:ascii="Calibri" w:hAnsi="Calibri"/>
                <w:color w:val="2D3748"/>
                <w:sz w:val="20"/>
              </w:rPr>
              <w:t xml:space="preserve"> Basic Structure Doctrine. Essential features—including constitutional supremacy, republican democracy, secularism, separation of powers, judicial review, and federalism—are beyond parliamentary amending power.</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 - Foundational Constitutional Precedent</w:t>
            </w:r>
          </w:p>
          <w:p>
            <w:pPr>
              <w:spacing w:before="60" w:after="60" w:line="276" w:lineRule="auto"/>
              <w:ind w:left="173" w:right="173"/>
            </w:pPr>
            <w:r>
              <w:rPr>
                <w:rFonts w:ascii="Calibri" w:hAnsi="Calibri"/>
                <w:b/>
                <w:color w:val="1A365D"/>
                <w:sz w:val="20"/>
              </w:rPr>
              <w:t>OFFICIAL_SOURCE:</w:t>
            </w:r>
            <w:r>
              <w:rPr>
                <w:rFonts w:ascii="Calibri" w:hAnsi="Calibri"/>
                <w:color w:val="2D3748"/>
                <w:sz w:val="20"/>
              </w:rPr>
              <w:t xml:space="preserve"> Supreme Court of India Judgment Portal / Supreme Court Reports (SCR)</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Kesavananda Bharati, basic structure doctrine, Article 368, judicial review, constitutional amendment</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Case: CASE-CONST-002-V2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CASE_ID:</w:t>
            </w:r>
            <w:r>
              <w:rPr>
                <w:rFonts w:ascii="Calibri" w:hAnsi="Calibri"/>
                <w:color w:val="2D3748"/>
                <w:sz w:val="20"/>
              </w:rPr>
              <w:t xml:space="preserve"> CASE-CONST-002-V2</w:t>
            </w:r>
          </w:p>
          <w:p>
            <w:pPr>
              <w:spacing w:before="60" w:after="60" w:line="276" w:lineRule="auto"/>
              <w:ind w:left="173" w:right="173"/>
            </w:pPr>
            <w:r>
              <w:rPr>
                <w:rFonts w:ascii="Calibri" w:hAnsi="Calibri"/>
                <w:b/>
                <w:color w:val="1A365D"/>
                <w:sz w:val="20"/>
              </w:rPr>
              <w:t>CASE_NAME:</w:t>
            </w:r>
            <w:r>
              <w:rPr>
                <w:rFonts w:ascii="Calibri" w:hAnsi="Calibri"/>
                <w:color w:val="2D3748"/>
                <w:sz w:val="20"/>
              </w:rPr>
              <w:t xml:space="preserve"> Maneka Gandhi v. Union of India</w:t>
            </w:r>
          </w:p>
          <w:p>
            <w:pPr>
              <w:spacing w:before="60" w:after="60" w:line="276" w:lineRule="auto"/>
              <w:ind w:left="173" w:right="173"/>
            </w:pPr>
            <w:r>
              <w:rPr>
                <w:rFonts w:ascii="Calibri" w:hAnsi="Calibri"/>
                <w:b/>
                <w:color w:val="1A365D"/>
                <w:sz w:val="20"/>
              </w:rPr>
              <w:t>COURT:</w:t>
            </w:r>
            <w:r>
              <w:rPr>
                <w:rFonts w:ascii="Calibri" w:hAnsi="Calibri"/>
                <w:color w:val="2D3748"/>
                <w:sz w:val="20"/>
              </w:rPr>
              <w:t xml:space="preserve"> Supreme Court of India (7-Judge Constitution Bench)</w:t>
            </w:r>
          </w:p>
          <w:p>
            <w:pPr>
              <w:spacing w:before="60" w:after="60" w:line="276" w:lineRule="auto"/>
              <w:ind w:left="173" w:right="173"/>
            </w:pPr>
            <w:r>
              <w:rPr>
                <w:rFonts w:ascii="Calibri" w:hAnsi="Calibri"/>
                <w:b/>
                <w:color w:val="1A365D"/>
                <w:sz w:val="20"/>
              </w:rPr>
              <w:t>BENCH:</w:t>
            </w:r>
            <w:r>
              <w:rPr>
                <w:rFonts w:ascii="Calibri" w:hAnsi="Calibri"/>
                <w:color w:val="2D3748"/>
                <w:sz w:val="20"/>
              </w:rPr>
              <w:t xml:space="preserve"> M.H. Beg (CJI), Y.V. Chandrachud, P.N. Bhagwati, V.R. Krishna Iyer, N.L. Untwalia, S. Murtaza Fazal Ali, P.S. Kailasam, JJ.</w:t>
            </w:r>
          </w:p>
          <w:p>
            <w:pPr>
              <w:spacing w:before="60" w:after="60" w:line="276" w:lineRule="auto"/>
              <w:ind w:left="173" w:right="173"/>
            </w:pPr>
            <w:r>
              <w:rPr>
                <w:rFonts w:ascii="Calibri" w:hAnsi="Calibri"/>
                <w:b/>
                <w:color w:val="1A365D"/>
                <w:sz w:val="20"/>
              </w:rPr>
              <w:t>DATE_OF_JUDGMENT:</w:t>
            </w:r>
            <w:r>
              <w:rPr>
                <w:rFonts w:ascii="Calibri" w:hAnsi="Calibri"/>
                <w:color w:val="2D3748"/>
                <w:sz w:val="20"/>
              </w:rPr>
              <w:t xml:space="preserve"> 1978-01-25</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(1978) 1 SCC 248; AIR 1978 SC 597; 1978 INSC 16</w:t>
            </w:r>
          </w:p>
          <w:p>
            <w:pPr>
              <w:spacing w:before="60" w:after="60" w:line="276" w:lineRule="auto"/>
              <w:ind w:left="173" w:right="173"/>
            </w:pPr>
            <w:r>
              <w:rPr>
                <w:rFonts w:ascii="Calibri" w:hAnsi="Calibri"/>
                <w:b/>
                <w:color w:val="1A365D"/>
                <w:sz w:val="20"/>
              </w:rPr>
              <w:t>RELEVANT_PROVISIONS:</w:t>
            </w:r>
            <w:r>
              <w:rPr>
                <w:rFonts w:ascii="Calibri" w:hAnsi="Calibri"/>
                <w:color w:val="2D3748"/>
                <w:sz w:val="20"/>
              </w:rPr>
              <w:t xml:space="preserve"> Constitution of India, Articles 14, 19, 21; Passports Act, 1967 Section 10(3)(c)</w:t>
            </w:r>
          </w:p>
          <w:p>
            <w:pPr>
              <w:spacing w:before="60" w:after="60" w:line="276" w:lineRule="auto"/>
              <w:ind w:left="173" w:right="173"/>
            </w:pPr>
            <w:r>
              <w:rPr>
                <w:rFonts w:ascii="Calibri" w:hAnsi="Calibri"/>
                <w:b/>
                <w:color w:val="1A365D"/>
                <w:sz w:val="20"/>
              </w:rPr>
              <w:t>LEGAL_ISSUE:</w:t>
            </w:r>
            <w:r>
              <w:rPr>
                <w:rFonts w:ascii="Calibri" w:hAnsi="Calibri"/>
                <w:color w:val="2D3748"/>
                <w:sz w:val="20"/>
              </w:rPr>
              <w:t xml:space="preserve"> Whether impounding petitioner's passport without stating reasons or providing a pre-decisional hearing violated Articles 14, 19, and 21?</w:t>
            </w:r>
          </w:p>
          <w:p>
            <w:pPr>
              <w:spacing w:before="60" w:after="60" w:line="276" w:lineRule="auto"/>
              <w:ind w:left="173" w:right="173"/>
            </w:pPr>
            <w:r>
              <w:rPr>
                <w:rFonts w:ascii="Calibri" w:hAnsi="Calibri"/>
                <w:b/>
                <w:color w:val="1A365D"/>
                <w:sz w:val="20"/>
              </w:rPr>
              <w:t>VERIFIED_FACTS:</w:t>
            </w:r>
            <w:r>
              <w:rPr>
                <w:rFonts w:ascii="Calibri" w:hAnsi="Calibri"/>
                <w:color w:val="2D3748"/>
                <w:sz w:val="20"/>
              </w:rPr>
              <w:t xml:space="preserve"> Regional Passport Office impounded Maneka Gandhi's passport in public interest without disclosing reasons, prompting an Article 32 writ petition.</w:t>
            </w:r>
          </w:p>
          <w:p>
            <w:pPr>
              <w:spacing w:before="60" w:after="60" w:line="276" w:lineRule="auto"/>
              <w:ind w:left="173" w:right="173"/>
            </w:pPr>
            <w:r>
              <w:rPr>
                <w:rFonts w:ascii="Calibri" w:hAnsi="Calibri"/>
                <w:b/>
                <w:color w:val="1A365D"/>
                <w:sz w:val="20"/>
              </w:rPr>
              <w:t>HOLDING:</w:t>
            </w:r>
            <w:r>
              <w:rPr>
                <w:rFonts w:ascii="Calibri" w:hAnsi="Calibri"/>
                <w:color w:val="2D3748"/>
                <w:sz w:val="20"/>
              </w:rPr>
              <w:t xml:space="preserve"> Procedure depriving life or liberty under Article 21 must satisfy Articles 14 and 19. The procedure must be just, fair, and reasonable, embodying the principles of natural justice.</w:t>
            </w:r>
          </w:p>
          <w:p>
            <w:pPr>
              <w:spacing w:before="60" w:after="60" w:line="276" w:lineRule="auto"/>
              <w:ind w:left="173" w:right="173"/>
            </w:pPr>
            <w:r>
              <w:rPr>
                <w:rFonts w:ascii="Calibri" w:hAnsi="Calibri"/>
                <w:b/>
                <w:color w:val="1A365D"/>
                <w:sz w:val="20"/>
              </w:rPr>
              <w:t>LEGAL_PRINCIPLE / RATIO:</w:t>
            </w:r>
            <w:r>
              <w:rPr>
                <w:rFonts w:ascii="Calibri" w:hAnsi="Calibri"/>
                <w:color w:val="2D3748"/>
                <w:sz w:val="20"/>
              </w:rPr>
              <w:t xml:space="preserve"> Golden Triangle Doctrine. Articles 14, 19, and 21 are mutually interdependent. Substantive due process is integrated into Indian constitutional procedure.</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 - Foundational Constitutional Precedent</w:t>
            </w:r>
          </w:p>
          <w:p>
            <w:pPr>
              <w:spacing w:before="60" w:after="60" w:line="276" w:lineRule="auto"/>
              <w:ind w:left="173" w:right="173"/>
            </w:pPr>
            <w:r>
              <w:rPr>
                <w:rFonts w:ascii="Calibri" w:hAnsi="Calibri"/>
                <w:b/>
                <w:color w:val="1A365D"/>
                <w:sz w:val="20"/>
              </w:rPr>
              <w:t>OFFICIAL_SOURCE:</w:t>
            </w:r>
            <w:r>
              <w:rPr>
                <w:rFonts w:ascii="Calibri" w:hAnsi="Calibri"/>
                <w:color w:val="2D3748"/>
                <w:sz w:val="20"/>
              </w:rPr>
              <w:t xml:space="preserve"> Supreme Court of India Judgment Portal / Supreme Court Reports (SCR)</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Maneka Gandhi, Article 21, personal liberty, natural justice, golden triangle, fair procedure</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Case: CASE-CRIM-001-V2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CASE_ID:</w:t>
            </w:r>
            <w:r>
              <w:rPr>
                <w:rFonts w:ascii="Calibri" w:hAnsi="Calibri"/>
                <w:color w:val="2D3748"/>
                <w:sz w:val="20"/>
              </w:rPr>
              <w:t xml:space="preserve"> CASE-CRIM-001-V2</w:t>
            </w:r>
          </w:p>
          <w:p>
            <w:pPr>
              <w:spacing w:before="60" w:after="60" w:line="276" w:lineRule="auto"/>
              <w:ind w:left="173" w:right="173"/>
            </w:pPr>
            <w:r>
              <w:rPr>
                <w:rFonts w:ascii="Calibri" w:hAnsi="Calibri"/>
                <w:b/>
                <w:color w:val="1A365D"/>
                <w:sz w:val="20"/>
              </w:rPr>
              <w:t>CASE_NAME:</w:t>
            </w:r>
            <w:r>
              <w:rPr>
                <w:rFonts w:ascii="Calibri" w:hAnsi="Calibri"/>
                <w:color w:val="2D3748"/>
                <w:sz w:val="20"/>
              </w:rPr>
              <w:t xml:space="preserve"> D.K. Basu v. State of West Bengal</w:t>
            </w:r>
          </w:p>
          <w:p>
            <w:pPr>
              <w:spacing w:before="60" w:after="60" w:line="276" w:lineRule="auto"/>
              <w:ind w:left="173" w:right="173"/>
            </w:pPr>
            <w:r>
              <w:rPr>
                <w:rFonts w:ascii="Calibri" w:hAnsi="Calibri"/>
                <w:b/>
                <w:color w:val="1A365D"/>
                <w:sz w:val="20"/>
              </w:rPr>
              <w:t>COURT:</w:t>
            </w:r>
            <w:r>
              <w:rPr>
                <w:rFonts w:ascii="Calibri" w:hAnsi="Calibri"/>
                <w:color w:val="2D3748"/>
                <w:sz w:val="20"/>
              </w:rPr>
              <w:t xml:space="preserve"> Supreme Court of India (2-Judge Bench)</w:t>
            </w:r>
          </w:p>
          <w:p>
            <w:pPr>
              <w:spacing w:before="60" w:after="60" w:line="276" w:lineRule="auto"/>
              <w:ind w:left="173" w:right="173"/>
            </w:pPr>
            <w:r>
              <w:rPr>
                <w:rFonts w:ascii="Calibri" w:hAnsi="Calibri"/>
                <w:b/>
                <w:color w:val="1A365D"/>
                <w:sz w:val="20"/>
              </w:rPr>
              <w:t>BENCH:</w:t>
            </w:r>
            <w:r>
              <w:rPr>
                <w:rFonts w:ascii="Calibri" w:hAnsi="Calibri"/>
                <w:color w:val="2D3748"/>
                <w:sz w:val="20"/>
              </w:rPr>
              <w:t xml:space="preserve"> Kuldip Singh, A.S. Anand, JJ.</w:t>
            </w:r>
          </w:p>
          <w:p>
            <w:pPr>
              <w:spacing w:before="60" w:after="60" w:line="276" w:lineRule="auto"/>
              <w:ind w:left="173" w:right="173"/>
            </w:pPr>
            <w:r>
              <w:rPr>
                <w:rFonts w:ascii="Calibri" w:hAnsi="Calibri"/>
                <w:b/>
                <w:color w:val="1A365D"/>
                <w:sz w:val="20"/>
              </w:rPr>
              <w:t>DATE_OF_JUDGMENT:</w:t>
            </w:r>
            <w:r>
              <w:rPr>
                <w:rFonts w:ascii="Calibri" w:hAnsi="Calibri"/>
                <w:color w:val="2D3748"/>
                <w:sz w:val="20"/>
              </w:rPr>
              <w:t xml:space="preserve"> 1996-12-18</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(1997) 1 SCC 416; AIR 1997 SC 610; 1996 INSC 1591</w:t>
            </w:r>
          </w:p>
          <w:p>
            <w:pPr>
              <w:spacing w:before="60" w:after="60" w:line="276" w:lineRule="auto"/>
              <w:ind w:left="173" w:right="173"/>
            </w:pPr>
            <w:r>
              <w:rPr>
                <w:rFonts w:ascii="Calibri" w:hAnsi="Calibri"/>
                <w:b/>
                <w:color w:val="1A365D"/>
                <w:sz w:val="20"/>
              </w:rPr>
              <w:t>RELEVANT_PROVISIONS:</w:t>
            </w:r>
            <w:r>
              <w:rPr>
                <w:rFonts w:ascii="Calibri" w:hAnsi="Calibri"/>
                <w:color w:val="2D3748"/>
                <w:sz w:val="20"/>
              </w:rPr>
              <w:t xml:space="preserve"> Constitution Articles 21, 22; CrPC Sections 41A-41D (now BNSS Section 35)</w:t>
            </w:r>
          </w:p>
          <w:p>
            <w:pPr>
              <w:spacing w:before="60" w:after="60" w:line="276" w:lineRule="auto"/>
              <w:ind w:left="173" w:right="173"/>
            </w:pPr>
            <w:r>
              <w:rPr>
                <w:rFonts w:ascii="Calibri" w:hAnsi="Calibri"/>
                <w:b/>
                <w:color w:val="1A365D"/>
                <w:sz w:val="20"/>
              </w:rPr>
              <w:t>LEGAL_ISSUE:</w:t>
            </w:r>
            <w:r>
              <w:rPr>
                <w:rFonts w:ascii="Calibri" w:hAnsi="Calibri"/>
                <w:color w:val="2D3748"/>
                <w:sz w:val="20"/>
              </w:rPr>
              <w:t xml:space="preserve"> What mandatory safeguards must be judicially mandated to eliminate custodial violence, torture, and unrecorded detentions?</w:t>
            </w:r>
          </w:p>
          <w:p>
            <w:pPr>
              <w:spacing w:before="60" w:after="60" w:line="276" w:lineRule="auto"/>
              <w:ind w:left="173" w:right="173"/>
            </w:pPr>
            <w:r>
              <w:rPr>
                <w:rFonts w:ascii="Calibri" w:hAnsi="Calibri"/>
                <w:b/>
                <w:color w:val="1A365D"/>
                <w:sz w:val="20"/>
              </w:rPr>
              <w:t>VERIFIED_FACTS:</w:t>
            </w:r>
            <w:r>
              <w:rPr>
                <w:rFonts w:ascii="Calibri" w:hAnsi="Calibri"/>
                <w:color w:val="2D3748"/>
                <w:sz w:val="20"/>
              </w:rPr>
              <w:t xml:space="preserve"> Public interest writ petition initiated upon a letter from Legal Aid Services West Bengal regarding widespread custodial deaths.</w:t>
            </w:r>
          </w:p>
          <w:p>
            <w:pPr>
              <w:spacing w:before="60" w:after="60" w:line="276" w:lineRule="auto"/>
              <w:ind w:left="173" w:right="173"/>
            </w:pPr>
            <w:r>
              <w:rPr>
                <w:rFonts w:ascii="Calibri" w:hAnsi="Calibri"/>
                <w:b/>
                <w:color w:val="1A365D"/>
                <w:sz w:val="20"/>
              </w:rPr>
              <w:t>HOLDING:</w:t>
            </w:r>
            <w:r>
              <w:rPr>
                <w:rFonts w:ascii="Calibri" w:hAnsi="Calibri"/>
                <w:color w:val="2D3748"/>
                <w:sz w:val="20"/>
              </w:rPr>
              <w:t xml:space="preserve"> Formulated 11 mandatory arrest guidelines: visible identification tags, arrest memo countersigned by witness, informing family/friends within 8 to 12 hours, and medical examination every 48 hours.</w:t>
            </w:r>
          </w:p>
          <w:p>
            <w:pPr>
              <w:spacing w:before="60" w:after="60" w:line="276" w:lineRule="auto"/>
              <w:ind w:left="173" w:right="173"/>
            </w:pPr>
            <w:r>
              <w:rPr>
                <w:rFonts w:ascii="Calibri" w:hAnsi="Calibri"/>
                <w:b/>
                <w:color w:val="1A365D"/>
                <w:sz w:val="20"/>
              </w:rPr>
              <w:t>LEGAL_PRINCIPLE / RATIO:</w:t>
            </w:r>
            <w:r>
              <w:rPr>
                <w:rFonts w:ascii="Calibri" w:hAnsi="Calibri"/>
                <w:color w:val="2D3748"/>
                <w:sz w:val="20"/>
              </w:rPr>
              <w:t xml:space="preserve"> Custodial violence and unrecorded arrests violate Article 21. Non-compliance constitutes contempt of court and subjects offending police officers to departmental sanctions and criminal prosecution.</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 - Codified in statutory procedural codes (CrPC / BNSS § 35)</w:t>
            </w:r>
          </w:p>
          <w:p>
            <w:pPr>
              <w:spacing w:before="60" w:after="60" w:line="276" w:lineRule="auto"/>
              <w:ind w:left="173" w:right="173"/>
            </w:pPr>
            <w:r>
              <w:rPr>
                <w:rFonts w:ascii="Calibri" w:hAnsi="Calibri"/>
                <w:b/>
                <w:color w:val="1A365D"/>
                <w:sz w:val="20"/>
              </w:rPr>
              <w:t>OFFICIAL_SOURCE:</w:t>
            </w:r>
            <w:r>
              <w:rPr>
                <w:rFonts w:ascii="Calibri" w:hAnsi="Calibri"/>
                <w:color w:val="2D3748"/>
                <w:sz w:val="20"/>
              </w:rPr>
              <w:t xml:space="preserve"> Supreme Court of India Judgment Portal / Supreme Court Reports (SCR)</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DK Basu, arrest guidelines, custodial violence, memo of arrest, medical checkup, Article 21, Section 35 BNSS</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Case: CASE-CRIM-002-V2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CASE_ID:</w:t>
            </w:r>
            <w:r>
              <w:rPr>
                <w:rFonts w:ascii="Calibri" w:hAnsi="Calibri"/>
                <w:color w:val="2D3748"/>
                <w:sz w:val="20"/>
              </w:rPr>
              <w:t xml:space="preserve"> CASE-CRIM-002-V2</w:t>
            </w:r>
          </w:p>
          <w:p>
            <w:pPr>
              <w:spacing w:before="60" w:after="60" w:line="276" w:lineRule="auto"/>
              <w:ind w:left="173" w:right="173"/>
            </w:pPr>
            <w:r>
              <w:rPr>
                <w:rFonts w:ascii="Calibri" w:hAnsi="Calibri"/>
                <w:b/>
                <w:color w:val="1A365D"/>
                <w:sz w:val="20"/>
              </w:rPr>
              <w:t>CASE_NAME:</w:t>
            </w:r>
            <w:r>
              <w:rPr>
                <w:rFonts w:ascii="Calibri" w:hAnsi="Calibri"/>
                <w:color w:val="2D3748"/>
                <w:sz w:val="20"/>
              </w:rPr>
              <w:t xml:space="preserve"> Lalita Kumari v. Government of Uttar Pradesh</w:t>
            </w:r>
          </w:p>
          <w:p>
            <w:pPr>
              <w:spacing w:before="60" w:after="60" w:line="276" w:lineRule="auto"/>
              <w:ind w:left="173" w:right="173"/>
            </w:pPr>
            <w:r>
              <w:rPr>
                <w:rFonts w:ascii="Calibri" w:hAnsi="Calibri"/>
                <w:b/>
                <w:color w:val="1A365D"/>
                <w:sz w:val="20"/>
              </w:rPr>
              <w:t>COURT:</w:t>
            </w:r>
            <w:r>
              <w:rPr>
                <w:rFonts w:ascii="Calibri" w:hAnsi="Calibri"/>
                <w:color w:val="2D3748"/>
                <w:sz w:val="20"/>
              </w:rPr>
              <w:t xml:space="preserve"> Supreme Court of India (5-Judge Constitution Bench)</w:t>
            </w:r>
          </w:p>
          <w:p>
            <w:pPr>
              <w:spacing w:before="60" w:after="60" w:line="276" w:lineRule="auto"/>
              <w:ind w:left="173" w:right="173"/>
            </w:pPr>
            <w:r>
              <w:rPr>
                <w:rFonts w:ascii="Calibri" w:hAnsi="Calibri"/>
                <w:b/>
                <w:color w:val="1A365D"/>
                <w:sz w:val="20"/>
              </w:rPr>
              <w:t>BENCH:</w:t>
            </w:r>
            <w:r>
              <w:rPr>
                <w:rFonts w:ascii="Calibri" w:hAnsi="Calibri"/>
                <w:color w:val="2D3748"/>
                <w:sz w:val="20"/>
              </w:rPr>
              <w:t xml:space="preserve"> P. Sathasivam (CJI), B.S. Chauhan, Ranjana P. Desai, Ranjan Gogoi, S.A. Bobde, JJ.</w:t>
            </w:r>
          </w:p>
          <w:p>
            <w:pPr>
              <w:spacing w:before="60" w:after="60" w:line="276" w:lineRule="auto"/>
              <w:ind w:left="173" w:right="173"/>
            </w:pPr>
            <w:r>
              <w:rPr>
                <w:rFonts w:ascii="Calibri" w:hAnsi="Calibri"/>
                <w:b/>
                <w:color w:val="1A365D"/>
                <w:sz w:val="20"/>
              </w:rPr>
              <w:t>DATE_OF_JUDGMENT:</w:t>
            </w:r>
            <w:r>
              <w:rPr>
                <w:rFonts w:ascii="Calibri" w:hAnsi="Calibri"/>
                <w:color w:val="2D3748"/>
                <w:sz w:val="20"/>
              </w:rPr>
              <w:t xml:space="preserve"> 2013-11-12</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(2014) 2 SCC 1; AIR 2014 SC 187; 2013 INSC 798</w:t>
            </w:r>
          </w:p>
          <w:p>
            <w:pPr>
              <w:spacing w:before="60" w:after="60" w:line="276" w:lineRule="auto"/>
              <w:ind w:left="173" w:right="173"/>
            </w:pPr>
            <w:r>
              <w:rPr>
                <w:rFonts w:ascii="Calibri" w:hAnsi="Calibri"/>
                <w:b/>
                <w:color w:val="1A365D"/>
                <w:sz w:val="20"/>
              </w:rPr>
              <w:t>RELEVANT_PROVISIONS:</w:t>
            </w:r>
            <w:r>
              <w:rPr>
                <w:rFonts w:ascii="Calibri" w:hAnsi="Calibri"/>
                <w:color w:val="2D3748"/>
                <w:sz w:val="20"/>
              </w:rPr>
              <w:t xml:space="preserve"> Code of Criminal Procedure, 1973 Section 154 (now BNSS Section 173)</w:t>
            </w:r>
          </w:p>
          <w:p>
            <w:pPr>
              <w:spacing w:before="60" w:after="60" w:line="276" w:lineRule="auto"/>
              <w:ind w:left="173" w:right="173"/>
            </w:pPr>
            <w:r>
              <w:rPr>
                <w:rFonts w:ascii="Calibri" w:hAnsi="Calibri"/>
                <w:b/>
                <w:color w:val="1A365D"/>
                <w:sz w:val="20"/>
              </w:rPr>
              <w:t>LEGAL_ISSUE:</w:t>
            </w:r>
            <w:r>
              <w:rPr>
                <w:rFonts w:ascii="Calibri" w:hAnsi="Calibri"/>
                <w:color w:val="2D3748"/>
                <w:sz w:val="20"/>
              </w:rPr>
              <w:t xml:space="preserve"> Is registration of an FIR mandatory upon receipt of information disclosing the commission of a cognizable offence?</w:t>
            </w:r>
          </w:p>
          <w:p>
            <w:pPr>
              <w:spacing w:before="60" w:after="60" w:line="276" w:lineRule="auto"/>
              <w:ind w:left="173" w:right="173"/>
            </w:pPr>
            <w:r>
              <w:rPr>
                <w:rFonts w:ascii="Calibri" w:hAnsi="Calibri"/>
                <w:b/>
                <w:color w:val="1A365D"/>
                <w:sz w:val="20"/>
              </w:rPr>
              <w:t>VERIFIED_FACTS:</w:t>
            </w:r>
            <w:r>
              <w:rPr>
                <w:rFonts w:ascii="Calibri" w:hAnsi="Calibri"/>
                <w:color w:val="2D3748"/>
                <w:sz w:val="20"/>
              </w:rPr>
              <w:t xml:space="preserve"> Police failed to register an FIR after a minor girl was kidnapped, prompting a habeas corpus writ petition.</w:t>
            </w:r>
          </w:p>
          <w:p>
            <w:pPr>
              <w:spacing w:before="60" w:after="60" w:line="276" w:lineRule="auto"/>
              <w:ind w:left="173" w:right="173"/>
            </w:pPr>
            <w:r>
              <w:rPr>
                <w:rFonts w:ascii="Calibri" w:hAnsi="Calibri"/>
                <w:b/>
                <w:color w:val="1A365D"/>
                <w:sz w:val="20"/>
              </w:rPr>
              <w:t>HOLDING:</w:t>
            </w:r>
            <w:r>
              <w:rPr>
                <w:rFonts w:ascii="Calibri" w:hAnsi="Calibri"/>
                <w:color w:val="2D3748"/>
                <w:sz w:val="20"/>
              </w:rPr>
              <w:t xml:space="preserve"> FIR registration is mandatory under Section 154 CrPC if information discloses a cognizable offence. Preliminary inquiry is permissible only in exceptional categories (matrimonial, commercial, medical negligence, corruption, or unexplained delay exceeding 3 months).</w:t>
            </w:r>
          </w:p>
          <w:p>
            <w:pPr>
              <w:spacing w:before="60" w:after="60" w:line="276" w:lineRule="auto"/>
              <w:ind w:left="173" w:right="173"/>
            </w:pPr>
            <w:r>
              <w:rPr>
                <w:rFonts w:ascii="Calibri" w:hAnsi="Calibri"/>
                <w:b/>
                <w:color w:val="1A365D"/>
                <w:sz w:val="20"/>
              </w:rPr>
              <w:t>LEGAL_PRINCIPLE / RATIO:</w:t>
            </w:r>
            <w:r>
              <w:rPr>
                <w:rFonts w:ascii="Calibri" w:hAnsi="Calibri"/>
                <w:color w:val="2D3748"/>
                <w:sz w:val="20"/>
              </w:rPr>
              <w:t xml:space="preserve"> Mandatory Cognizable Registration. Police officers have no discretion to defer FIR registration when a cognizable offence is disclosed. Codified under Section 173(3) BNSS.</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 - Incorporated into BNSS Section 173</w:t>
            </w:r>
          </w:p>
          <w:p>
            <w:pPr>
              <w:spacing w:before="60" w:after="60" w:line="276" w:lineRule="auto"/>
              <w:ind w:left="173" w:right="173"/>
            </w:pPr>
            <w:r>
              <w:rPr>
                <w:rFonts w:ascii="Calibri" w:hAnsi="Calibri"/>
                <w:b/>
                <w:color w:val="1A365D"/>
                <w:sz w:val="20"/>
              </w:rPr>
              <w:t>OFFICIAL_SOURCE:</w:t>
            </w:r>
            <w:r>
              <w:rPr>
                <w:rFonts w:ascii="Calibri" w:hAnsi="Calibri"/>
                <w:color w:val="2D3748"/>
                <w:sz w:val="20"/>
              </w:rPr>
              <w:t xml:space="preserve"> Supreme Court of India Judgment Portal / Supreme Court Reports (SCR)</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Lalita Kumari, mandatory FIR, cognizable offence, preliminary inquiry, Section 154 CrPC, Section 173 BNSS</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Case: CASE-CRIM-003-V2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CASE_ID:</w:t>
            </w:r>
            <w:r>
              <w:rPr>
                <w:rFonts w:ascii="Calibri" w:hAnsi="Calibri"/>
                <w:color w:val="2D3748"/>
                <w:sz w:val="20"/>
              </w:rPr>
              <w:t xml:space="preserve"> CASE-CRIM-003-V2</w:t>
            </w:r>
          </w:p>
          <w:p>
            <w:pPr>
              <w:spacing w:before="60" w:after="60" w:line="276" w:lineRule="auto"/>
              <w:ind w:left="173" w:right="173"/>
            </w:pPr>
            <w:r>
              <w:rPr>
                <w:rFonts w:ascii="Calibri" w:hAnsi="Calibri"/>
                <w:b/>
                <w:color w:val="1A365D"/>
                <w:sz w:val="20"/>
              </w:rPr>
              <w:t>CASE_NAME:</w:t>
            </w:r>
            <w:r>
              <w:rPr>
                <w:rFonts w:ascii="Calibri" w:hAnsi="Calibri"/>
                <w:color w:val="2D3748"/>
                <w:sz w:val="20"/>
              </w:rPr>
              <w:t xml:space="preserve"> Arnesh Kumar v. State of Bihar</w:t>
            </w:r>
          </w:p>
          <w:p>
            <w:pPr>
              <w:spacing w:before="60" w:after="60" w:line="276" w:lineRule="auto"/>
              <w:ind w:left="173" w:right="173"/>
            </w:pPr>
            <w:r>
              <w:rPr>
                <w:rFonts w:ascii="Calibri" w:hAnsi="Calibri"/>
                <w:b/>
                <w:color w:val="1A365D"/>
                <w:sz w:val="20"/>
              </w:rPr>
              <w:t>COURT:</w:t>
            </w:r>
            <w:r>
              <w:rPr>
                <w:rFonts w:ascii="Calibri" w:hAnsi="Calibri"/>
                <w:color w:val="2D3748"/>
                <w:sz w:val="20"/>
              </w:rPr>
              <w:t xml:space="preserve"> Supreme Court of India (2-Judge Bench)</w:t>
            </w:r>
          </w:p>
          <w:p>
            <w:pPr>
              <w:spacing w:before="60" w:after="60" w:line="276" w:lineRule="auto"/>
              <w:ind w:left="173" w:right="173"/>
            </w:pPr>
            <w:r>
              <w:rPr>
                <w:rFonts w:ascii="Calibri" w:hAnsi="Calibri"/>
                <w:b/>
                <w:color w:val="1A365D"/>
                <w:sz w:val="20"/>
              </w:rPr>
              <w:t>BENCH:</w:t>
            </w:r>
            <w:r>
              <w:rPr>
                <w:rFonts w:ascii="Calibri" w:hAnsi="Calibri"/>
                <w:color w:val="2D3748"/>
                <w:sz w:val="20"/>
              </w:rPr>
              <w:t xml:space="preserve"> Chandramauli Kr. Prasad, Pinaki Chandra Ghose, JJ.</w:t>
            </w:r>
          </w:p>
          <w:p>
            <w:pPr>
              <w:spacing w:before="60" w:after="60" w:line="276" w:lineRule="auto"/>
              <w:ind w:left="173" w:right="173"/>
            </w:pPr>
            <w:r>
              <w:rPr>
                <w:rFonts w:ascii="Calibri" w:hAnsi="Calibri"/>
                <w:b/>
                <w:color w:val="1A365D"/>
                <w:sz w:val="20"/>
              </w:rPr>
              <w:t>DATE_OF_JUDGMENT:</w:t>
            </w:r>
            <w:r>
              <w:rPr>
                <w:rFonts w:ascii="Calibri" w:hAnsi="Calibri"/>
                <w:color w:val="2D3748"/>
                <w:sz w:val="20"/>
              </w:rPr>
              <w:t xml:space="preserve"> 2014-07-02</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(2014) 8 SCC 273; AIR 2014 SC 2756; 2014 INSC 479</w:t>
            </w:r>
          </w:p>
          <w:p>
            <w:pPr>
              <w:spacing w:before="60" w:after="60" w:line="276" w:lineRule="auto"/>
              <w:ind w:left="173" w:right="173"/>
            </w:pPr>
            <w:r>
              <w:rPr>
                <w:rFonts w:ascii="Calibri" w:hAnsi="Calibri"/>
                <w:b/>
                <w:color w:val="1A365D"/>
                <w:sz w:val="20"/>
              </w:rPr>
              <w:t>RELEVANT_PROVISIONS:</w:t>
            </w:r>
            <w:r>
              <w:rPr>
                <w:rFonts w:ascii="Calibri" w:hAnsi="Calibri"/>
                <w:color w:val="2D3748"/>
                <w:sz w:val="20"/>
              </w:rPr>
              <w:t xml:space="preserve"> IPC Section 498A (now BNS § 85); CrPC Sections 41, 41A (now BNSS § 35)</w:t>
            </w:r>
          </w:p>
          <w:p>
            <w:pPr>
              <w:spacing w:before="60" w:after="60" w:line="276" w:lineRule="auto"/>
              <w:ind w:left="173" w:right="173"/>
            </w:pPr>
            <w:r>
              <w:rPr>
                <w:rFonts w:ascii="Calibri" w:hAnsi="Calibri"/>
                <w:b/>
                <w:color w:val="1A365D"/>
                <w:sz w:val="20"/>
              </w:rPr>
              <w:t>LEGAL_ISSUE:</w:t>
            </w:r>
            <w:r>
              <w:rPr>
                <w:rFonts w:ascii="Calibri" w:hAnsi="Calibri"/>
                <w:color w:val="2D3748"/>
                <w:sz w:val="20"/>
              </w:rPr>
              <w:t xml:space="preserve"> What safeguards prevent automatic, mechanical arrests in offences carrying imprisonment up to seven years?</w:t>
            </w:r>
          </w:p>
          <w:p>
            <w:pPr>
              <w:spacing w:before="60" w:after="60" w:line="276" w:lineRule="auto"/>
              <w:ind w:left="173" w:right="173"/>
            </w:pPr>
            <w:r>
              <w:rPr>
                <w:rFonts w:ascii="Calibri" w:hAnsi="Calibri"/>
                <w:b/>
                <w:color w:val="1A365D"/>
                <w:sz w:val="20"/>
              </w:rPr>
              <w:t>VERIFIED_FACTS:</w:t>
            </w:r>
            <w:r>
              <w:rPr>
                <w:rFonts w:ascii="Calibri" w:hAnsi="Calibri"/>
                <w:color w:val="2D3748"/>
                <w:sz w:val="20"/>
              </w:rPr>
              <w:t xml:space="preserve"> Appellant sought anticipatory bail in a matrimonial criminal prosecution under Section 498A IPC and the Dowry Prohibition Act.</w:t>
            </w:r>
          </w:p>
          <w:p>
            <w:pPr>
              <w:spacing w:before="60" w:after="60" w:line="276" w:lineRule="auto"/>
              <w:ind w:left="173" w:right="173"/>
            </w:pPr>
            <w:r>
              <w:rPr>
                <w:rFonts w:ascii="Calibri" w:hAnsi="Calibri"/>
                <w:b/>
                <w:color w:val="1A365D"/>
                <w:sz w:val="20"/>
              </w:rPr>
              <w:t>HOLDING:</w:t>
            </w:r>
            <w:r>
              <w:rPr>
                <w:rFonts w:ascii="Calibri" w:hAnsi="Calibri"/>
                <w:color w:val="2D3748"/>
                <w:sz w:val="20"/>
              </w:rPr>
              <w:t xml:space="preserve"> Police cannot arrest mechanically for offences punishable up to seven years. Arrest must satisfy Section 41 conditions, and a Section 41A notice of appearance must be served within two weeks of complaint institution.</w:t>
            </w:r>
          </w:p>
          <w:p>
            <w:pPr>
              <w:spacing w:before="60" w:after="60" w:line="276" w:lineRule="auto"/>
              <w:ind w:left="173" w:right="173"/>
            </w:pPr>
            <w:r>
              <w:rPr>
                <w:rFonts w:ascii="Calibri" w:hAnsi="Calibri"/>
                <w:b/>
                <w:color w:val="1A365D"/>
                <w:sz w:val="20"/>
              </w:rPr>
              <w:t>LEGAL_PRINCIPLE / RATIO:</w:t>
            </w:r>
            <w:r>
              <w:rPr>
                <w:rFonts w:ascii="Calibri" w:hAnsi="Calibri"/>
                <w:color w:val="2D3748"/>
                <w:sz w:val="20"/>
              </w:rPr>
              <w:t xml:space="preserve"> Restraint on Routine Arrest. Magistrates authorizing detention mechanically without reviewing police checklists face disciplinary proceedings.</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 - Enforced and codified under BNSS Section 35</w:t>
            </w:r>
          </w:p>
          <w:p>
            <w:pPr>
              <w:spacing w:before="60" w:after="60" w:line="276" w:lineRule="auto"/>
              <w:ind w:left="173" w:right="173"/>
            </w:pPr>
            <w:r>
              <w:rPr>
                <w:rFonts w:ascii="Calibri" w:hAnsi="Calibri"/>
                <w:b/>
                <w:color w:val="1A365D"/>
                <w:sz w:val="20"/>
              </w:rPr>
              <w:t>OFFICIAL_SOURCE:</w:t>
            </w:r>
            <w:r>
              <w:rPr>
                <w:rFonts w:ascii="Calibri" w:hAnsi="Calibri"/>
                <w:color w:val="2D3748"/>
                <w:sz w:val="20"/>
              </w:rPr>
              <w:t xml:space="preserve"> Supreme Court of India Judgment Portal / Supreme Court Reports (SCR)</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Arnesh Kumar, notice of appearance, Section 41A CrPC, Section 35 BNSS, matrimonial disputes, routine arrest</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Case: CASE-CONST-003-V2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CASE_ID:</w:t>
            </w:r>
            <w:r>
              <w:rPr>
                <w:rFonts w:ascii="Calibri" w:hAnsi="Calibri"/>
                <w:color w:val="2D3748"/>
                <w:sz w:val="20"/>
              </w:rPr>
              <w:t xml:space="preserve"> CASE-CONST-003-V2</w:t>
            </w:r>
          </w:p>
          <w:p>
            <w:pPr>
              <w:spacing w:before="60" w:after="60" w:line="276" w:lineRule="auto"/>
              <w:ind w:left="173" w:right="173"/>
            </w:pPr>
            <w:r>
              <w:rPr>
                <w:rFonts w:ascii="Calibri" w:hAnsi="Calibri"/>
                <w:b/>
                <w:color w:val="1A365D"/>
                <w:sz w:val="20"/>
              </w:rPr>
              <w:t>CASE_NAME:</w:t>
            </w:r>
            <w:r>
              <w:rPr>
                <w:rFonts w:ascii="Calibri" w:hAnsi="Calibri"/>
                <w:color w:val="2D3748"/>
                <w:sz w:val="20"/>
              </w:rPr>
              <w:t xml:space="preserve"> Justice K.S. Puttaswamy (Retd.) v. Union of India</w:t>
            </w:r>
          </w:p>
          <w:p>
            <w:pPr>
              <w:spacing w:before="60" w:after="60" w:line="276" w:lineRule="auto"/>
              <w:ind w:left="173" w:right="173"/>
            </w:pPr>
            <w:r>
              <w:rPr>
                <w:rFonts w:ascii="Calibri" w:hAnsi="Calibri"/>
                <w:b/>
                <w:color w:val="1A365D"/>
                <w:sz w:val="20"/>
              </w:rPr>
              <w:t>COURT:</w:t>
            </w:r>
            <w:r>
              <w:rPr>
                <w:rFonts w:ascii="Calibri" w:hAnsi="Calibri"/>
                <w:color w:val="2D3748"/>
                <w:sz w:val="20"/>
              </w:rPr>
              <w:t xml:space="preserve"> Supreme Court of India (9-Judge Constitution Bench)</w:t>
            </w:r>
          </w:p>
          <w:p>
            <w:pPr>
              <w:spacing w:before="60" w:after="60" w:line="276" w:lineRule="auto"/>
              <w:ind w:left="173" w:right="173"/>
            </w:pPr>
            <w:r>
              <w:rPr>
                <w:rFonts w:ascii="Calibri" w:hAnsi="Calibri"/>
                <w:b/>
                <w:color w:val="1A365D"/>
                <w:sz w:val="20"/>
              </w:rPr>
              <w:t>BENCH:</w:t>
            </w:r>
            <w:r>
              <w:rPr>
                <w:rFonts w:ascii="Calibri" w:hAnsi="Calibri"/>
                <w:color w:val="2D3748"/>
                <w:sz w:val="20"/>
              </w:rPr>
              <w:t xml:space="preserve"> J.S. Khehar (CJI), J. Chelameswar, S.A. Bobde, R.K. Agrawal, R.F. Nariman, A.M. Sapre, D.Y. Chandrachud, S.K. Kaul, S. Abdul Nazeer, JJ.</w:t>
            </w:r>
          </w:p>
          <w:p>
            <w:pPr>
              <w:spacing w:before="60" w:after="60" w:line="276" w:lineRule="auto"/>
              <w:ind w:left="173" w:right="173"/>
            </w:pPr>
            <w:r>
              <w:rPr>
                <w:rFonts w:ascii="Calibri" w:hAnsi="Calibri"/>
                <w:b/>
                <w:color w:val="1A365D"/>
                <w:sz w:val="20"/>
              </w:rPr>
              <w:t>DATE_OF_JUDGMENT:</w:t>
            </w:r>
            <w:r>
              <w:rPr>
                <w:rFonts w:ascii="Calibri" w:hAnsi="Calibri"/>
                <w:color w:val="2D3748"/>
                <w:sz w:val="20"/>
              </w:rPr>
              <w:t xml:space="preserve"> 2017-08-24</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(2017) 10 SCC 1; AIR 2017 SC 4161; 2017 INSC 652</w:t>
            </w:r>
          </w:p>
          <w:p>
            <w:pPr>
              <w:spacing w:before="60" w:after="60" w:line="276" w:lineRule="auto"/>
              <w:ind w:left="173" w:right="173"/>
            </w:pPr>
            <w:r>
              <w:rPr>
                <w:rFonts w:ascii="Calibri" w:hAnsi="Calibri"/>
                <w:b/>
                <w:color w:val="1A365D"/>
                <w:sz w:val="20"/>
              </w:rPr>
              <w:t>RELEVANT_PROVISIONS:</w:t>
            </w:r>
            <w:r>
              <w:rPr>
                <w:rFonts w:ascii="Calibri" w:hAnsi="Calibri"/>
                <w:color w:val="2D3748"/>
                <w:sz w:val="20"/>
              </w:rPr>
              <w:t xml:space="preserve"> Constitution of India, Articles 14, 19, 21</w:t>
            </w:r>
          </w:p>
          <w:p>
            <w:pPr>
              <w:spacing w:before="60" w:after="60" w:line="276" w:lineRule="auto"/>
              <w:ind w:left="173" w:right="173"/>
            </w:pPr>
            <w:r>
              <w:rPr>
                <w:rFonts w:ascii="Calibri" w:hAnsi="Calibri"/>
                <w:b/>
                <w:color w:val="1A365D"/>
                <w:sz w:val="20"/>
              </w:rPr>
              <w:t>LEGAL_ISSUE:</w:t>
            </w:r>
            <w:r>
              <w:rPr>
                <w:rFonts w:ascii="Calibri" w:hAnsi="Calibri"/>
                <w:color w:val="2D3748"/>
                <w:sz w:val="20"/>
              </w:rPr>
              <w:t xml:space="preserve"> Whether the right to privacy is a guaranteed fundamental right under Part III of the Constitution of India?</w:t>
            </w:r>
          </w:p>
          <w:p>
            <w:pPr>
              <w:spacing w:before="60" w:after="60" w:line="276" w:lineRule="auto"/>
              <w:ind w:left="173" w:right="173"/>
            </w:pPr>
            <w:r>
              <w:rPr>
                <w:rFonts w:ascii="Calibri" w:hAnsi="Calibri"/>
                <w:b/>
                <w:color w:val="1A365D"/>
                <w:sz w:val="20"/>
              </w:rPr>
              <w:t>VERIFIED_FACTS:</w:t>
            </w:r>
            <w:r>
              <w:rPr>
                <w:rFonts w:ascii="Calibri" w:hAnsi="Calibri"/>
                <w:color w:val="2D3748"/>
                <w:sz w:val="20"/>
              </w:rPr>
              <w:t xml:space="preserve"> Biometric framework challenged; reference made to a 9-judge bench due to conflicting historical rulings in M.P. Sharma (1954) and Kharak Singh (1962).</w:t>
            </w:r>
          </w:p>
          <w:p>
            <w:pPr>
              <w:spacing w:before="60" w:after="60" w:line="276" w:lineRule="auto"/>
              <w:ind w:left="173" w:right="173"/>
            </w:pPr>
            <w:r>
              <w:rPr>
                <w:rFonts w:ascii="Calibri" w:hAnsi="Calibri"/>
                <w:b/>
                <w:color w:val="1A365D"/>
                <w:sz w:val="20"/>
              </w:rPr>
              <w:t>HOLDING:</w:t>
            </w:r>
            <w:r>
              <w:rPr>
                <w:rFonts w:ascii="Calibri" w:hAnsi="Calibri"/>
                <w:color w:val="2D3748"/>
                <w:sz w:val="20"/>
              </w:rPr>
              <w:t xml:space="preserve"> Overruling M.P. Sharma and Kharak Singh, the Court unanimously held that privacy is an intrinsic fundamental right emanating from Article 21 and the freedoms guaranteed by Part III.</w:t>
            </w:r>
          </w:p>
          <w:p>
            <w:pPr>
              <w:spacing w:before="60" w:after="60" w:line="276" w:lineRule="auto"/>
              <w:ind w:left="173" w:right="173"/>
            </w:pPr>
            <w:r>
              <w:rPr>
                <w:rFonts w:ascii="Calibri" w:hAnsi="Calibri"/>
                <w:b/>
                <w:color w:val="1A365D"/>
                <w:sz w:val="20"/>
              </w:rPr>
              <w:t>LEGAL_PRINCIPLE / RATIO:</w:t>
            </w:r>
            <w:r>
              <w:rPr>
                <w:rFonts w:ascii="Calibri" w:hAnsi="Calibri"/>
                <w:color w:val="2D3748"/>
                <w:sz w:val="20"/>
              </w:rPr>
              <w:t xml:space="preserve"> Three-Fold Proportionality Test. Any state interference with privacy must satisfy: (1) Legality (valid law); (2) Legitimate State Aim; and (3) Proportionality (rational nexus, least restrictive means, no disproportionate impact).</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 - Binding 9-Judge Precedent</w:t>
            </w:r>
          </w:p>
          <w:p>
            <w:pPr>
              <w:spacing w:before="60" w:after="60" w:line="276" w:lineRule="auto"/>
              <w:ind w:left="173" w:right="173"/>
            </w:pPr>
            <w:r>
              <w:rPr>
                <w:rFonts w:ascii="Calibri" w:hAnsi="Calibri"/>
                <w:b/>
                <w:color w:val="1A365D"/>
                <w:sz w:val="20"/>
              </w:rPr>
              <w:t>OFFICIAL_SOURCE:</w:t>
            </w:r>
            <w:r>
              <w:rPr>
                <w:rFonts w:ascii="Calibri" w:hAnsi="Calibri"/>
                <w:color w:val="2D3748"/>
                <w:sz w:val="20"/>
              </w:rPr>
              <w:t xml:space="preserve"> Supreme Court of India Judgment Portal / Supreme Court Reports (SCR)</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Puttaswamy, right to privacy, Article 21, proportionality test, legitimate state aim, fundamental rights</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Case: CASE-EVID-001-V2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CASE_ID:</w:t>
            </w:r>
            <w:r>
              <w:rPr>
                <w:rFonts w:ascii="Calibri" w:hAnsi="Calibri"/>
                <w:color w:val="2D3748"/>
                <w:sz w:val="20"/>
              </w:rPr>
              <w:t xml:space="preserve"> CASE-EVID-001-V2</w:t>
            </w:r>
          </w:p>
          <w:p>
            <w:pPr>
              <w:spacing w:before="60" w:after="60" w:line="276" w:lineRule="auto"/>
              <w:ind w:left="173" w:right="173"/>
            </w:pPr>
            <w:r>
              <w:rPr>
                <w:rFonts w:ascii="Calibri" w:hAnsi="Calibri"/>
                <w:b/>
                <w:color w:val="1A365D"/>
                <w:sz w:val="20"/>
              </w:rPr>
              <w:t>CASE_NAME:</w:t>
            </w:r>
            <w:r>
              <w:rPr>
                <w:rFonts w:ascii="Calibri" w:hAnsi="Calibri"/>
                <w:color w:val="2D3748"/>
                <w:sz w:val="20"/>
              </w:rPr>
              <w:t xml:space="preserve"> Arjun Panditrao Gorantyal v. Kailash Kushanrao Gorantyal</w:t>
            </w:r>
          </w:p>
          <w:p>
            <w:pPr>
              <w:spacing w:before="60" w:after="60" w:line="276" w:lineRule="auto"/>
              <w:ind w:left="173" w:right="173"/>
            </w:pPr>
            <w:r>
              <w:rPr>
                <w:rFonts w:ascii="Calibri" w:hAnsi="Calibri"/>
                <w:b/>
                <w:color w:val="1A365D"/>
                <w:sz w:val="20"/>
              </w:rPr>
              <w:t>COURT:</w:t>
            </w:r>
            <w:r>
              <w:rPr>
                <w:rFonts w:ascii="Calibri" w:hAnsi="Calibri"/>
                <w:color w:val="2D3748"/>
                <w:sz w:val="20"/>
              </w:rPr>
              <w:t xml:space="preserve"> Supreme Court of India (3-Judge Bench)</w:t>
            </w:r>
          </w:p>
          <w:p>
            <w:pPr>
              <w:spacing w:before="60" w:after="60" w:line="276" w:lineRule="auto"/>
              <w:ind w:left="173" w:right="173"/>
            </w:pPr>
            <w:r>
              <w:rPr>
                <w:rFonts w:ascii="Calibri" w:hAnsi="Calibri"/>
                <w:b/>
                <w:color w:val="1A365D"/>
                <w:sz w:val="20"/>
              </w:rPr>
              <w:t>BENCH:</w:t>
            </w:r>
            <w:r>
              <w:rPr>
                <w:rFonts w:ascii="Calibri" w:hAnsi="Calibri"/>
                <w:color w:val="2D3748"/>
                <w:sz w:val="20"/>
              </w:rPr>
              <w:t xml:space="preserve"> R.F. Nariman, S. Ravindra Bhat, V. Ramasubramanian, JJ.</w:t>
            </w:r>
          </w:p>
          <w:p>
            <w:pPr>
              <w:spacing w:before="60" w:after="60" w:line="276" w:lineRule="auto"/>
              <w:ind w:left="173" w:right="173"/>
            </w:pPr>
            <w:r>
              <w:rPr>
                <w:rFonts w:ascii="Calibri" w:hAnsi="Calibri"/>
                <w:b/>
                <w:color w:val="1A365D"/>
                <w:sz w:val="20"/>
              </w:rPr>
              <w:t>DATE_OF_JUDGMENT:</w:t>
            </w:r>
            <w:r>
              <w:rPr>
                <w:rFonts w:ascii="Calibri" w:hAnsi="Calibri"/>
                <w:color w:val="2D3748"/>
                <w:sz w:val="20"/>
              </w:rPr>
              <w:t xml:space="preserve"> 2020-07-14</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(2020) 7 SCC 1; 2020 INSC 452</w:t>
            </w:r>
          </w:p>
          <w:p>
            <w:pPr>
              <w:spacing w:before="60" w:after="60" w:line="276" w:lineRule="auto"/>
              <w:ind w:left="173" w:right="173"/>
            </w:pPr>
            <w:r>
              <w:rPr>
                <w:rFonts w:ascii="Calibri" w:hAnsi="Calibri"/>
                <w:b/>
                <w:color w:val="1A365D"/>
                <w:sz w:val="20"/>
              </w:rPr>
              <w:t>RELEVANT_PROVISIONS:</w:t>
            </w:r>
            <w:r>
              <w:rPr>
                <w:rFonts w:ascii="Calibri" w:hAnsi="Calibri"/>
                <w:color w:val="2D3748"/>
                <w:sz w:val="20"/>
              </w:rPr>
              <w:t xml:space="preserve"> Evidence Act, 1872 Sections 65A, 65B (now BSA, 2023 Sections 61, 62, 63)</w:t>
            </w:r>
          </w:p>
          <w:p>
            <w:pPr>
              <w:spacing w:before="60" w:after="60" w:line="276" w:lineRule="auto"/>
              <w:ind w:left="173" w:right="173"/>
            </w:pPr>
            <w:r>
              <w:rPr>
                <w:rFonts w:ascii="Calibri" w:hAnsi="Calibri"/>
                <w:b/>
                <w:color w:val="1A365D"/>
                <w:sz w:val="20"/>
              </w:rPr>
              <w:t>LEGAL_ISSUE:</w:t>
            </w:r>
            <w:r>
              <w:rPr>
                <w:rFonts w:ascii="Calibri" w:hAnsi="Calibri"/>
                <w:color w:val="2D3748"/>
                <w:sz w:val="20"/>
              </w:rPr>
              <w:t xml:space="preserve"> Is a statutory certificate mandatory for admitting secondary electronic records, and how does the requirement apply when the producing party is not in possession of the original device?</w:t>
            </w:r>
          </w:p>
          <w:p>
            <w:pPr>
              <w:spacing w:before="60" w:after="60" w:line="276" w:lineRule="auto"/>
              <w:ind w:left="173" w:right="173"/>
            </w:pPr>
            <w:r>
              <w:rPr>
                <w:rFonts w:ascii="Calibri" w:hAnsi="Calibri"/>
                <w:b/>
                <w:color w:val="1A365D"/>
                <w:sz w:val="20"/>
              </w:rPr>
              <w:t>VERIFIED_FACTS:</w:t>
            </w:r>
            <w:r>
              <w:rPr>
                <w:rFonts w:ascii="Calibri" w:hAnsi="Calibri"/>
                <w:color w:val="2D3748"/>
                <w:sz w:val="20"/>
              </w:rPr>
              <w:t xml:space="preserve"> Election petition challenging MLA election where video recordings of election proceedings were tendered without a statutory Section 65B certificate.</w:t>
            </w:r>
          </w:p>
          <w:p>
            <w:pPr>
              <w:spacing w:before="60" w:after="60" w:line="276" w:lineRule="auto"/>
              <w:ind w:left="173" w:right="173"/>
            </w:pPr>
            <w:r>
              <w:rPr>
                <w:rFonts w:ascii="Calibri" w:hAnsi="Calibri"/>
                <w:b/>
                <w:color w:val="1A365D"/>
                <w:sz w:val="20"/>
              </w:rPr>
              <w:t>HOLDING:</w:t>
            </w:r>
            <w:r>
              <w:rPr>
                <w:rFonts w:ascii="Calibri" w:hAnsi="Calibri"/>
                <w:color w:val="2D3748"/>
                <w:sz w:val="20"/>
              </w:rPr>
              <w:t xml:space="preserve"> Affirmed Anvar P.V. and overruled Shafhi Mohammad. Producing a statutory certificate is a condition precedent for admitting secondary electronic records. However, where the original device is in the custody of a third party who refuses to produce the certificate, the court has the power and duty to issue witness summons and compel production under procedural codes.</w:t>
            </w:r>
          </w:p>
          <w:p>
            <w:pPr>
              <w:spacing w:before="60" w:after="60" w:line="276" w:lineRule="auto"/>
              <w:ind w:left="173" w:right="173"/>
            </w:pPr>
            <w:r>
              <w:rPr>
                <w:rFonts w:ascii="Calibri" w:hAnsi="Calibri"/>
                <w:b/>
                <w:color w:val="1A365D"/>
                <w:sz w:val="20"/>
              </w:rPr>
              <w:t>LEGAL_PRINCIPLE / RATIO:</w:t>
            </w:r>
            <w:r>
              <w:rPr>
                <w:rFonts w:ascii="Calibri" w:hAnsi="Calibri"/>
                <w:color w:val="2D3748"/>
                <w:sz w:val="20"/>
              </w:rPr>
              <w:t xml:space="preserve"> Mandatory Certificate for Secondary Electronic Records. Oral evidence cannot substitute for the statutory certificate. Decided under Section 65B of the repealed Evidence Act; relevant to BSA Section 63 to the extent supported by its revised text and Schedule requirements.</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 / HISTORICAL PRECEDENT (Decided under former Evidence Act § 65B; informs interpretation of BSA § 63)</w:t>
            </w:r>
          </w:p>
          <w:p>
            <w:pPr>
              <w:spacing w:before="60" w:after="60" w:line="276" w:lineRule="auto"/>
              <w:ind w:left="173" w:right="173"/>
            </w:pPr>
            <w:r>
              <w:rPr>
                <w:rFonts w:ascii="Calibri" w:hAnsi="Calibri"/>
                <w:b/>
                <w:color w:val="1A365D"/>
                <w:sz w:val="20"/>
              </w:rPr>
              <w:t>OFFICIAL_SOURCE:</w:t>
            </w:r>
            <w:r>
              <w:rPr>
                <w:rFonts w:ascii="Calibri" w:hAnsi="Calibri"/>
                <w:color w:val="2D3748"/>
                <w:sz w:val="20"/>
              </w:rPr>
              <w:t xml:space="preserve"> Supreme Court of India Judgment Portal / Supreme Court Reports (SCR)</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Arjun Panditrao, Section 65B, Section 63 BSA, secondary electronic records, mandatory certificate, witness summons</w:t>
            </w:r>
          </w:p>
        </w:tc>
      </w:tr>
    </w:tbl>
    <w:p>
      <w:pPr>
        <w:spacing w:before="160" w:after="160"/>
      </w:pPr>
      <w:r>
        <w:rPr>
          <w:rFonts w:ascii="Consolas" w:hAnsi="Consolas"/>
          <w:color w:val="A0AEC0"/>
          <w:sz w:val="19"/>
        </w:rPr>
        <w:t>================================================================================</w:t>
      </w:r>
    </w:p>
    <w:p>
      <w:pPr>
        <w:keepNext/>
        <w:spacing w:before="160" w:after="80"/>
      </w:pPr>
      <w:r>
        <w:rPr>
          <w:rFonts w:ascii="Calibri" w:hAnsi="Calibri"/>
          <w:b/>
          <w:color w:val="1A365D"/>
          <w:sz w:val="24"/>
        </w:rPr>
        <w:t>Case: CASE-COMM-001-V2</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2B6CB0"/>
              <w:bottom w:val="none"/>
              <w:right w:val="none"/>
            </w:tcBorders>
          </w:tcPr>
          <w:p>
            <w:pPr>
              <w:spacing w:before="60" w:after="60" w:line="276" w:lineRule="auto"/>
              <w:ind w:left="173" w:right="173"/>
            </w:pPr>
            <w:r>
              <w:rPr>
                <w:rFonts w:ascii="Calibri" w:hAnsi="Calibri"/>
                <w:b/>
                <w:color w:val="1A365D"/>
                <w:sz w:val="20"/>
              </w:rPr>
              <w:t>CASE_ID:</w:t>
            </w:r>
            <w:r>
              <w:rPr>
                <w:rFonts w:ascii="Calibri" w:hAnsi="Calibri"/>
                <w:color w:val="2D3748"/>
                <w:sz w:val="20"/>
              </w:rPr>
              <w:t xml:space="preserve"> CASE-COMM-001-V2</w:t>
            </w:r>
          </w:p>
          <w:p>
            <w:pPr>
              <w:spacing w:before="60" w:after="60" w:line="276" w:lineRule="auto"/>
              <w:ind w:left="173" w:right="173"/>
            </w:pPr>
            <w:r>
              <w:rPr>
                <w:rFonts w:ascii="Calibri" w:hAnsi="Calibri"/>
                <w:b/>
                <w:color w:val="1A365D"/>
                <w:sz w:val="20"/>
              </w:rPr>
              <w:t>CASE_NAME:</w:t>
            </w:r>
            <w:r>
              <w:rPr>
                <w:rFonts w:ascii="Calibri" w:hAnsi="Calibri"/>
                <w:color w:val="2D3748"/>
                <w:sz w:val="20"/>
              </w:rPr>
              <w:t xml:space="preserve"> Patil Automation Private Limited v. Rakheja Engineers Private Limited</w:t>
            </w:r>
          </w:p>
          <w:p>
            <w:pPr>
              <w:spacing w:before="60" w:after="60" w:line="276" w:lineRule="auto"/>
              <w:ind w:left="173" w:right="173"/>
            </w:pPr>
            <w:r>
              <w:rPr>
                <w:rFonts w:ascii="Calibri" w:hAnsi="Calibri"/>
                <w:b/>
                <w:color w:val="1A365D"/>
                <w:sz w:val="20"/>
              </w:rPr>
              <w:t>COURT:</w:t>
            </w:r>
            <w:r>
              <w:rPr>
                <w:rFonts w:ascii="Calibri" w:hAnsi="Calibri"/>
                <w:color w:val="2D3748"/>
                <w:sz w:val="20"/>
              </w:rPr>
              <w:t xml:space="preserve"> Supreme Court of India (2-Judge Bench)</w:t>
            </w:r>
          </w:p>
          <w:p>
            <w:pPr>
              <w:spacing w:before="60" w:after="60" w:line="276" w:lineRule="auto"/>
              <w:ind w:left="173" w:right="173"/>
            </w:pPr>
            <w:r>
              <w:rPr>
                <w:rFonts w:ascii="Calibri" w:hAnsi="Calibri"/>
                <w:b/>
                <w:color w:val="1A365D"/>
                <w:sz w:val="20"/>
              </w:rPr>
              <w:t>BENCH:</w:t>
            </w:r>
            <w:r>
              <w:rPr>
                <w:rFonts w:ascii="Calibri" w:hAnsi="Calibri"/>
                <w:color w:val="2D3748"/>
                <w:sz w:val="20"/>
              </w:rPr>
              <w:t xml:space="preserve"> K.M. Joseph, Hrishikesh Roy, JJ.</w:t>
            </w:r>
          </w:p>
          <w:p>
            <w:pPr>
              <w:spacing w:before="60" w:after="60" w:line="276" w:lineRule="auto"/>
              <w:ind w:left="173" w:right="173"/>
            </w:pPr>
            <w:r>
              <w:rPr>
                <w:rFonts w:ascii="Calibri" w:hAnsi="Calibri"/>
                <w:b/>
                <w:color w:val="1A365D"/>
                <w:sz w:val="20"/>
              </w:rPr>
              <w:t>DATE_OF_JUDGMENT:</w:t>
            </w:r>
            <w:r>
              <w:rPr>
                <w:rFonts w:ascii="Calibri" w:hAnsi="Calibri"/>
                <w:color w:val="2D3748"/>
                <w:sz w:val="20"/>
              </w:rPr>
              <w:t xml:space="preserve"> 2022-08-17</w:t>
            </w:r>
          </w:p>
          <w:p>
            <w:pPr>
              <w:spacing w:before="60" w:after="60" w:line="276" w:lineRule="auto"/>
              <w:ind w:left="173" w:right="173"/>
            </w:pPr>
            <w:r>
              <w:rPr>
                <w:rFonts w:ascii="Calibri" w:hAnsi="Calibri"/>
                <w:b/>
                <w:color w:val="1A365D"/>
                <w:sz w:val="20"/>
              </w:rPr>
              <w:t>OFFICIAL_CITATION:</w:t>
            </w:r>
            <w:r>
              <w:rPr>
                <w:rFonts w:ascii="Calibri" w:hAnsi="Calibri"/>
                <w:color w:val="2D3748"/>
                <w:sz w:val="20"/>
              </w:rPr>
              <w:t xml:space="preserve"> (2022) 10 SCC 1; AIR 2022 SC 3848; 2022 INSC 836</w:t>
            </w:r>
          </w:p>
          <w:p>
            <w:pPr>
              <w:spacing w:before="60" w:after="60" w:line="276" w:lineRule="auto"/>
              <w:ind w:left="173" w:right="173"/>
            </w:pPr>
            <w:r>
              <w:rPr>
                <w:rFonts w:ascii="Calibri" w:hAnsi="Calibri"/>
                <w:b/>
                <w:color w:val="1A365D"/>
                <w:sz w:val="20"/>
              </w:rPr>
              <w:t>RELEVANT_PROVISIONS:</w:t>
            </w:r>
            <w:r>
              <w:rPr>
                <w:rFonts w:ascii="Calibri" w:hAnsi="Calibri"/>
                <w:color w:val="2D3748"/>
                <w:sz w:val="20"/>
              </w:rPr>
              <w:t xml:space="preserve"> Commercial Courts Act, 2015 Section 12A; CPC Order VII Rule 11</w:t>
            </w:r>
          </w:p>
          <w:p>
            <w:pPr>
              <w:spacing w:before="60" w:after="60" w:line="276" w:lineRule="auto"/>
              <w:ind w:left="173" w:right="173"/>
            </w:pPr>
            <w:r>
              <w:rPr>
                <w:rFonts w:ascii="Calibri" w:hAnsi="Calibri"/>
                <w:b/>
                <w:color w:val="1A365D"/>
                <w:sz w:val="20"/>
              </w:rPr>
              <w:t>LEGAL_ISSUE:</w:t>
            </w:r>
            <w:r>
              <w:rPr>
                <w:rFonts w:ascii="Calibri" w:hAnsi="Calibri"/>
                <w:color w:val="2D3748"/>
                <w:sz w:val="20"/>
              </w:rPr>
              <w:t xml:space="preserve"> Is Pre-Institution Mediation and Settlement (PIMS) under Section 12A of the Commercial Courts Act, 2015 mandatory, and does non-compliance require rejection of the plaint under Order VII Rule 11 CPC?</w:t>
            </w:r>
          </w:p>
          <w:p>
            <w:pPr>
              <w:spacing w:before="60" w:after="60" w:line="276" w:lineRule="auto"/>
              <w:ind w:left="173" w:right="173"/>
            </w:pPr>
            <w:r>
              <w:rPr>
                <w:rFonts w:ascii="Calibri" w:hAnsi="Calibri"/>
                <w:b/>
                <w:color w:val="1A365D"/>
                <w:sz w:val="20"/>
              </w:rPr>
              <w:t>VERIFIED_FACTS:</w:t>
            </w:r>
            <w:r>
              <w:rPr>
                <w:rFonts w:ascii="Calibri" w:hAnsi="Calibri"/>
                <w:color w:val="2D3748"/>
                <w:sz w:val="20"/>
              </w:rPr>
              <w:t xml:space="preserve"> Commercial suits instituted without exhausting pre-institution mediation under Section 12A and without contemplating or seeking urgent interim relief.</w:t>
            </w:r>
          </w:p>
          <w:p>
            <w:pPr>
              <w:spacing w:before="60" w:after="60" w:line="276" w:lineRule="auto"/>
              <w:ind w:left="173" w:right="173"/>
            </w:pPr>
            <w:r>
              <w:rPr>
                <w:rFonts w:ascii="Calibri" w:hAnsi="Calibri"/>
                <w:b/>
                <w:color w:val="1A365D"/>
                <w:sz w:val="20"/>
              </w:rPr>
              <w:t>HOLDING:</w:t>
            </w:r>
            <w:r>
              <w:rPr>
                <w:rFonts w:ascii="Calibri" w:hAnsi="Calibri"/>
                <w:color w:val="2D3748"/>
                <w:sz w:val="20"/>
              </w:rPr>
              <w:t xml:space="preserve"> Section 12A of the Commercial Courts Act, 2015 is mandatory. Commercial suits instituted in violation of Section 12A (where no urgent interim relief is contemplated) must be rejected at the threshold under Order VII Rule 11 CPC.</w:t>
            </w:r>
          </w:p>
          <w:p>
            <w:pPr>
              <w:spacing w:before="60" w:after="60" w:line="276" w:lineRule="auto"/>
              <w:ind w:left="173" w:right="173"/>
            </w:pPr>
            <w:r>
              <w:rPr>
                <w:rFonts w:ascii="Calibri" w:hAnsi="Calibri"/>
                <w:b/>
                <w:color w:val="1A365D"/>
                <w:sz w:val="20"/>
              </w:rPr>
              <w:t>LEGAL_PRINCIPLE / RATIO:</w:t>
            </w:r>
            <w:r>
              <w:rPr>
                <w:rFonts w:ascii="Calibri" w:hAnsi="Calibri"/>
                <w:color w:val="2D3748"/>
                <w:sz w:val="20"/>
              </w:rPr>
              <w:t xml:space="preserve"> Mandatory Pre-Institution Mediation. A commercial suit filed without complying with Section 12A is barred by law. To prevent administrative disruption, this declaration was made prospective with effect from August 20, 2022.</w:t>
            </w:r>
          </w:p>
          <w:p>
            <w:pPr>
              <w:spacing w:before="60" w:after="60" w:line="276" w:lineRule="auto"/>
              <w:ind w:left="173" w:right="173"/>
            </w:pPr>
            <w:r>
              <w:rPr>
                <w:rFonts w:ascii="Calibri" w:hAnsi="Calibri"/>
                <w:b/>
                <w:color w:val="1A365D"/>
                <w:sz w:val="20"/>
              </w:rPr>
              <w:t>CURRENT_STATUS:</w:t>
            </w:r>
            <w:r>
              <w:rPr>
                <w:rFonts w:ascii="Calibri" w:hAnsi="Calibri"/>
                <w:color w:val="2D3748"/>
                <w:sz w:val="20"/>
              </w:rPr>
              <w:t xml:space="preserve"> CURRENT LAW - Active Precedent</w:t>
            </w:r>
          </w:p>
          <w:p>
            <w:pPr>
              <w:spacing w:before="60" w:after="60" w:line="276" w:lineRule="auto"/>
              <w:ind w:left="173" w:right="173"/>
            </w:pPr>
            <w:r>
              <w:rPr>
                <w:rFonts w:ascii="Calibri" w:hAnsi="Calibri"/>
                <w:b/>
                <w:color w:val="1A365D"/>
                <w:sz w:val="20"/>
              </w:rPr>
              <w:t>OFFICIAL_SOURCE:</w:t>
            </w:r>
            <w:r>
              <w:rPr>
                <w:rFonts w:ascii="Calibri" w:hAnsi="Calibri"/>
                <w:color w:val="2D3748"/>
                <w:sz w:val="20"/>
              </w:rPr>
              <w:t xml:space="preserve"> Supreme Court of India Judgment Portal / Supreme Court Reports (SCR)</w:t>
            </w:r>
          </w:p>
          <w:p>
            <w:pPr>
              <w:spacing w:before="60" w:after="60" w:line="276" w:lineRule="auto"/>
              <w:ind w:left="173" w:right="173"/>
            </w:pPr>
            <w:r>
              <w:rPr>
                <w:rFonts w:ascii="Calibri" w:hAnsi="Calibri"/>
                <w:b/>
                <w:color w:val="1A365D"/>
                <w:sz w:val="20"/>
              </w:rPr>
              <w:t>VERIFICATION_STATUS:</w:t>
            </w:r>
            <w:r>
              <w:rPr>
                <w:rFonts w:ascii="Calibri" w:hAnsi="Calibri"/>
                <w:color w:val="2D3748"/>
                <w:sz w:val="20"/>
              </w:rPr>
              <w:t xml:space="preserve"> Verified against Primary Source</w:t>
            </w:r>
          </w:p>
          <w:p>
            <w:pPr>
              <w:spacing w:before="60" w:after="60" w:line="276" w:lineRule="auto"/>
              <w:ind w:left="173" w:right="173"/>
            </w:pPr>
            <w:r>
              <w:rPr>
                <w:rFonts w:ascii="Calibri" w:hAnsi="Calibri"/>
                <w:b/>
                <w:color w:val="1A365D"/>
                <w:sz w:val="20"/>
              </w:rPr>
              <w:t>LAST_VERIFIED_AT:</w:t>
            </w:r>
            <w:r>
              <w:rPr>
                <w:rFonts w:ascii="Calibri" w:hAnsi="Calibri"/>
                <w:color w:val="2D3748"/>
                <w:sz w:val="20"/>
              </w:rPr>
              <w:t xml:space="preserve"> 2026-09-03</w:t>
            </w:r>
          </w:p>
          <w:p>
            <w:pPr>
              <w:spacing w:before="60" w:after="60" w:line="276" w:lineRule="auto"/>
              <w:ind w:left="173" w:right="173"/>
            </w:pPr>
            <w:r>
              <w:rPr>
                <w:rFonts w:ascii="Calibri" w:hAnsi="Calibri"/>
                <w:b/>
                <w:color w:val="1A365D"/>
                <w:sz w:val="20"/>
              </w:rPr>
              <w:t>KEYWORDS:</w:t>
            </w:r>
            <w:r>
              <w:rPr>
                <w:rFonts w:ascii="Calibri" w:hAnsi="Calibri"/>
                <w:color w:val="2D3748"/>
                <w:sz w:val="20"/>
              </w:rPr>
              <w:t xml:space="preserve"> Patil Automation, Section 12A, Commercial Courts Act, pre-institution mediation, Order VII Rule 11, rejection of plaint, prospective operation</w:t>
            </w:r>
          </w:p>
        </w:tc>
      </w:tr>
    </w:tbl>
    <w:p>
      <w:pPr>
        <w:spacing w:before="160" w:after="160"/>
      </w:pPr>
      <w:r>
        <w:rPr>
          <w:rFonts w:ascii="Consolas" w:hAnsi="Consolas"/>
          <w:color w:val="A0AEC0"/>
          <w:sz w:val="19"/>
        </w:rPr>
        <w:t>================================================================================</w:t>
      </w:r>
    </w:p>
    <w:p>
      <w:pPr>
        <w:keepNext/>
        <w:spacing w:before="280" w:after="120"/>
      </w:pPr>
      <w:r>
        <w:rPr>
          <w:rFonts w:ascii="Calibri" w:hAnsi="Calibri"/>
          <w:b/>
          <w:color w:val="2B6CB0"/>
          <w:sz w:val="26"/>
        </w:rPr>
        <w:t>Section 6: Quality Control Audit Report (Version 1 vs. Version 2.1 Comparison)</w:t>
      </w:r>
    </w:p>
    <w:p>
      <w:pPr>
        <w:spacing w:before="0" w:after="120" w:line="276" w:lineRule="auto"/>
      </w:pPr>
      <w:r>
        <w:rPr>
          <w:rFonts w:ascii="Calibri" w:hAnsi="Calibri"/>
          <w:b w:val="0"/>
          <w:i w:val="0"/>
          <w:color w:val="2D3748"/>
          <w:sz w:val="21"/>
        </w:rPr>
        <w:t>This audit documents all corrections, expansions, and structural improvements introduced in Version 2.1 (including the September 2026 final legal accuracy pass):</w:t>
      </w:r>
    </w:p>
    <w:p>
      <w:pPr>
        <w:spacing w:before="40" w:after="80"/>
        <w:ind w:left="288"/>
      </w:pPr>
      <w:r>
        <w:rPr>
          <w:rFonts w:ascii="Calibri" w:hAnsi="Calibri"/>
          <w:b/>
          <w:color w:val="1A365D"/>
          <w:sz w:val="20"/>
        </w:rPr>
        <w:t xml:space="preserve">• Labour Codes Implementation Framework: </w:t>
      </w:r>
      <w:r>
        <w:rPr>
          <w:rFonts w:ascii="Calibri" w:hAnsi="Calibri"/>
          <w:color w:val="2D3748"/>
          <w:sz w:val="20"/>
        </w:rPr>
        <w:t>Version 1 and initial drafts inaccurately stated that the four Labour Codes remained largely unnotified and that 29 legacy statutes remained active operational law. Corrected in Version 2.1: Reflects official notification and implementation with effect from 21 November 2025 across the Code on Wages, 2019; Industrial Relations Code, 2020; Code on Social Security, 2020; and OSH Code, 2020. Establishes a dual-track temporal model: CURRENT LAW = Labour Codes to extent commenced; HISTORICAL / TRANSITIONAL LAW = legacy statutes for past claims, saved matters, and transitional periods.</w:t>
      </w:r>
    </w:p>
    <w:p>
      <w:pPr>
        <w:spacing w:before="40" w:after="80"/>
        <w:ind w:left="288"/>
      </w:pPr>
      <w:r>
        <w:rPr>
          <w:rFonts w:ascii="Calibri" w:hAnsi="Calibri"/>
          <w:b/>
          <w:color w:val="1A365D"/>
          <w:sz w:val="20"/>
        </w:rPr>
        <w:t xml:space="preserve">• Digital Personal Data Protection Rules, 2025: </w:t>
      </w:r>
      <w:r>
        <w:rPr>
          <w:rFonts w:ascii="Calibri" w:hAnsi="Calibri"/>
          <w:color w:val="2D3748"/>
          <w:sz w:val="20"/>
        </w:rPr>
        <w:t>Initial drafts treated DPDP subordinate rules as a future research gap. Corrected in Version 2.1: Formalizes the official publication of the Digital Personal Data Protection Rules, 2025 by MeitY, articulating a non-binary, staggered commencement model separating Board establishment from phased compliance windows for Data Fiduciaries.</w:t>
      </w:r>
    </w:p>
    <w:p>
      <w:pPr>
        <w:spacing w:before="40" w:after="80"/>
        <w:ind w:left="288"/>
      </w:pPr>
      <w:r>
        <w:rPr>
          <w:rFonts w:ascii="Calibri" w:hAnsi="Calibri"/>
          <w:b/>
          <w:color w:val="1A365D"/>
          <w:sz w:val="20"/>
        </w:rPr>
        <w:t xml:space="preserve">• BSA Section 63 Certification Precision: </w:t>
      </w:r>
      <w:r>
        <w:rPr>
          <w:rFonts w:ascii="Calibri" w:hAnsi="Calibri"/>
          <w:color w:val="2D3748"/>
          <w:sz w:val="20"/>
        </w:rPr>
        <w:t>Removed overbroad statements claiming the statutory certificate is an 'absolute condition precedent for admissibility' in every circumstance. Corrected in Version 2.1: Delineates primary electronic records (Section 62), secondary electronic records (Section 63), Schedule Part A &amp; B criteria, and explains that Arjun Panditrao Gorantyal was decided under former Evidence Act Section 65B and informs BSA Section 63 only to the extent supported by its statutory text.</w:t>
      </w:r>
    </w:p>
    <w:p>
      <w:pPr>
        <w:spacing w:before="40" w:after="80"/>
        <w:ind w:left="288"/>
      </w:pPr>
      <w:r>
        <w:rPr>
          <w:rFonts w:ascii="Calibri" w:hAnsi="Calibri"/>
          <w:b/>
          <w:color w:val="1A365D"/>
          <w:sz w:val="20"/>
        </w:rPr>
        <w:t xml:space="preserve">• Commercial Courts 120-Day Rule Qualifications: </w:t>
      </w:r>
      <w:r>
        <w:rPr>
          <w:rFonts w:ascii="Calibri" w:hAnsi="Calibri"/>
          <w:color w:val="2D3748"/>
          <w:sz w:val="20"/>
        </w:rPr>
        <w:t>Refined the characterization of the 120-day written statement window under Order VIII Rule 1 CPC. Preserved its mandatory nature in Commercial Disputes of Specified Value (SCG Contracts), while adding qualifications regarding date-of-service verification, directory status in non-commercial suits, and Supreme Court pandemic exclusion orders.</w:t>
      </w:r>
    </w:p>
    <w:p>
      <w:pPr>
        <w:spacing w:before="40" w:after="80"/>
        <w:ind w:left="288"/>
      </w:pPr>
      <w:r>
        <w:rPr>
          <w:rFonts w:ascii="Calibri" w:hAnsi="Calibri"/>
          <w:b/>
          <w:color w:val="1A365D"/>
          <w:sz w:val="20"/>
        </w:rPr>
        <w:t xml:space="preserve">• Order VII Rule 11 Severable Claims Jurisprudence: </w:t>
      </w:r>
      <w:r>
        <w:rPr>
          <w:rFonts w:ascii="Calibri" w:hAnsi="Calibri"/>
          <w:color w:val="2D3748"/>
          <w:sz w:val="20"/>
        </w:rPr>
        <w:t>Corrected the absolute assertion that a plaint can never be rejected in part. Clarified that while undivided plaints cannot be split under Madhav Prasad Aggarwal, established Supreme Court jurisprudence permits severable, independent non-maintainable claims to be rejected while allowing maintainable claims to proceed.</w:t>
      </w:r>
    </w:p>
    <w:p>
      <w:pPr>
        <w:spacing w:before="40" w:after="80"/>
        <w:ind w:left="288"/>
      </w:pPr>
      <w:r>
        <w:rPr>
          <w:rFonts w:ascii="Calibri" w:hAnsi="Calibri"/>
          <w:b/>
          <w:color w:val="1A365D"/>
          <w:sz w:val="20"/>
        </w:rPr>
        <w:t xml:space="preserve">• Limitation Act Section 3 &amp; 5 Precision: </w:t>
      </w:r>
      <w:r>
        <w:rPr>
          <w:rFonts w:ascii="Calibri" w:hAnsi="Calibri"/>
          <w:color w:val="2D3748"/>
          <w:sz w:val="20"/>
        </w:rPr>
        <w:t>Replaced sweeping assertions with an accurate statutory framework: Section 3 dismissal is subject to Sections 4 to 24; Section 5 applies to appeals/applications (excluding execution); and limitation computation is strictly dependent on the specific Schedule Article and cause of action.</w:t>
      </w:r>
    </w:p>
    <w:p>
      <w:pPr>
        <w:spacing w:before="40" w:after="80"/>
        <w:ind w:left="288"/>
      </w:pPr>
      <w:r>
        <w:rPr>
          <w:rFonts w:ascii="Calibri" w:hAnsi="Calibri"/>
          <w:b/>
          <w:color w:val="1A365D"/>
          <w:sz w:val="20"/>
        </w:rPr>
        <w:t xml:space="preserve">• Transfer of Property Act Section 54 Title Transfer: </w:t>
      </w:r>
      <w:r>
        <w:rPr>
          <w:rFonts w:ascii="Calibri" w:hAnsi="Calibri"/>
          <w:color w:val="2D3748"/>
          <w:sz w:val="20"/>
        </w:rPr>
        <w:t>Corrected the claim that registration mechanically transfers title. Formulated the precise statutory distinction between a contract for sale and a registered sale deed, preserving Section 53A part-performance defenses and Suraj Lamp principles.</w:t>
      </w:r>
    </w:p>
    <w:p>
      <w:pPr>
        <w:spacing w:before="40" w:after="80"/>
        <w:ind w:left="288"/>
      </w:pPr>
      <w:r>
        <w:rPr>
          <w:rFonts w:ascii="Calibri" w:hAnsi="Calibri"/>
          <w:b/>
          <w:color w:val="1A365D"/>
          <w:sz w:val="20"/>
        </w:rPr>
        <w:t xml:space="preserve">• Specific Relief Act Section 10 Characterization: </w:t>
      </w:r>
      <w:r>
        <w:rPr>
          <w:rFonts w:ascii="Calibri" w:hAnsi="Calibri"/>
          <w:color w:val="2D3748"/>
          <w:sz w:val="20"/>
        </w:rPr>
        <w:t>Replaced unconditional 'mandatory right' language with the precise statutory formulation: specific performance is the statutory remedy subject strictly to Sections 11(2), 14, and 16, affirming Katta Sujatha Reddy for prospective operation from 1 October 2018.</w:t>
      </w:r>
    </w:p>
    <w:p>
      <w:pPr>
        <w:spacing w:before="40" w:after="80"/>
        <w:ind w:left="288"/>
      </w:pPr>
      <w:r>
        <w:rPr>
          <w:rFonts w:ascii="Calibri" w:hAnsi="Calibri"/>
          <w:b/>
          <w:color w:val="1A365D"/>
          <w:sz w:val="20"/>
        </w:rPr>
        <w:t xml:space="preserve">• IBC Default Thresholds Temporal Separation: </w:t>
      </w:r>
      <w:r>
        <w:rPr>
          <w:rFonts w:ascii="Calibri" w:hAnsi="Calibri"/>
          <w:color w:val="2D3748"/>
          <w:sz w:val="20"/>
        </w:rPr>
        <w:t>Framed the CIRP default threshold under Section 4 IBC as notification-dependent, distinguishing the historical ₹1 Lakh limit from the ₹1 Crore threshold (S.O. 1205(E) dated 24.03.2020) and the separate ₹10 Lakhs threshold for MSME pre-pack insolvencies.</w:t>
      </w:r>
    </w:p>
    <w:p>
      <w:pPr>
        <w:spacing w:before="40" w:after="80"/>
        <w:ind w:left="288"/>
      </w:pPr>
      <w:r>
        <w:rPr>
          <w:rFonts w:ascii="Calibri" w:hAnsi="Calibri"/>
          <w:b/>
          <w:color w:val="1A365D"/>
          <w:sz w:val="20"/>
        </w:rPr>
        <w:t xml:space="preserve">• Consumer Forum Pecuniary Jurisdiction Standard: </w:t>
      </w:r>
      <w:r>
        <w:rPr>
          <w:rFonts w:ascii="Calibri" w:hAnsi="Calibri"/>
          <w:color w:val="2D3748"/>
          <w:sz w:val="20"/>
        </w:rPr>
        <w:t>Updated the pecuniary jurisdiction rules under G.S.R. 883(E) (District up to ₹50 Lakhs, State up to ₹2 Crores, NCDRC above ₹2 Crores) as rule-dependent and evaluated strictly on actual consideration paid.</w:t>
      </w:r>
    </w:p>
    <w:p>
      <w:pPr>
        <w:spacing w:before="40" w:after="80"/>
        <w:ind w:left="288"/>
      </w:pPr>
      <w:r>
        <w:rPr>
          <w:rFonts w:ascii="Calibri" w:hAnsi="Calibri"/>
          <w:b/>
          <w:color w:val="1A365D"/>
          <w:sz w:val="20"/>
        </w:rPr>
        <w:t xml:space="preserve">• Arbitration Non-Stamping Jurisprudence: </w:t>
      </w:r>
      <w:r>
        <w:rPr>
          <w:rFonts w:ascii="Calibri" w:hAnsi="Calibri"/>
          <w:color w:val="2D3748"/>
          <w:sz w:val="20"/>
        </w:rPr>
        <w:t>Refined the analysis of In Re: Interplay (2023) to distinguish prima facie existence at referral (Sections 8 &amp; 11) from subsequent stamp duty impounding and curable admissibility under the Stamp Act before the tribunal (Section 16).</w:t>
      </w:r>
    </w:p>
    <w:p>
      <w:pPr>
        <w:spacing w:before="40" w:after="80"/>
        <w:ind w:left="288"/>
      </w:pPr>
      <w:r>
        <w:rPr>
          <w:rFonts w:ascii="Calibri" w:hAnsi="Calibri"/>
          <w:b/>
          <w:color w:val="1A365D"/>
          <w:sz w:val="20"/>
        </w:rPr>
        <w:t xml:space="preserve">• Negotiable Instruments Act Section 143A Discretion: </w:t>
      </w:r>
      <w:r>
        <w:rPr>
          <w:rFonts w:ascii="Calibri" w:hAnsi="Calibri"/>
          <w:color w:val="2D3748"/>
          <w:sz w:val="20"/>
        </w:rPr>
        <w:t>Preserved the ruling in Rakesh Ranjan Shrivastava (2024) establishing trial court discretion in ordering 20% interim compensation under Section 143A, distinguishing it from appellate deposits under Section 148.</w:t>
      </w:r>
    </w:p>
    <w:p>
      <w:pPr>
        <w:spacing w:before="40" w:after="80"/>
        <w:ind w:left="288"/>
      </w:pPr>
      <w:r>
        <w:rPr>
          <w:rFonts w:ascii="Calibri" w:hAnsi="Calibri"/>
          <w:b/>
          <w:color w:val="1A365D"/>
          <w:sz w:val="20"/>
        </w:rPr>
        <w:t xml:space="preserve">• Criminal Law Transition Tripartite Separation: </w:t>
      </w:r>
      <w:r>
        <w:rPr>
          <w:rFonts w:ascii="Calibri" w:hAnsi="Calibri"/>
          <w:color w:val="2D3748"/>
          <w:sz w:val="20"/>
        </w:rPr>
        <w:t>Enforced strict separation among Substantive Law (Article 20(1), BNS Section 358), Procedural Law (BNSS Section 531(2)(a) stage-specific savings), and Evidence Law (BSA Sections 61-63).</w:t>
      </w:r>
    </w:p>
    <w:p>
      <w:pPr>
        <w:spacing w:before="40" w:after="80"/>
        <w:ind w:left="288"/>
      </w:pPr>
      <w:r>
        <w:rPr>
          <w:rFonts w:ascii="Calibri" w:hAnsi="Calibri"/>
          <w:b/>
          <w:color w:val="1A365D"/>
          <w:sz w:val="20"/>
        </w:rPr>
        <w:t xml:space="preserve">• Authoritative Source Metadata and URL Verification: </w:t>
      </w:r>
      <w:r>
        <w:rPr>
          <w:rFonts w:ascii="Calibri" w:hAnsi="Calibri"/>
          <w:color w:val="2D3748"/>
          <w:sz w:val="20"/>
        </w:rPr>
        <w:t>Replaced generic web links with official portals (lddashboard.nic.in, indiacode.nic.in, main.sci.gov.in, labour.gov.in, meity.gov.in, ibbi.gov.in) and replaced generic 'Authoritatively Verified' claims with rigorous verification status tags.</w:t>
      </w:r>
    </w:p>
    <w:p>
      <w:pPr>
        <w:keepNext/>
        <w:spacing w:before="280" w:after="120"/>
      </w:pPr>
      <w:r>
        <w:rPr>
          <w:rFonts w:ascii="Calibri" w:hAnsi="Calibri"/>
          <w:b/>
          <w:color w:val="2B6CB0"/>
          <w:sz w:val="26"/>
        </w:rPr>
        <w:t>Section 7: Remaining Research Gaps for Phase 3 Expansion</w:t>
      </w:r>
    </w:p>
    <w:p>
      <w:pPr>
        <w:spacing w:before="0" w:after="120" w:line="276" w:lineRule="auto"/>
      </w:pPr>
      <w:r>
        <w:rPr>
          <w:rFonts w:ascii="Calibri" w:hAnsi="Calibri"/>
          <w:b w:val="0"/>
          <w:i w:val="0"/>
          <w:color w:val="2D3748"/>
          <w:sz w:val="21"/>
        </w:rPr>
        <w:t>Prior to designating the Legal Vault corpus as comprehensive across all specialized litigation branches, verified records must be constructed for five remaining specialized areas:</w:t>
      </w:r>
    </w:p>
    <w:p>
      <w:pPr>
        <w:spacing w:before="40" w:after="80"/>
        <w:ind w:left="288"/>
      </w:pPr>
      <w:r>
        <w:rPr>
          <w:rFonts w:ascii="Calibri" w:hAnsi="Calibri"/>
          <w:b/>
          <w:color w:val="1A365D"/>
          <w:sz w:val="20"/>
        </w:rPr>
        <w:t xml:space="preserve">1. Commercial Courts 120-Day Forfeiture Interplay: </w:t>
      </w:r>
      <w:r>
        <w:rPr>
          <w:rFonts w:ascii="Calibri" w:hAnsi="Calibri"/>
          <w:color w:val="2D3748"/>
          <w:sz w:val="20"/>
        </w:rPr>
        <w:t>Mapping High Court divergences regarding whether the filing of an Order VII Rule 11 rejection application pauses or tolls the strict 120-day written statement forfeiture window under Order VIII Rule 1 CPC.</w:t>
      </w:r>
    </w:p>
    <w:p>
      <w:pPr>
        <w:spacing w:before="40" w:after="80"/>
        <w:ind w:left="288"/>
      </w:pPr>
      <w:r>
        <w:rPr>
          <w:rFonts w:ascii="Calibri" w:hAnsi="Calibri"/>
          <w:b/>
          <w:color w:val="1A365D"/>
          <w:sz w:val="20"/>
        </w:rPr>
        <w:t xml:space="preserve">2. SARFAESI Act &amp; Tenancy Protections: </w:t>
      </w:r>
      <w:r>
        <w:rPr>
          <w:rFonts w:ascii="Calibri" w:hAnsi="Calibri"/>
          <w:color w:val="2D3748"/>
          <w:sz w:val="20"/>
        </w:rPr>
        <w:t>Reconciling the civil court bar under Section 34 of the SARFAESI Act, 2002 with tenancy protections under Harshad Govardhan Sondagar v. International Assets Reconstruction Co. (2014) 5 SCC 537, establishing the inquiry required by a Chief Metropolitan Magistrate or District Magistrate under Section 14.</w:t>
      </w:r>
    </w:p>
    <w:p>
      <w:pPr>
        <w:spacing w:before="40" w:after="80"/>
        <w:ind w:left="288"/>
      </w:pPr>
      <w:r>
        <w:rPr>
          <w:rFonts w:ascii="Calibri" w:hAnsi="Calibri"/>
          <w:b/>
          <w:color w:val="1A365D"/>
          <w:sz w:val="20"/>
        </w:rPr>
        <w:t xml:space="preserve">3. DPDP Act Implementation Phase-in Tracking: </w:t>
      </w:r>
      <w:r>
        <w:rPr>
          <w:rFonts w:ascii="Calibri" w:hAnsi="Calibri"/>
          <w:color w:val="2D3748"/>
          <w:sz w:val="20"/>
        </w:rPr>
        <w:t>Monitoring Gazette notifications for the commencement dates of specific compliance obligations for Data Fiduciaries and Significant Data Fiduciaries under the Digital Personal Data Protection Rules, 2025, and tracking the formal de-notification of Section 43A IT Act.</w:t>
      </w:r>
    </w:p>
    <w:p>
      <w:pPr>
        <w:spacing w:before="40" w:after="80"/>
        <w:ind w:left="288"/>
      </w:pPr>
      <w:r>
        <w:rPr>
          <w:rFonts w:ascii="Calibri" w:hAnsi="Calibri"/>
          <w:b/>
          <w:color w:val="1A365D"/>
          <w:sz w:val="20"/>
        </w:rPr>
        <w:t xml:space="preserve">4. State Labour Code Rules State-by-State Divergence: </w:t>
      </w:r>
      <w:r>
        <w:rPr>
          <w:rFonts w:ascii="Calibri" w:hAnsi="Calibri"/>
          <w:color w:val="2D3748"/>
          <w:sz w:val="20"/>
        </w:rPr>
        <w:t>Tracking the publication of final subordinate rules across all 28 States and 8 Union Territories to identify jurisdictional variations in draft thresholds for retrenchment approvals, contract labour applicability, and standing orders.</w:t>
      </w:r>
    </w:p>
    <w:p>
      <w:pPr>
        <w:spacing w:before="40" w:after="80"/>
        <w:ind w:left="288"/>
      </w:pPr>
      <w:r>
        <w:rPr>
          <w:rFonts w:ascii="Calibri" w:hAnsi="Calibri"/>
          <w:b/>
          <w:color w:val="1A365D"/>
          <w:sz w:val="20"/>
        </w:rPr>
        <w:t xml:space="preserve">5. IBC Personal Guarantors Moratorium Jurisprudence: </w:t>
      </w:r>
      <w:r>
        <w:rPr>
          <w:rFonts w:ascii="Calibri" w:hAnsi="Calibri"/>
          <w:color w:val="2D3748"/>
          <w:sz w:val="20"/>
        </w:rPr>
        <w:t>Integrating Constitution Bench jurisprudence on corporate insolvency moratoriums under Section 14 IBC vis-a-vis personal guarantors to corporate debtors (Lalit Kumar Jain v. Union of India).</w:t>
      </w:r>
    </w:p>
    <w:p>
      <w:pPr>
        <w:keepNext/>
        <w:spacing w:before="360" w:after="160"/>
      </w:pPr>
      <w:r>
        <w:rPr>
          <w:rFonts w:ascii="Calibri" w:hAnsi="Calibri"/>
          <w:b/>
          <w:color w:val="1A365D"/>
          <w:sz w:val="30"/>
        </w:rPr>
        <w:t>PART II — SUPABASE IMPLEMENTATION PLAN (SYSTEM ARCHITECTURE)</w:t>
      </w:r>
    </w:p>
    <w:p>
      <w:pPr>
        <w:spacing w:before="0" w:after="120" w:line="276" w:lineRule="auto"/>
      </w:pPr>
      <w:r>
        <w:rPr>
          <w:rFonts w:ascii="Calibri" w:hAnsi="Calibri"/>
          <w:b/>
          <w:i w:val="0"/>
          <w:color w:val="1A365D"/>
          <w:sz w:val="21"/>
        </w:rPr>
        <w:t>Overview: Architectural Separation &amp; Ingestion Pipeline</w:t>
      </w:r>
    </w:p>
    <w:p>
      <w:pPr>
        <w:spacing w:before="0" w:after="120" w:line="276" w:lineRule="auto"/>
      </w:pPr>
      <w:r>
        <w:rPr>
          <w:rFonts w:ascii="Calibri" w:hAnsi="Calibri"/>
          <w:b w:val="0"/>
          <w:i w:val="0"/>
          <w:color w:val="2D3748"/>
          <w:sz w:val="21"/>
        </w:rPr>
        <w:t>The Supabase database implementation provides the relational and vector storage backend supporting deterministic hybrid search (pgvector cosine distance combined with tsvector BM25 full-text indexing). As mandated by the foundational invariants, this technical implementation plan remains isolated from the legal knowledge corpus.</w:t>
      </w:r>
    </w:p>
    <w:p>
      <w:pPr>
        <w:spacing w:before="120" w:after="120" w:line="276" w:lineRule="auto"/>
      </w:pPr>
      <w:r>
        <w:rPr>
          <w:rFonts w:ascii="Calibri" w:hAnsi="Calibri"/>
          <w:b/>
          <w:i w:val="0"/>
          <w:color w:val="1A365D"/>
          <w:sz w:val="21"/>
        </w:rPr>
        <w:t>Core Entity Relational Architecture: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Borders>
              <w:top w:val="single" w:sz="4" w:space="0" w:color="CBD5E0"/>
              <w:left w:val="single" w:sz="4" w:space="0" w:color="CBD5E0"/>
              <w:bottom w:val="single" w:sz="4" w:space="0" w:color="CBD5E0"/>
              <w:right w:val="single" w:sz="4" w:space="0" w:color="CBD5E0"/>
            </w:tcBorders>
          </w:tcPr>
          <w:p>
            <w:pPr>
              <w:jc w:val="left"/>
            </w:pPr>
            <w:r>
              <w:rPr>
                <w:rFonts w:ascii="Calibri" w:hAnsi="Calibri"/>
                <w:b/>
                <w:color w:val="FFFFFF"/>
                <w:sz w:val="19"/>
              </w:rPr>
              <w:t>Table Name</w:t>
            </w:r>
          </w:p>
        </w:tc>
        <w:tc>
          <w:tcPr>
            <w:tcW w:type="dxa" w:w="3168"/>
            <w:shd w:fill="1A365D"/>
            <w:tcBorders>
              <w:top w:val="single" w:sz="4" w:space="0" w:color="CBD5E0"/>
              <w:left w:val="single" w:sz="4" w:space="0" w:color="CBD5E0"/>
              <w:bottom w:val="single" w:sz="4" w:space="0" w:color="CBD5E0"/>
              <w:right w:val="single" w:sz="4" w:space="0" w:color="CBD5E0"/>
            </w:tcBorders>
          </w:tcPr>
          <w:p>
            <w:pPr>
              <w:jc w:val="left"/>
            </w:pPr>
            <w:r>
              <w:rPr>
                <w:rFonts w:ascii="Calibri" w:hAnsi="Calibri"/>
                <w:b/>
                <w:color w:val="FFFFFF"/>
                <w:sz w:val="19"/>
              </w:rPr>
              <w:t>Primary Key &amp; Indexes</w:t>
            </w:r>
          </w:p>
        </w:tc>
        <w:tc>
          <w:tcPr>
            <w:tcW w:type="dxa" w:w="3600"/>
            <w:shd w:fill="1A365D"/>
            <w:tcBorders>
              <w:top w:val="single" w:sz="4" w:space="0" w:color="CBD5E0"/>
              <w:left w:val="single" w:sz="4" w:space="0" w:color="CBD5E0"/>
              <w:bottom w:val="single" w:sz="4" w:space="0" w:color="CBD5E0"/>
              <w:right w:val="single" w:sz="4" w:space="0" w:color="CBD5E0"/>
            </w:tcBorders>
          </w:tcPr>
          <w:p>
            <w:pPr>
              <w:jc w:val="left"/>
            </w:pPr>
            <w:r>
              <w:rPr>
                <w:rFonts w:ascii="Calibri" w:hAnsi="Calibri"/>
                <w:b/>
                <w:color w:val="FFFFFF"/>
                <w:sz w:val="19"/>
              </w:rPr>
              <w:t>Functional Description &amp; Integration Role</w:t>
            </w:r>
          </w:p>
        </w:tc>
      </w:tr>
      <w:tr>
        <w:tc>
          <w:tcPr>
            <w:tcW w:type="dxa" w:w="2592"/>
            <w:shd w:fill="FFFFFF"/>
            <w:tcBorders>
              <w:top w:val="single" w:sz="4" w:space="0" w:color="CBD5E0"/>
              <w:left w:val="single" w:sz="4" w:space="0" w:color="CBD5E0"/>
              <w:bottom w:val="single" w:sz="4" w:space="0" w:color="CBD5E0"/>
              <w:right w:val="single" w:sz="4" w:space="0" w:color="CBD5E0"/>
            </w:tcBorders>
          </w:tcPr>
          <w:p>
            <w:pPr>
              <w:jc w:val="left"/>
            </w:pPr>
            <w:r>
              <w:rPr>
                <w:rFonts w:ascii="Calibri" w:hAnsi="Calibri"/>
                <w:b/>
                <w:color w:val="2D3748"/>
                <w:sz w:val="18"/>
              </w:rPr>
              <w:t>legal_knowledge_records</w:t>
            </w:r>
          </w:p>
        </w:tc>
        <w:tc>
          <w:tcPr>
            <w:tcW w:type="dxa" w:w="3168"/>
            <w:shd w:fill="FFFFFF"/>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id (UUID), GIN(tsv_content), ivfflat(embedding)</w:t>
            </w:r>
          </w:p>
        </w:tc>
        <w:tc>
          <w:tcPr>
            <w:tcW w:type="dxa" w:w="3600"/>
            <w:shd w:fill="FFFFFF"/>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Stores Level 1-3 statutory knowledge records with 32 structured metadata fields and dual vector/FTS search.</w:t>
            </w:r>
          </w:p>
        </w:tc>
      </w:tr>
      <w:tr>
        <w:tc>
          <w:tcPr>
            <w:tcW w:type="dxa" w:w="2592"/>
            <w:shd w:fill="F8FAFC"/>
            <w:tcBorders>
              <w:top w:val="single" w:sz="4" w:space="0" w:color="CBD5E0"/>
              <w:left w:val="single" w:sz="4" w:space="0" w:color="CBD5E0"/>
              <w:bottom w:val="single" w:sz="4" w:space="0" w:color="CBD5E0"/>
              <w:right w:val="single" w:sz="4" w:space="0" w:color="CBD5E0"/>
            </w:tcBorders>
          </w:tcPr>
          <w:p>
            <w:pPr>
              <w:jc w:val="left"/>
            </w:pPr>
            <w:r>
              <w:rPr>
                <w:rFonts w:ascii="Calibri" w:hAnsi="Calibri"/>
                <w:b/>
                <w:color w:val="2D3748"/>
                <w:sz w:val="18"/>
              </w:rPr>
              <w:t>judicial_precedent_records</w:t>
            </w:r>
          </w:p>
        </w:tc>
        <w:tc>
          <w:tcPr>
            <w:tcW w:type="dxa" w:w="3168"/>
            <w:shd w:fill="F8FAFC"/>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id (UUID), GIN(tsv_content), ivfflat(embedding)</w:t>
            </w:r>
          </w:p>
        </w:tc>
        <w:tc>
          <w:tcPr>
            <w:tcW w:type="dxa" w:w="3600"/>
            <w:shd w:fill="F8FAFC"/>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Stores master landmark judicial precedents with ratio decidendi, holding, facts, and citation metadata.</w:t>
            </w:r>
          </w:p>
        </w:tc>
      </w:tr>
      <w:tr>
        <w:tc>
          <w:tcPr>
            <w:tcW w:type="dxa" w:w="2592"/>
            <w:shd w:fill="FFFFFF"/>
            <w:tcBorders>
              <w:top w:val="single" w:sz="4" w:space="0" w:color="CBD5E0"/>
              <w:left w:val="single" w:sz="4" w:space="0" w:color="CBD5E0"/>
              <w:bottom w:val="single" w:sz="4" w:space="0" w:color="CBD5E0"/>
              <w:right w:val="single" w:sz="4" w:space="0" w:color="CBD5E0"/>
            </w:tcBorders>
          </w:tcPr>
          <w:p>
            <w:pPr>
              <w:jc w:val="left"/>
            </w:pPr>
            <w:r>
              <w:rPr>
                <w:rFonts w:ascii="Calibri" w:hAnsi="Calibri"/>
                <w:b/>
                <w:color w:val="2D3748"/>
                <w:sz w:val="18"/>
              </w:rPr>
              <w:t>lifecycle_audit_log</w:t>
            </w:r>
          </w:p>
        </w:tc>
        <w:tc>
          <w:tcPr>
            <w:tcW w:type="dxa" w:w="3168"/>
            <w:shd w:fill="FFFFFF"/>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id (UUID), btree(record_id, timestamp)</w:t>
            </w:r>
          </w:p>
        </w:tc>
        <w:tc>
          <w:tcPr>
            <w:tcW w:type="dxa" w:w="3600"/>
            <w:shd w:fill="FFFFFF"/>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Maintains immutable change tracking, legislative amendments, and verification timestamps.</w:t>
            </w:r>
          </w:p>
        </w:tc>
      </w:tr>
      <w:tr>
        <w:tc>
          <w:tcPr>
            <w:tcW w:type="dxa" w:w="2592"/>
            <w:shd w:fill="F8FAFC"/>
            <w:tcBorders>
              <w:top w:val="single" w:sz="4" w:space="0" w:color="CBD5E0"/>
              <w:left w:val="single" w:sz="4" w:space="0" w:color="CBD5E0"/>
              <w:bottom w:val="single" w:sz="4" w:space="0" w:color="CBD5E0"/>
              <w:right w:val="single" w:sz="4" w:space="0" w:color="CBD5E0"/>
            </w:tcBorders>
          </w:tcPr>
          <w:p>
            <w:pPr>
              <w:jc w:val="left"/>
            </w:pPr>
            <w:r>
              <w:rPr>
                <w:rFonts w:ascii="Calibri" w:hAnsi="Calibri"/>
                <w:b/>
                <w:color w:val="2D3748"/>
                <w:sz w:val="18"/>
              </w:rPr>
              <w:t>cross_reference_graph</w:t>
            </w:r>
          </w:p>
        </w:tc>
        <w:tc>
          <w:tcPr>
            <w:tcW w:type="dxa" w:w="3168"/>
            <w:shd w:fill="F8FAFC"/>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id (UUID), btree(source_id, target_id)</w:t>
            </w:r>
          </w:p>
        </w:tc>
        <w:tc>
          <w:tcPr>
            <w:tcW w:type="dxa" w:w="3600"/>
            <w:shd w:fill="F8FAFC"/>
            <w:tcBorders>
              <w:top w:val="single" w:sz="4" w:space="0" w:color="CBD5E0"/>
              <w:left w:val="single" w:sz="4" w:space="0" w:color="CBD5E0"/>
              <w:bottom w:val="single" w:sz="4" w:space="0" w:color="CBD5E0"/>
              <w:right w:val="single" w:sz="4" w:space="0" w:color="CBD5E0"/>
            </w:tcBorders>
          </w:tcPr>
          <w:p>
            <w:pPr>
              <w:jc w:val="left"/>
            </w:pPr>
            <w:r>
              <w:rPr>
                <w:rFonts w:ascii="Calibri" w:hAnsi="Calibri"/>
                <w:color w:val="2D3748"/>
                <w:sz w:val="18"/>
              </w:rPr>
              <w:t>Represents statutory-to-precedent and inter-statute citation relationships for multi-hop graph retrieval.</w:t>
            </w:r>
          </w:p>
        </w:tc>
      </w:tr>
    </w:tbl>
    <w:p>
      <w:pPr>
        <w:spacing w:before="200" w:after="120" w:line="276" w:lineRule="auto"/>
      </w:pPr>
      <w:r>
        <w:rPr>
          <w:rFonts w:ascii="Calibri" w:hAnsi="Calibri"/>
          <w:b/>
          <w:i w:val="0"/>
          <w:color w:val="1A365D"/>
          <w:sz w:val="21"/>
        </w:rPr>
        <w:t>Ingestion Pipeline and Deterministic Parsing Rules:</w:t>
      </w:r>
    </w:p>
    <w:p>
      <w:pPr>
        <w:spacing w:before="0" w:after="120" w:line="276" w:lineRule="auto"/>
      </w:pPr>
      <w:r>
        <w:rPr>
          <w:rFonts w:ascii="Calibri" w:hAnsi="Calibri"/>
          <w:b w:val="0"/>
          <w:i w:val="0"/>
          <w:color w:val="2D3748"/>
          <w:sz w:val="21"/>
        </w:rPr>
        <w:t>1. Deterministic Delimiter Parsing: The ingestion pipeline parses structured records using the exact 80-character delimiter '================================================================================'. Each record is extracted as an independent entity with key-value pairs matching the 32 statutory fields or 16 precedent fields.</w:t>
        <w:br/>
        <w:t>2. Null-Safety &amp; ISO-8601 Temporal Coercion: Date fields are strictly formatted as ISO-8601 (YYYY-MM-DD). Open-ended validity is represented as 'Open'. Lifecycle statuses are coerced strictly to the enumerated database types.</w:t>
        <w:br/>
        <w:t>3. Dual Embeddings &amp; Hybrid Search: Vector embeddings are generated across the title, legal proposition, and ratio decidendi, allowing cosine distance similarity ranking combined with BM25 full-text indexing.</w:t>
        <w:br/>
        <w:t>4. Production Audit Trail &amp; Non-Repudiation: Every modification to statutory records generates an immutable record in 'lifecycle_audit_log', preserving temporal verifiability across Version 2.1 and subsequent releases.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