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3abb269f6551a51cc90abfb1940aa9c61c90cf"/>
    <w:p>
      <w:pPr>
        <w:pStyle w:val="Heading1"/>
        <w:spacing w:after="280"/>
        <w:jc w:val="left"/>
        <w:pBdr>
          <w:bottom w:val="single" w:sz="8" w:space="4" w:color="1F4E79"/>
        </w:pBdr>
      </w:pPr>
      <w:r>
        <w:rPr>
          <w:rFonts w:ascii="Arial" w:hAnsi="Arial" w:eastAsia="Arial"/>
        </w:rPr>
        <w:t xml:space="preserve">CredibanCo como BIN Sponsor de Visa y Mastercard</w:t>
      </w:r>
    </w:p>
    <w:p>
      <w:pPr>
        <w:pStyle w:val="BlockText"/>
      </w:pPr>
      <w:r>
        <w:rPr>
          <w:rFonts w:ascii="Arial" w:hAnsi="Arial" w:eastAsia="Arial"/>
        </w:rPr>
        <w:t xml:space="preserve">Documento de trabajo consolidado a partir del análisis realizado sobre los requisitos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para convertir a CredibanCo en emisor patrocinador (BIN Sponsor) de tarjetas prepago,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tomando como referencia el modelo del proveedor Pomelo.</w:t>
      </w:r>
    </w:p>
    <w:p>
      <w:pPr>
        <w:pStyle w:val="BlockText"/>
      </w:pPr>
      <w:r>
        <w:rPr>
          <w:rFonts w:ascii="Arial" w:hAnsi="Arial" w:eastAsia="Arial"/>
        </w:rPr>
        <w:t xml:space="preserve">Fecha: 1 de julio de 2026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Start w:id="24" w:name="contexto-y-objetivo"/>
    <w:p>
      <w:pPr>
        <w:pStyle w:val="Heading2"/>
      </w:pPr>
      <w:r>
        <w:rPr>
          <w:rFonts w:ascii="Arial" w:hAnsi="Arial" w:eastAsia="Arial"/>
        </w:rPr>
        <w:t xml:space="preserve">1. Contexto y objetivo</w:t>
      </w:r>
    </w:p>
    <w:p>
      <w:pPr>
        <w:pStyle w:val="FirstParagraph"/>
      </w:pPr>
      <w:r>
        <w:rPr>
          <w:rFonts w:ascii="Arial" w:hAnsi="Arial" w:eastAsia="Arial"/>
        </w:rPr>
        <w:t xml:space="preserve">El objetivo es replicar el modelo de negocio de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Pomelo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en su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capa de licencia /</w:t>
      </w:r>
      <w:r>
        <w:rPr>
          <w:rFonts w:ascii="Arial" w:hAnsi="Arial" w:eastAsia="Arial"/>
          <w:b/>
          <w:bCs/>
        </w:rPr>
        <w:t xml:space="preserve"> </w:t>
      </w:r>
      <w:r>
        <w:rPr>
          <w:rFonts w:ascii="Arial" w:hAnsi="Arial" w:eastAsia="Arial"/>
          <w:b/>
          <w:bCs/>
        </w:rPr>
        <w:t xml:space="preserve">membresía de red (BIN Sponsor)</w:t>
      </w:r>
      <w:r>
        <w:rPr>
          <w:rFonts w:ascii="Arial" w:hAnsi="Arial" w:eastAsia="Arial"/>
        </w:rPr>
        <w:t xml:space="preserve">: convertir a CredibanCo en una entidad que, gracias a sus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propias licencias con Visa y Mastercard, permita a terceros (fintechs, retailers, billeteras)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emitir tarjetas prepago, débito o crédito bajo su patrocinio.</w:t>
      </w:r>
    </w:p>
    <w:bookmarkStart w:id="23" w:name="qué-hace-pomelo"/>
    <w:p>
      <w:pPr>
        <w:pStyle w:val="Heading3"/>
      </w:pPr>
      <w:r>
        <w:rPr>
          <w:rFonts w:ascii="Arial" w:hAnsi="Arial" w:eastAsia="Arial"/>
        </w:rPr>
        <w:t xml:space="preserve">¿Qué hace Pomelo?</w:t>
      </w:r>
    </w:p>
    <w:p>
      <w:pPr>
        <w:pStyle w:val="FirstParagraph"/>
      </w:pPr>
      <w:r>
        <w:rPr>
          <w:rFonts w:ascii="Arial" w:hAnsi="Arial" w:eastAsia="Arial"/>
        </w:rPr>
        <w:t xml:space="preserve">Pomelo opera como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BIN Sponsor</w:t>
      </w:r>
      <w:r>
        <w:rPr>
          <w:rFonts w:ascii="Arial" w:hAnsi="Arial" w:eastAsia="Arial"/>
        </w:rPr>
        <w:t xml:space="preserve">: es miembro principal de Visa/Mastercard y ofrece emisión,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procesamiento y gestión integral de programas de tarjetas usando sus propias licencias. Sus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clientes emiten tarjetas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“</w:t>
      </w:r>
      <w:r>
        <w:rPr>
          <w:rFonts w:ascii="Arial" w:hAnsi="Arial" w:eastAsia="Arial"/>
        </w:rPr>
        <w:t xml:space="preserve">bajo el paraguas</w:t>
      </w:r>
      <w:r>
        <w:rPr>
          <w:rFonts w:ascii="Arial" w:hAnsi="Arial" w:eastAsia="Arial"/>
        </w:rPr>
        <w:t xml:space="preserve">”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de esas licencias, sin necesidad de certificarse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directamente ante las redes.</w:t>
      </w:r>
    </w:p>
    <w:p>
      <w:pPr>
        <w:pStyle w:val="BodyText"/>
      </w:pPr>
      <w:r>
        <w:rPr>
          <w:rFonts w:ascii="Arial" w:hAnsi="Arial" w:eastAsia="Arial"/>
        </w:rPr>
        <w:t xml:space="preserve">Pomelo declara cumplir con estándares GDPR, PCI-DSS 4.0 e ISO 27001, además de las reglas de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Mastercard y Visa. Ofrece BINs preasignados, conciliación diaria, gestión de colateral, pagos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en moneda local, seguridad integrada (3DS, CVV dinámico, antifraude FICO Falcon) y gestión de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contracargos.</w:t>
      </w:r>
    </w:p>
    <w:p>
      <w:pPr>
        <w:pStyle w:val="BodyText"/>
      </w:pPr>
      <w:r>
        <w:rPr>
          <w:rFonts w:ascii="Arial" w:hAnsi="Arial" w:eastAsia="Arial"/>
        </w:rPr>
        <w:t xml:space="preserve">Fuentes: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Pomelo BIN Sponsorship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Pomelo Card Issuing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Pomelo Docs - Issuing</w:t>
        </w:r>
      </w:hyperlink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3"/>
    <w:bookmarkEnd w:id="24"/>
    <w:bookmarkStart w:id="25" w:name="las-tres-capas-del-modelo-pomelo"/>
    <w:p>
      <w:pPr>
        <w:pStyle w:val="Heading2"/>
      </w:pPr>
      <w:r>
        <w:rPr>
          <w:rFonts w:ascii="Arial" w:hAnsi="Arial" w:eastAsia="Arial"/>
        </w:rPr>
        <w:t xml:space="preserve">2. Las tres capas del modelo Pomelo</w:t>
      </w:r>
    </w:p>
    <w:tbl>
      <w:tblPr>
        <w:tblStyle w:val="Table"/>
        <w:tblW w:type="dxa" w:w="10152"/>
        <w:jc w:val="center"/>
        <w:tblLayout w:type="fixed"/>
        <w:tblLook w:firstRow="1" w:lastRow="0" w:firstColumn="0" w:lastColumn="0" w:noHBand="0" w:noVBand="0" w:val="0020"/>
      </w:tblPr>
      <w:tblGrid>
        <w:gridCol w:w="3168"/>
        <w:gridCol w:w="4536"/>
        <w:gridCol w:w="2448"/>
      </w:tblGrid>
      <w:tr>
        <w:trPr>
          <w:tblHeader w:val="on"/>
          <w:tblHeader w:val="true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Capa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Descripción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¿Se construye con software?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bCs/>
                <w:color w:val="2D2D2D"/>
                <w:sz w:val="16"/>
              </w:rPr>
              <w:t xml:space="preserve">1. Licencia / membresía de red (BIN Sponsor)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Membresía principal de Visa/Mastercard, licencia regulatoria, capital, colateral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No - es regulatorio, financiero y de gobierno corporativo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bCs/>
                <w:color w:val="2D2D2D"/>
                <w:sz w:val="16"/>
              </w:rPr>
              <w:t xml:space="preserve">2. Procesamiento (issuer processor)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Autorización en tiempo real, saldos, clearing &amp; settlement, ciclo de vida de tarjeta, tokenización, 3DS, antifraude, chargebacks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Sí - es el core técnico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bCs/>
                <w:color w:val="2D2D2D"/>
                <w:sz w:val="16"/>
              </w:rPr>
              <w:t xml:space="preserve">3. Producto / API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APIs REST, dashboard, onboarding de clientes, webhooks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Sí - la cara visible</w:t>
            </w:r>
          </w:p>
        </w:tc>
      </w:tr>
    </w:tbl>
    <w:p>
      <w:pPr>
        <w:pStyle w:val="BodyText"/>
      </w:pPr>
      <w:r>
        <w:rPr>
          <w:rFonts w:ascii="Arial" w:hAnsi="Arial" w:eastAsia="Arial"/>
        </w:rPr>
        <w:t xml:space="preserve">El foco de este documento es la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Capa 1 (BIN Sponsor)</w:t>
      </w:r>
      <w:r>
        <w:rPr>
          <w:rFonts w:ascii="Arial" w:hAnsi="Arial" w:eastAsia="Arial"/>
        </w:rPr>
        <w:t xml:space="preserve">, con las conexiones necesarias a las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capas 2 y 3.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25"/>
    <w:bookmarkStart w:id="33" w:name="Xb2a73e10d1c686e14e7375c733cdcef319f3459"/>
    <w:p>
      <w:pPr>
        <w:pStyle w:val="Heading2"/>
      </w:pPr>
      <w:r>
        <w:rPr>
          <w:rFonts w:ascii="Arial" w:hAnsi="Arial" w:eastAsia="Arial"/>
        </w:rPr>
        <w:t xml:space="preserve">3. Concepto clave: qué significa ser BIN Sponsor</w:t>
      </w:r>
    </w:p>
    <w:p>
      <w:pPr>
        <w:pStyle w:val="FirstParagraph"/>
      </w:pPr>
      <w:r>
        <w:rPr>
          <w:rFonts w:ascii="Arial" w:hAnsi="Arial" w:eastAsia="Arial"/>
        </w:rPr>
        <w:t xml:space="preserve">Ser BIN Sponsor significa convertirse en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Miembro Principal (Principal Member)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de Visa y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Mastercard. Requiere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dos licencias distintas</w:t>
      </w:r>
      <w:r>
        <w:rPr>
          <w:rFonts w:ascii="Arial" w:hAnsi="Arial" w:eastAsia="Arial"/>
        </w:rP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b/>
          <w:bCs/>
        </w:rPr>
        <w:t xml:space="preserve">Licencia regulatoria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(otorgada por el regulador financiero local): autoriza legalmente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a manejar fondos de terceros y emitir medios de pago. En Colombia corresponde al marco de la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Superintendencia Financiera y el Banco de la República.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/>
          <w:b/>
          <w:bCs/>
        </w:rPr>
        <w:t xml:space="preserve">Licencia de red / membresía de scheme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(otorgada por Visa y Mastercard): otorga el ICA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(Mastercard) y el rango de BIN (Visa), conexión directa y settlement directo con la red.</w:t>
      </w:r>
    </w:p>
    <w:p>
      <w:pPr>
        <w:pStyle w:val="FirstParagraph"/>
      </w:pPr>
      <w:r>
        <w:rPr>
          <w:rFonts w:ascii="Arial" w:hAnsi="Arial" w:eastAsia="Arial"/>
        </w:rPr>
        <w:t xml:space="preserve">No se puede obtener la #2 sin tener antes la #1: las redes exigen que la entidad sea regulada y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supervisada antes de otorgar la membresía.</w:t>
      </w:r>
    </w:p>
    <w:bookmarkStart w:id="30" w:name="X977b58328256858ed946e654d6e04d46b1fa1bf"/>
    <w:p>
      <w:pPr>
        <w:pStyle w:val="Heading3"/>
      </w:pPr>
      <w:r>
        <w:rPr>
          <w:rFonts w:ascii="Arial" w:hAnsi="Arial" w:eastAsia="Arial"/>
        </w:rPr>
        <w:t xml:space="preserve">Capacidades y obligaciones del Miembro Principal</w:t>
      </w:r>
    </w:p>
    <w:p>
      <w:pPr>
        <w:pStyle w:val="FirstParagraph"/>
      </w:pPr>
      <w:r>
        <w:rPr>
          <w:rFonts w:ascii="Arial" w:hAnsi="Arial" w:eastAsia="Arial"/>
        </w:rPr>
        <w:t xml:space="preserve">Como miembro principal se puede emitir tarjetas, patrocinar a terceros (esto es lo que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constituye el rol de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“</w:t>
      </w:r>
      <w:r>
        <w:rPr>
          <w:rFonts w:ascii="Arial" w:hAnsi="Arial" w:eastAsia="Arial"/>
        </w:rPr>
        <w:t xml:space="preserve">BIN Sponsor</w:t>
      </w:r>
      <w:r>
        <w:rPr>
          <w:rFonts w:ascii="Arial" w:hAnsi="Arial" w:eastAsia="Arial"/>
        </w:rPr>
        <w:t xml:space="preserve">”</w:t>
      </w:r>
      <w:r>
        <w:rPr>
          <w:rFonts w:ascii="Arial" w:hAnsi="Arial" w:eastAsia="Arial"/>
        </w:rPr>
        <w:t xml:space="preserve">), pero también se asume: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</w:rPr>
        <w:t xml:space="preserve">Riesgo de liquidación (</w:t>
      </w:r>
      <w:r>
        <w:rPr>
          <w:rFonts w:ascii="Arial" w:hAnsi="Arial" w:eastAsia="Arial"/>
          <w:b/>
          <w:bCs/>
        </w:rPr>
        <w:t xml:space="preserve">settlement risk</w:t>
      </w:r>
      <w:r>
        <w:rPr>
          <w:rFonts w:ascii="Arial" w:hAnsi="Arial" w:eastAsia="Arial"/>
        </w:rPr>
        <w:t xml:space="preserve">) - se es responsable financiero final ante la red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si un patrocinado quiebra o comete fraude.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</w:rPr>
        <w:t xml:space="preserve">Alojar el propio procesamiento.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</w:rPr>
        <w:t xml:space="preserve">Reportería, cuotas continuas, titularidad de ICA y BIN.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/>
        </w:rPr>
        <w:t xml:space="preserve">Cumplimiento de las reglas del scheme y registro de agentes terceros.</w:t>
      </w:r>
    </w:p>
    <w:p>
      <w:pPr>
        <w:pStyle w:val="FirstParagraph"/>
      </w:pPr>
      <w:r>
        <w:rPr>
          <w:rFonts w:ascii="Arial" w:hAnsi="Arial" w:eastAsia="Arial"/>
        </w:rPr>
        <w:t xml:space="preserve">Fuentes: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Advapay - Principal Membership</w:t>
        </w:r>
      </w:hyperlink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Mastercard - Eligibility Criteria For Membership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Mastercard - Access to Mastercard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Walletto - How to become a Visa/Mastercard issuer</w:t>
        </w:r>
      </w:hyperlink>
    </w:p>
    <w:bookmarkEnd w:id="30"/>
    <w:bookmarkStart w:id="32" w:name="tiempos-y-costos-de-referencia"/>
    <w:p>
      <w:pPr>
        <w:pStyle w:val="Heading3"/>
      </w:pPr>
      <w:r>
        <w:rPr>
          <w:rFonts w:ascii="Arial" w:hAnsi="Arial" w:eastAsia="Arial"/>
        </w:rPr>
        <w:t xml:space="preserve">Tiempos y costos de referencia</w:t>
      </w:r>
    </w:p>
    <w:tbl>
      <w:tblPr>
        <w:tblStyle w:val="Table"/>
        <w:tblW w:type="dxa" w:w="10152"/>
        <w:jc w:val="center"/>
        <w:tblLayout w:type="fixed"/>
        <w:tblLook w:firstRow="1" w:lastRow="0" w:firstColumn="0" w:lastColumn="0" w:noHBand="0" w:noVBand="0" w:val="0020"/>
      </w:tblPr>
      <w:tblGrid>
        <w:gridCol w:w="3671"/>
        <w:gridCol w:w="6480"/>
      </w:tblGrid>
      <w:tr>
        <w:trPr>
          <w:tblHeader w:val="on"/>
          <w:tblHeader w:val="true"/>
        </w:trP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Recurso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Realidad (entidad desde cero)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Tiempo (licencia regulatoria)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12-24 meses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Tiempo (membresía de red, issuer)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4-8 meses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Tiempo total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2-4 años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Fees iniciales de membresía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~€50.000 (Visa) y ~€100.000 (Mastercard) el primer año (referencia, no incluye colateral)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Capital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Capital regulatorio + colateral de settlement + fees (millones de USD)</w:t>
            </w:r>
          </w:p>
        </w:tc>
      </w:tr>
    </w:tbl>
    <w:p>
      <w:pPr>
        <w:pStyle w:val="BodyText"/>
      </w:pPr>
      <w:r>
        <w:rPr>
          <w:rFonts w:ascii="Arial" w:hAnsi="Arial" w:eastAsia="Arial"/>
        </w:rPr>
        <w:t xml:space="preserve">Fuente de referencia de costos:</w:t>
      </w:r>
      <w:r>
        <w:rPr>
          <w:rFonts w:ascii="Arial" w:hAnsi="Arial" w:eastAsia="Arial"/>
        </w:rPr>
        <w:t xml:space="preserve"> </w:t>
      </w:r>
      <w:hyperlink r:id="rId31">
        <w:r>
          <w:rPr>
            <w:rStyle w:val="Hyperlink"/>
          </w:rPr>
          <w:t xml:space="preserve">Boxopay - Acquirer Licensing</w:t>
        </w:r>
      </w:hyperlink>
    </w:p>
    <w:p>
      <w:pPr>
        <w:pStyle w:val="BodyText"/>
      </w:pPr>
      <w:r>
        <w:rPr>
          <w:rFonts w:ascii="Arial" w:hAnsi="Arial" w:eastAsia="Arial"/>
          <w:i/>
          <w:iCs/>
        </w:rPr>
        <w:t xml:space="preserve">Contenido de fuentes externas reformulado para cumplir con restricciones de licencia.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2"/>
    <w:bookmarkEnd w:id="33"/>
    <w:bookmarkStart w:id="40" w:name="situación-de-partida-de-credibanco"/>
    <w:p>
      <w:pPr>
        <w:pStyle w:val="Heading2"/>
      </w:pPr>
      <w:r>
        <w:rPr>
          <w:rFonts w:ascii="Arial" w:hAnsi="Arial" w:eastAsia="Arial"/>
        </w:rPr>
        <w:t xml:space="preserve">4. Situación de partida de CredibanCo</w:t>
      </w:r>
    </w:p>
    <w:p>
      <w:pPr>
        <w:pStyle w:val="FirstParagraph"/>
      </w:pPr>
      <w:r>
        <w:rPr>
          <w:rFonts w:ascii="Arial" w:hAnsi="Arial" w:eastAsia="Arial"/>
        </w:rPr>
        <w:t xml:space="preserve">CredibanCo NO parte de cero. Es una de las entidades de pagos más establecidas de Colombia.</w:t>
      </w:r>
    </w:p>
    <w:bookmarkStart w:id="37" w:name="lo-que-ya-tiene-avanzado"/>
    <w:p>
      <w:pPr>
        <w:pStyle w:val="Heading3"/>
      </w:pPr>
      <w:r>
        <w:rPr>
          <w:rFonts w:ascii="Arial" w:hAnsi="Arial" w:eastAsia="Arial"/>
        </w:rPr>
        <w:t xml:space="preserve">Lo que ya tiene avanzado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b/>
          <w:bCs/>
        </w:rPr>
        <w:t xml:space="preserve">Entidad regulada y supervisada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[Resuelto] - Empresa colombiana vigilada por la Superintendencia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Financiera, con más de 50 años de experiencia en administración y desarrollo de sistemas de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pago de bajo valor. (El requisito más difícil ya está cumplido.)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b/>
          <w:bCs/>
        </w:rPr>
        <w:t xml:space="preserve">Relación y membresía con las redes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[Resuelto] - Históricamente el adquirente de Visa en Colombia;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ya cuenta con membresía/licencia (al menos adquirente), conexión técnica certificada,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settlement directo e infraestructura PCI-DSS operando.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b/>
          <w:bCs/>
        </w:rPr>
        <w:t xml:space="preserve">Producto prepago en marcha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[Resuelto] - Ya ofrece una Tarjeta Prepago con consulta de saldo y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movimientos.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/>
          <w:b/>
          <w:bCs/>
        </w:rPr>
        <w:t xml:space="preserve">Canal de atención para bancos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[Resuelto] - Ya opera dando servicio a otras entidades financieras.</w:t>
      </w:r>
    </w:p>
    <w:p>
      <w:pPr>
        <w:pStyle w:val="FirstParagraph"/>
      </w:pPr>
      <w:r>
        <w:rPr>
          <w:rFonts w:ascii="Arial" w:hAnsi="Arial" w:eastAsia="Arial"/>
        </w:rPr>
        <w:t xml:space="preserve">Fuentes:</w:t>
      </w:r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</w:rPr>
          <w:t xml:space="preserve">LeadIQ - CredibanCo</w:t>
        </w:r>
      </w:hyperlink>
    </w:p>
    <w:p>
      <w:pPr>
        <w:pStyle w:val="Compact"/>
        <w:numPr>
          <w:ilvl w:val="0"/>
          <w:numId w:val="1006"/>
        </w:numPr>
      </w:pPr>
      <w:hyperlink r:id="rId35">
        <w:r>
          <w:rPr>
            <w:rStyle w:val="Hyperlink"/>
          </w:rPr>
          <w:t xml:space="preserve">CB Insights - Credibanco</w:t>
        </w:r>
      </w:hyperlink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CredibanCo - sitio oficial</w:t>
        </w:r>
      </w:hyperlink>
    </w:p>
    <w:bookmarkEnd w:id="37"/>
    <w:bookmarkStart w:id="38" w:name="gaps-a-validar-o-construir"/>
    <w:p>
      <w:pPr>
        <w:pStyle w:val="Heading3"/>
      </w:pPr>
      <w:r>
        <w:rPr>
          <w:rFonts w:ascii="Arial" w:hAnsi="Arial" w:eastAsia="Arial"/>
        </w:rPr>
        <w:t xml:space="preserve">Gaps a validar o construir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</w:rPr>
        <w:t xml:space="preserve">[Por validar]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Membresía de emisión (issuing) con sponsorship</w:t>
      </w:r>
      <w:r>
        <w:rPr>
          <w:rFonts w:ascii="Arial" w:hAnsi="Arial" w:eastAsia="Arial"/>
        </w:rPr>
        <w:t xml:space="preserve">, no solo adquirencia.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</w:rPr>
        <w:t xml:space="preserve">[Por validar]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Membresía Mastercard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(issuing + sponsorship), además de Visa.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</w:rPr>
        <w:t xml:space="preserve">[Por validar]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Modelo de Principal con capacidad de patrocinar terceros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(registro de program managers).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eastAsia="Arial"/>
        </w:rPr>
        <w:t xml:space="preserve">[Por construir]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Plataforma tecnológica API-first multi-tenant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al estilo Pomelo (dashboard self-service,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onboarding de patrocinados, APIs públicas).</w:t>
      </w:r>
    </w:p>
    <w:bookmarkEnd w:id="38"/>
    <w:bookmarkStart w:id="39" w:name="resumen-comparativo"/>
    <w:p>
      <w:pPr>
        <w:pStyle w:val="Heading3"/>
      </w:pPr>
      <w:r>
        <w:rPr>
          <w:rFonts w:ascii="Arial" w:hAnsi="Arial" w:eastAsia="Arial"/>
        </w:rPr>
        <w:t xml:space="preserve">Resumen comparativo</w:t>
      </w:r>
    </w:p>
    <w:tbl>
      <w:tblPr>
        <w:tblStyle w:val="Table"/>
        <w:tblW w:type="dxa" w:w="10152"/>
        <w:jc w:val="center"/>
        <w:tblLayout w:type="fixed"/>
        <w:tblLook w:firstRow="1" w:lastRow="0" w:firstColumn="0" w:lastColumn="0" w:noHBand="0" w:noVBand="0" w:val="0020"/>
      </w:tblPr>
      <w:tblGrid>
        <w:gridCol w:w="3671"/>
        <w:gridCol w:w="6480"/>
      </w:tblGrid>
      <w:tr>
        <w:trPr>
          <w:tblHeader w:val="on"/>
          <w:tblHeader w:val="true"/>
        </w:trP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Paso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1F4E79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 xml:space="preserve">Estado en CredibanCo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Entidad regulada/supervisada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[Resuelto] Resuelto (vigilada SFC, +50 años)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Capital y solvencia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[Resuelto] Muy probablemente resuelto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Membresía de red (adquirente)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[Resuelto] Resuelto (Visa Colombia)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Conexión técnica + PCI-DSS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[Resuelto] Operando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Capacidad de emisión (prepago)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[Resuelto] Ya tienen producto prepago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Membresía emisor con sponsorship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[Por validar] Por validar/ampliar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Membresía Mastercard issuing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[Por validar] Por validar/ampliar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Marco de riesgo/settlement para terceros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shd w:fill="F4F8FB"/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[Por construir] Por construir/formalizar</w:t>
            </w:r>
          </w:p>
        </w:tc>
      </w:tr>
      <w:tr>
        <w:tc>
          <w:tcPr>
            <w:tcW w:type="dxa" w:w="3671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Plataforma API self-service tipo Pomelo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vAlign w:val="top"/>
          </w:tcPr>
          <w:p>
            <w:pPr>
              <w:pStyle w:val="Compact"/>
              <w:spacing w:before="20" w:after="40" w:line="240" w:lineRule="auto"/>
              <w:jc w:val="left"/>
            </w:pPr>
            <w:r>
              <w:rPr>
                <w:rFonts w:ascii="Arial" w:hAnsi="Arial" w:eastAsia="Arial"/>
                <w:b w:val="0"/>
                <w:color w:val="2D2D2D"/>
                <w:sz w:val="16"/>
              </w:rPr>
              <w:t xml:space="preserve">[Por construir] Gap tecnológico principal</w:t>
            </w:r>
          </w:p>
        </w:tc>
      </w:tr>
    </w:tbl>
    <w:p>
      <w:pPr>
        <w:pStyle w:val="BlockText"/>
        <w:ind w:left="288" w:right="216"/>
      </w:pPr>
      <w:r>
        <w:rPr>
          <w:rFonts w:ascii="Arial" w:hAnsi="Arial" w:eastAsia="Arial"/>
          <w:i/>
          <w:color w:val="505050"/>
        </w:rPr>
        <w:t xml:space="preserve">Nota: el detalle exacto de la membresía actual con cada red y el alcance de la licencia de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sponsorship no es verificable desde fuentes públicas; debe confirmarlo el equipo legal / de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alianzas de CredibanCo. La evaluación de gaps es inferida a partir de su perfil público como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adquirente Visa.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39"/>
    <w:bookmarkEnd w:id="40"/>
    <w:bookmarkStart w:id="48" w:name="X031a9448b25b9849395fcc75fa79fb362cdc0ac"/>
    <w:p>
      <w:pPr>
        <w:pStyle w:val="Heading2"/>
      </w:pPr>
      <w:r>
        <w:rPr>
          <w:rFonts w:ascii="Arial" w:hAnsi="Arial" w:eastAsia="Arial"/>
        </w:rPr>
        <w:t xml:space="preserve">5. Listado completo de pasos para convertirse en BIN Sponsor</w:t>
      </w:r>
    </w:p>
    <w:p>
      <w:pPr>
        <w:pStyle w:val="FirstParagraph"/>
      </w:pPr>
      <w:r>
        <w:rPr>
          <w:rFonts w:ascii="Arial" w:hAnsi="Arial" w:eastAsia="Arial"/>
        </w:rPr>
        <w:t xml:space="preserve">Leyenda: [Resuelto] probablemente ya resuelto · [Por validar] por validar/ampliar · [Por construir] por construir</w:t>
      </w:r>
    </w:p>
    <w:bookmarkStart w:id="41" w:name="X11a2978564c657c9c8a30dd704f5b6257d68cce"/>
    <w:p>
      <w:pPr>
        <w:pStyle w:val="Heading3"/>
      </w:pPr>
      <w:r>
        <w:rPr>
          <w:rFonts w:ascii="Arial" w:hAnsi="Arial" w:eastAsia="Arial"/>
        </w:rPr>
        <w:t xml:space="preserve">Fase 0 - Definición estratégica y de negocio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</w:rPr>
        <w:t xml:space="preserve">Definir el alcance del programa sponsor (productos: prepago, débito, crédito; nominadas/no nominadas; locales/globales).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</w:rPr>
        <w:t xml:space="preserve">Definir el público objetivo (fintechs, retailers, billeteras, cooperativas).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</w:rPr>
        <w:t xml:space="preserve">Definir el modelo de ingresos (fees de setup, por tarjeta, por transacción, interchange compartido, márgenes de FX).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</w:rPr>
        <w:t xml:space="preserve">Decidir cobertura de redes (Visa, Mastercard o ambas).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</w:rPr>
        <w:t xml:space="preserve">Análisis de competencia y posicionamiento frente a Pomelo y bancos locales.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eastAsia="Arial"/>
        </w:rPr>
        <w:t xml:space="preserve">Business case y proyección financiera (volumen de tarjetas, transacciones, colateral requerido).</w:t>
      </w:r>
    </w:p>
    <w:bookmarkEnd w:id="41"/>
    <w:bookmarkStart w:id="42" w:name="X8beddb92fb8fe61a892d8c92d5de43270d7e16e"/>
    <w:p>
      <w:pPr>
        <w:pStyle w:val="Heading3"/>
      </w:pPr>
      <w:r>
        <w:rPr>
          <w:rFonts w:ascii="Arial" w:hAnsi="Arial" w:eastAsia="Arial"/>
        </w:rPr>
        <w:t xml:space="preserve">Fase 1 - Habilitación regulatoria (Colombia)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</w:rPr>
        <w:t xml:space="preserve">[Resuelto] Confirmar condición de entidad vigilada por la Superintendencia Financiera.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</w:rPr>
        <w:t xml:space="preserve">[Por validar] Validar que la licencia/objeto social cubre emisión de prepago y patrocinio a terceros; gestionar ampliación ante la SFC si aplica.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</w:rPr>
        <w:t xml:space="preserve">[Por validar] Confirmar capital regulatorio y solvencia para el nuevo rol (el settlement risk de terceros eleva requisitos de capital).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</w:rPr>
        <w:t xml:space="preserve">Validar el encuadre del producto prepago frente al marco del Banco de la República (sistema de pago de bajo valor).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</w:rPr>
        <w:t xml:space="preserve">Definir el tratamiento de los fondos de tarjetahabientes (cuentas ómnibus, fideicomiso, segregación).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eastAsia="Arial"/>
        </w:rPr>
        <w:t xml:space="preserve">Actualizar el marco SARLAFT (AML/CFT) para cubrir el portafolio de patrocinados.</w:t>
      </w:r>
    </w:p>
    <w:p>
      <w:pPr>
        <w:pStyle w:val="BlockText"/>
        <w:ind w:left="288" w:right="216"/>
      </w:pPr>
      <w:r>
        <w:rPr>
          <w:rFonts w:ascii="Arial" w:hAnsi="Arial" w:eastAsia="Arial"/>
          <w:i/>
          <w:color w:val="505050"/>
        </w:rPr>
        <w:t xml:space="preserve">Los puntos 8-9 no son verificables desde fuentes públicas; los debe confirmar el equipo legal / de cumplimiento.</w:t>
      </w:r>
    </w:p>
    <w:bookmarkEnd w:id="42"/>
    <w:bookmarkStart w:id="43" w:name="X67565e9d99e7be78d9d67b422cf7d4d3fd764d5"/>
    <w:p>
      <w:pPr>
        <w:pStyle w:val="Heading3"/>
      </w:pPr>
      <w:r>
        <w:rPr>
          <w:rFonts w:ascii="Arial" w:hAnsi="Arial" w:eastAsia="Arial"/>
        </w:rPr>
        <w:t xml:space="preserve">Fase 2 - Membresía y licencia con las redes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[Por validar] Auditar la membresía actual con Visa (adquirente vs issuer; capacidad de sponsor).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[Por validar] Gestionar/ampliar la membresía de issuing con Visa.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[Por validar] Gestionar la membresía con Mastercard (issuing + sponsorship).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Solicitar/confirmar titularidad de rangos de BIN (Visa) e ICA (Mastercard).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Solicitar capacidad de registro de terceros (program managers, agentes, patrocinados).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Firmar los acuerdos de licencia correspondientes.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Constituir el colateral/garantía exigido por cada red.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eastAsia="Arial"/>
        </w:rPr>
        <w:t xml:space="preserve">Definir y documentar el modelo de liquidación (settlement) directo con cada red.</w:t>
      </w:r>
    </w:p>
    <w:bookmarkEnd w:id="43"/>
    <w:bookmarkStart w:id="44" w:name="X8dcbaa26a3366e4c6c9ad52e4e61e89be39c20c"/>
    <w:p>
      <w:pPr>
        <w:pStyle w:val="Heading3"/>
      </w:pPr>
      <w:r>
        <w:rPr>
          <w:rFonts w:ascii="Arial" w:hAnsi="Arial" w:eastAsia="Arial"/>
        </w:rPr>
        <w:t xml:space="preserve">Fase 3 - Riesgo, cumplimiento y gobierno del modelo sponsor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[Por construir] Diseñar el marco de settlement risk de terceros (default de patrocinados).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[Por construir] Definir política de colateral y garantías de los patrocinados.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[Por construir] Crear el proceso de due diligence / onboarding KYB de patrocinados.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[Por construir] Definir límites por programa (volúmenes, exposición, velocidad, fraude).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[Por construir] Establecer programa de monitoreo continuo (transaccional, AML, fraude) sobre el portafolio.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[Por construir] Diseñar el marco de gestión de contracargos (chargebacks) para los programas patrocinados.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Definir modelo de responsabilidad y contratos con patrocinados (responsabilidad ante la red, SLAs, indemnidades).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eastAsia="Arial"/>
        </w:rPr>
        <w:t xml:space="preserve">Plan de continuidad de negocio y resolución/salida de patrocinados (wind-down).</w:t>
      </w:r>
    </w:p>
    <w:bookmarkEnd w:id="44"/>
    <w:bookmarkStart w:id="45" w:name="fase-4---infraestructura-técnica"/>
    <w:p>
      <w:pPr>
        <w:pStyle w:val="Heading3"/>
      </w:pPr>
      <w:r>
        <w:rPr>
          <w:rFonts w:ascii="Arial" w:hAnsi="Arial" w:eastAsia="Arial"/>
        </w:rPr>
        <w:t xml:space="preserve">Fase 4 - Infraestructura técnica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[Resuelto] Confirmar el core de procesamiento emisor (autorización, clearing, settlement).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[Resuelto] Confirmar/renovar la certificación PCI-DSS al nivel requerido (nivel 1).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validar] Correr/actualizar la certificación técnica de issuing con cada red.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Construir la plataforma multi-tenant de gestión de programas (cada patrocinado como tenant aislado).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Construir las APIs públicas de emisión y gestión de tarjetas (crear tarjeta, fondear, saldo, transacciones, webhooks).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Construir el dashboard self-service para patrocinados.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Implementar el ledger / contabilidad por patrocinado y por tarjetahabiente.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Integrar tokenización (Apple Pay, Google Pay) y 3DS.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Integrar motor antifraude y CVV dinámico.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Construir el motor de settlement y conciliación multi-tenant (conciliación diaria, pagos en moneda local).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Construir el flujo de onboarding/KYB de patrocinados y KYC de tarjetahabientes finales.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eastAsia="Arial"/>
        </w:rPr>
        <w:t xml:space="preserve">[Por construir] Impresión y logística de tarjetas físicas (propio o partner), si aplica.</w:t>
      </w:r>
    </w:p>
    <w:bookmarkEnd w:id="45"/>
    <w:bookmarkStart w:id="46" w:name="X4fcc151d5505f422691c02ed338ed604012da6f"/>
    <w:p>
      <w:pPr>
        <w:pStyle w:val="Heading3"/>
      </w:pPr>
      <w:r>
        <w:rPr>
          <w:rFonts w:ascii="Arial" w:hAnsi="Arial" w:eastAsia="Arial"/>
        </w:rPr>
        <w:t xml:space="preserve">Fase 5 - Piloto, certificación y salida a producción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</w:rPr>
        <w:t xml:space="preserve">Seleccionar uno o dos patrocinados piloto.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</w:rPr>
        <w:t xml:space="preserve">Configurar el primer BIN/programa de prueba en ambiente de certificación de la red.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</w:rPr>
        <w:t xml:space="preserve">Correr pruebas end-to-end (emisión → autorización → clearing → settlement → chargeback).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</w:rPr>
        <w:t xml:space="preserve">Obtener aprobaciones finales de cada red para producción.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</w:rPr>
        <w:t xml:space="preserve">Go-live controlado del primer programa patrocinado.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eastAsia="Arial"/>
        </w:rPr>
        <w:t xml:space="preserve">Monitoreo intensivo post-lanzamiento y ajuste de límites/reglas.</w:t>
      </w:r>
    </w:p>
    <w:bookmarkEnd w:id="46"/>
    <w:bookmarkStart w:id="47" w:name="fase-6---escalamiento"/>
    <w:p>
      <w:pPr>
        <w:pStyle w:val="Heading3"/>
      </w:pPr>
      <w:r>
        <w:rPr>
          <w:rFonts w:ascii="Arial" w:hAnsi="Arial" w:eastAsia="Arial"/>
        </w:rPr>
        <w:t xml:space="preserve">Fase 6 - Escalamiento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</w:rPr>
        <w:t xml:space="preserve">Industrializar el onboarding de nuevos patrocinados.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</w:rPr>
        <w:t xml:space="preserve">Ampliar a más marcas/países (replicar el modelo regulatorio por jurisdicción).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eastAsia="Arial"/>
        </w:rPr>
        <w:t xml:space="preserve">Optimizar producto (multimoneda, multiapp, lealtad).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7"/>
    <w:bookmarkEnd w:id="48"/>
    <w:bookmarkStart w:id="49" w:name="Xc8871a2b4d0f0b00fc67379547f5c3200de2964"/>
    <w:p>
      <w:pPr>
        <w:pStyle w:val="Heading2"/>
      </w:pPr>
      <w:r>
        <w:rPr>
          <w:rFonts w:ascii="Arial" w:hAnsi="Arial" w:eastAsia="Arial"/>
        </w:rPr>
        <w:t xml:space="preserve">6. Dónde está el esfuerzo real para CredibanCo</w:t>
      </w:r>
    </w:p>
    <w:p>
      <w:pPr>
        <w:pStyle w:val="FirstParagraph"/>
      </w:pPr>
      <w:r>
        <w:rPr>
          <w:rFonts w:ascii="Arial" w:hAnsi="Arial" w:eastAsia="Arial"/>
        </w:rPr>
        <w:t xml:space="preserve">Las Fases 0-1 y buena parte de la 2 y 4 ya están parcial o totalmente resueltas gracias a la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condición de entidad vigilada y adquirente Visa con producto prepago. El trabajo se concentra en: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eastAsia="Arial"/>
          <w:b/>
          <w:bCs/>
        </w:rPr>
        <w:t xml:space="preserve">Negociación con las redes (Fase 2):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pasar de adquirente a sponsor de emisores, y sumar Mastercard.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eastAsia="Arial"/>
          <w:b/>
          <w:bCs/>
        </w:rPr>
        <w:t xml:space="preserve">Marco de riesgo de terceros (Fase 3):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nuevo y crítico, porque se asume el riesgo de los patrocinados.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eastAsia="Arial"/>
          <w:b/>
          <w:bCs/>
        </w:rPr>
        <w:t xml:space="preserve">Plataforma tecnológica API-first (Fase 4):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el gap más grande frente a Pomelo.</w:t>
      </w:r>
    </w:p>
    <w:p>
      <w:pPr>
        <w:pStyle w:val="FirstParagraph"/>
      </w:pPr>
      <w:r>
        <w:rPr>
          <w:rFonts w:ascii="Arial" w:hAnsi="Arial" w:eastAsia="Arial"/>
        </w:rPr>
        <w:t xml:space="preserve">Comparado con una fintech desde cero (2-4 años), CredibanCo podría hablar de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b/>
          <w:bCs/>
        </w:rPr>
        <w:t xml:space="preserve">meses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en lugar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de años, porque el activo más difícil (entidad regulada + membresía de red + conexión certificada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</w:rPr>
        <w:t xml:space="preserve">+ PCI) ya existe.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49"/>
    <w:bookmarkStart w:id="50" w:name="próximos-pasos-sugeridos"/>
    <w:p>
      <w:pPr>
        <w:pStyle w:val="Heading2"/>
      </w:pPr>
      <w:r>
        <w:rPr>
          <w:rFonts w:ascii="Arial" w:hAnsi="Arial" w:eastAsia="Arial"/>
        </w:rPr>
        <w:t xml:space="preserve">7. Próximos pasos sugeridos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</w:rPr>
        <w:t xml:space="preserve">Pendiente: Confirmar internamente el alcance exacto de la membresía actual con Visa y Mastercard.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</w:rPr>
        <w:t xml:space="preserve">Pendiente: Iniciar conversación con Visa y Mastercard sobre el rol de sponsor de emisores terceros.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</w:rPr>
        <w:t xml:space="preserve">Pendiente: Definir el marco de riesgo/settlement para patrocinados (Fase 3).</w:t>
      </w:r>
    </w:p>
    <w:p>
      <w:pPr>
        <w:pStyle w:val="Compact"/>
        <w:numPr>
          <w:ilvl w:val="0"/>
          <w:numId w:val="1016"/>
        </w:numPr>
      </w:pPr>
      <w:r>
        <w:rPr>
          <w:rFonts w:ascii="Arial" w:hAnsi="Arial" w:eastAsia="Arial"/>
        </w:rPr>
        <w:t xml:space="preserve">Pendiente: Diseñar la arquitectura de la plataforma tecnológica de sponsorship (Fase 4).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bookmarkEnd w:id="50"/>
    <w:bookmarkStart w:id="51" w:name="referencias"/>
    <w:p>
      <w:pPr>
        <w:pStyle w:val="Heading2"/>
      </w:pPr>
      <w:r>
        <w:rPr>
          <w:rFonts w:ascii="Arial" w:hAnsi="Arial" w:eastAsia="Arial"/>
        </w:rPr>
        <w:t xml:space="preserve">8. Referencias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Pomelo - BIN Sponsorship: https://pomelo.la/en/bin-sponsorship/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Pomelo - Card Issuing: https://pomelo.la/en/card-issuing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Pomelo - Docs Issuing: https://docs-stage.pomelo.la/en/docs/cards/issuing/home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Advapay - Principal Membership: https://advapay.eu/principal-membership-with-mastercard-visa-jcb-unionpay-acquiring-issuing/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Mastercard - Eligibility Criteria: https://www.mastercard.com/how_to_guide/membership.html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Mastercard - Access to Mastercard: https://stage.mastercard.co.uk/en-gb/issuers/access-to-mastercard.html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Boxopay - Acquirer Licensing Process: https://boxopay.com/blog/acquirer-licensing-process/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Walletto - How to become a Visa/Mastercard issuer: https://walletto.eu/wallettos-experience-how-to-become-an-issuer-of-visa-and-mastercard/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LeadIQ - CredibanCo: https://www.leadiq.com/c/credibanco/5a1d97192300005a0085b40e/employee-directory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CB Insights - Credibanco: https://www.cbinsights.com/company/credibanco/</w:t>
      </w:r>
    </w:p>
    <w:p>
      <w:pPr>
        <w:pStyle w:val="Compact"/>
        <w:numPr>
          <w:ilvl w:val="0"/>
          <w:numId w:val="1017"/>
        </w:numPr>
      </w:pPr>
      <w:r>
        <w:rPr>
          <w:rFonts w:ascii="Arial" w:hAnsi="Arial" w:eastAsia="Arial"/>
        </w:rPr>
        <w:t xml:space="preserve">CredibanCo - sitio oficial: https://www.credibanco.com/nuestras-oficinas</w:t>
      </w:r>
    </w:p>
    <w:p>
      <w:pPr>
        <w:spacing w:after="40" w:before="40"/>
      </w:pPr>
      <w:r>
        <w:rPr>
          <w:rFonts w:ascii="Arial" w:hAnsi="Arial" w:eastAsia="Arial"/>
        </w:rPr>
        <w:pict>
          <v:rect style="width:0;height:1.5pt" o:hralign="center" o:hrstd="t" o:hr="t"/>
        </w:pict>
      </w:r>
    </w:p>
    <w:p>
      <w:pPr>
        <w:pStyle w:val="BlockText"/>
        <w:ind w:left="288" w:right="216"/>
      </w:pPr>
      <w:r>
        <w:rPr>
          <w:rFonts w:ascii="Arial" w:hAnsi="Arial" w:eastAsia="Arial"/>
          <w:b/>
          <w:bCs/>
          <w:i/>
          <w:color w:val="505050"/>
        </w:rPr>
        <w:t xml:space="preserve">Aviso: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Este documento consolida análisis basado en información pública y en el modelo de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negocio de Pomelo. No constituye asesoría legal, financiera ni regulatoria. Los requisitos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específicos de licenciamiento, capital y membresía deben validarse con el equipo legal / de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cumplimiento de CredibanCo y directamente con Visa, Mastercard, la Superintendencia Financiera</w:t>
      </w:r>
      <w:r>
        <w:rPr>
          <w:rFonts w:ascii="Arial" w:hAnsi="Arial" w:eastAsia="Arial"/>
          <w:i/>
          <w:color w:val="505050"/>
        </w:rPr>
        <w:t xml:space="preserve"> </w:t>
      </w:r>
      <w:r>
        <w:rPr>
          <w:rFonts w:ascii="Arial" w:hAnsi="Arial" w:eastAsia="Arial"/>
          <w:i/>
          <w:color w:val="505050"/>
        </w:rPr>
        <w:t xml:space="preserve">de Colombia y el Banco de la República.</w:t>
      </w:r>
    </w:p>
    <w:bookmarkEnd w:id="51"/>
    <w:bookmarkEnd w:id="52"/>
    <w:sectPr>
      <w:headerReference w:type="default" r:id="rId9"/>
      <w:footerReference w:type="default" r:id="rId10"/>
      <w:pgSz w:w="12240" w:h="15840"/>
      <w:pgMar w:top="1037" w:bottom="979" w:left="979" w:right="979" w:header="461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7"/>
      </w:rPr>
      <w:t xml:space="preserve">Documento de trabajo - 1 de julio de 2026 | Página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E6E6E"/>
        <w:sz w:val="17"/>
      </w:rPr>
      <w:t>CredibanCo | BIN Sponsor Visa y Mastercard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480"/>
      </w:pPr>
    </w:lvl>
    <w:lvl w:ilvl="1">
      <w:start w:val="47"/>
      <w:numFmt w:val="decimal"/>
      <w:lvlText w:val="%2."/>
      <w:lvlJc w:val="left"/>
      <w:pPr>
        <w:ind w:left="1440" w:hanging="480"/>
      </w:pPr>
    </w:lvl>
    <w:lvl w:ilvl="2">
      <w:start w:val="47"/>
      <w:numFmt w:val="decimal"/>
      <w:lvlText w:val="%3."/>
      <w:lvlJc w:val="left"/>
      <w:pPr>
        <w:ind w:left="2160" w:hanging="480"/>
      </w:pPr>
    </w:lvl>
    <w:lvl w:ilvl="3">
      <w:start w:val="47"/>
      <w:numFmt w:val="decimal"/>
      <w:lvlText w:val="%4."/>
      <w:lvlJc w:val="left"/>
      <w:pPr>
        <w:ind w:left="2880" w:hanging="480"/>
      </w:pPr>
    </w:lvl>
    <w:lvl w:ilvl="4">
      <w:start w:val="47"/>
      <w:numFmt w:val="decimal"/>
      <w:lvlText w:val="%5."/>
      <w:lvlJc w:val="left"/>
      <w:pPr>
        <w:ind w:left="3600" w:hanging="480"/>
      </w:pPr>
    </w:lvl>
    <w:lvl w:ilvl="5">
      <w:start w:val="47"/>
      <w:numFmt w:val="decimal"/>
      <w:lvlText w:val="%6."/>
      <w:lvlJc w:val="left"/>
      <w:pPr>
        <w:ind w:left="4320" w:hanging="480"/>
      </w:pPr>
    </w:lvl>
    <w:lvl w:ilvl="6">
      <w:start w:val="47"/>
      <w:numFmt w:val="decimal"/>
      <w:lvlText w:val="%7."/>
      <w:lvlJc w:val="left"/>
      <w:pPr>
        <w:ind w:left="5040" w:hanging="480"/>
      </w:pPr>
    </w:lvl>
    <w:lvl w:ilvl="7">
      <w:start w:val="47"/>
      <w:numFmt w:val="decimal"/>
      <w:lvlText w:val="%8."/>
      <w:lvlJc w:val="left"/>
      <w:pPr>
        <w:ind w:left="5760" w:hanging="480"/>
      </w:pPr>
    </w:lvl>
    <w:lvl w:ilvl="8">
      <w:start w:val="4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3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4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59" w:lineRule="auto"/>
    </w:pPr>
    <w:rPr>
      <w:rFonts w:ascii="Arial" w:hAnsi="Arial" w:eastAsia="Arial"/>
      <w:b w:val="0"/>
      <w:i w:val="0"/>
      <w:color w:val="2D2D2D"/>
      <w:sz w:val="20"/>
    </w:rPr>
  </w:style>
  <w:style w:styleId="BodyText" w:type="paragraph">
    <w:name w:val="Body Text"/>
    <w:basedOn w:val="Normal"/>
    <w:link w:val="BodyTextChar"/>
    <w:qFormat/>
    <w:pPr>
      <w:spacing w:after="120" w:before="180" w:line="259" w:lineRule="auto"/>
    </w:pPr>
    <w:rPr>
      <w:rFonts w:ascii="Arial" w:hAnsi="Arial" w:eastAsia="Arial"/>
      <w:b w:val="0"/>
      <w:i w:val="0"/>
      <w:color w:val="2D2D2D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line="259" w:lineRule="auto"/>
    </w:pPr>
    <w:rPr>
      <w:rFonts w:ascii="Arial" w:hAnsi="Arial" w:eastAsia="Arial"/>
      <w:b w:val="0"/>
      <w:i w:val="0"/>
      <w:color w:val="2D2D2D"/>
      <w:sz w:val="20"/>
    </w:rPr>
  </w:style>
  <w:style w:customStyle="1" w:styleId="Compact" w:type="paragraph">
    <w:name w:val="Compact"/>
    <w:basedOn w:val="BodyText"/>
    <w:qFormat/>
    <w:pPr>
      <w:spacing w:after="60" w:before="36"/>
      <w:ind w:left="317"/>
    </w:pPr>
    <w:rPr>
      <w:rFonts w:ascii="Arial" w:hAnsi="Arial" w:eastAsia="Arial"/>
      <w:b w:val="0"/>
      <w:i w:val="0"/>
      <w:color w:val="2D2D2D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0"/>
      <w:outlineLvl w:val="0"/>
    </w:pPr>
    <w:rPr>
      <w:rFonts w:asciiTheme="majorHAnsi" w:cstheme="majorBidi" w:eastAsiaTheme="majorEastAsia" w:hAnsiTheme="majorHAnsi" w:ascii="Arial" w:hAnsi="Arial" w:eastAsia="Arial"/>
      <w:b/>
      <w:bCs/>
      <w:i w:val="0"/>
      <w:color w:val="144068"/>
      <w:sz w:val="4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Arial" w:hAnsi="Arial" w:eastAsia="Arial"/>
      <w:b/>
      <w:bCs/>
      <w:i w:val="0"/>
      <w:color w:val="144068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Theme="majorHAnsi" w:cstheme="majorBidi" w:eastAsiaTheme="majorEastAsia" w:hAnsiTheme="majorHAnsi" w:ascii="Arial" w:hAnsi="Arial" w:eastAsia="Arial"/>
      <w:b/>
      <w:bCs/>
      <w:i w:val="0"/>
      <w:color w:val="26262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64" w:lineRule="auto"/>
      <w:ind w:firstLine="0" w:left="360" w:right="288"/>
    </w:pPr>
    <w:rPr>
      <w:rFonts w:ascii="Arial" w:hAnsi="Arial" w:eastAsia="Arial"/>
      <w:b w:val="0"/>
      <w:i/>
      <w:color w:val="555555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6" Type="http://schemas.openxmlformats.org/officeDocument/2006/relationships/hyperlink" Target="https://advapay.eu/principal-membership-with-mastercard-visa-jcb-unionpay-acquiring-issuing/" TargetMode="External"/><Relationship Id="rId31" Type="http://schemas.openxmlformats.org/officeDocument/2006/relationships/hyperlink" Target="https://boxopay.com/blog/acquirer-licensing-process/" TargetMode="External"/><Relationship Id="rId22" Type="http://schemas.openxmlformats.org/officeDocument/2006/relationships/hyperlink" Target="https://docs-stage.pomelo.la/en/docs/cards/issuing/home" TargetMode="External"/><Relationship Id="rId20" Type="http://schemas.openxmlformats.org/officeDocument/2006/relationships/hyperlink" Target="https://pomelo.la/en/bin-sponsorship/" TargetMode="External"/><Relationship Id="rId21" Type="http://schemas.openxmlformats.org/officeDocument/2006/relationships/hyperlink" Target="https://pomelo.la/en/card-issuing" TargetMode="External"/><Relationship Id="rId28" Type="http://schemas.openxmlformats.org/officeDocument/2006/relationships/hyperlink" Target="https://stage.mastercard.co.uk/en-gb/issuers/access-to-mastercard.html" TargetMode="External"/><Relationship Id="rId29" Type="http://schemas.openxmlformats.org/officeDocument/2006/relationships/hyperlink" Target="https://walletto.eu/wallettos-experience-how-to-become-an-issuer-of-visa-and-mastercard/" TargetMode="External"/><Relationship Id="rId35" Type="http://schemas.openxmlformats.org/officeDocument/2006/relationships/hyperlink" Target="https://www.cbinsights.com/company/credibanco/" TargetMode="External"/><Relationship Id="rId36" Type="http://schemas.openxmlformats.org/officeDocument/2006/relationships/hyperlink" Target="https://www.credibanco.com/nuestras-oficinas" TargetMode="External"/><Relationship Id="rId34" Type="http://schemas.openxmlformats.org/officeDocument/2006/relationships/hyperlink" Target="https://www.leadiq.com/c/credibanco/5a1d97192300005a0085b40e/employee-directory" TargetMode="External"/><Relationship Id="rId27" Type="http://schemas.openxmlformats.org/officeDocument/2006/relationships/hyperlink" Target="https://www.mastercard.com/how_to_guide/membership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advapay.eu/principal-membership-with-mastercard-visa-jcb-unionpay-acquiring-issuing/" TargetMode="External"/><Relationship Id="rId31" Type="http://schemas.openxmlformats.org/officeDocument/2006/relationships/hyperlink" Target="https://boxopay.com/blog/acquirer-licensing-process/" TargetMode="External"/><Relationship Id="rId22" Type="http://schemas.openxmlformats.org/officeDocument/2006/relationships/hyperlink" Target="https://docs-stage.pomelo.la/en/docs/cards/issuing/home" TargetMode="External"/><Relationship Id="rId20" Type="http://schemas.openxmlformats.org/officeDocument/2006/relationships/hyperlink" Target="https://pomelo.la/en/bin-sponsorship/" TargetMode="External"/><Relationship Id="rId21" Type="http://schemas.openxmlformats.org/officeDocument/2006/relationships/hyperlink" Target="https://pomelo.la/en/card-issuing" TargetMode="External"/><Relationship Id="rId28" Type="http://schemas.openxmlformats.org/officeDocument/2006/relationships/hyperlink" Target="https://stage.mastercard.co.uk/en-gb/issuers/access-to-mastercard.html" TargetMode="External"/><Relationship Id="rId29" Type="http://schemas.openxmlformats.org/officeDocument/2006/relationships/hyperlink" Target="https://walletto.eu/wallettos-experience-how-to-become-an-issuer-of-visa-and-mastercard/" TargetMode="External"/><Relationship Id="rId35" Type="http://schemas.openxmlformats.org/officeDocument/2006/relationships/hyperlink" Target="https://www.cbinsights.com/company/credibanco/" TargetMode="External"/><Relationship Id="rId36" Type="http://schemas.openxmlformats.org/officeDocument/2006/relationships/hyperlink" Target="https://www.credibanco.com/nuestras-oficinas" TargetMode="External"/><Relationship Id="rId34" Type="http://schemas.openxmlformats.org/officeDocument/2006/relationships/hyperlink" Target="https://www.leadiq.com/c/credibanco/5a1d97192300005a0085b40e/employee-directory" TargetMode="External"/><Relationship Id="rId27" Type="http://schemas.openxmlformats.org/officeDocument/2006/relationships/hyperlink" Target="https://www.mastercard.com/how_to_guide/membersh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CredibanCo como BIN Sponsor de Visa y Mastercard</dc:title>
  <dc:creator>IoThink Technologies</dc:creator>
  <cp:keywords/>
  <dcterms:created xsi:type="dcterms:W3CDTF">2026-07-01T16:22:07Z</dcterms:created>
  <dcterms:modified xsi:type="dcterms:W3CDTF">2026-07-01T16:22:07Z</dcterms:modified>
  <dc:subject>Documento de trabajo</dc:subject>
  <dc:description>Convertido desde Markdown a Word.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