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59B1" w14:textId="09AB539D" w:rsidR="00E37EF3" w:rsidRPr="00CF1F4B" w:rsidRDefault="00270E7C" w:rsidP="00CF1F4B">
      <w:pPr>
        <w:pBdr>
          <w:bottom w:val="double" w:sz="6" w:space="1" w:color="auto"/>
        </w:pBdr>
        <w:jc w:val="center"/>
        <w:rPr>
          <w:lang w:val="fr-FR"/>
        </w:rPr>
      </w:pPr>
      <w:r w:rsidRPr="00CF1F4B">
        <w:rPr>
          <w:lang w:val="fr-FR"/>
        </w:rPr>
        <w:t>ANALYSE FINAN</w:t>
      </w:r>
      <w:r w:rsidR="00CF1F4B" w:rsidRPr="00CF1F4B">
        <w:rPr>
          <w:lang w:val="fr-FR"/>
        </w:rPr>
        <w:t>C</w:t>
      </w:r>
      <w:r w:rsidRPr="00CF1F4B">
        <w:rPr>
          <w:lang w:val="fr-FR"/>
        </w:rPr>
        <w:t>IERE DE LA SODECI</w:t>
      </w:r>
      <w:r w:rsidR="00CF1F4B" w:rsidRPr="00CF1F4B">
        <w:rPr>
          <w:lang w:val="fr-FR"/>
        </w:rPr>
        <w:t xml:space="preserve"> </w:t>
      </w:r>
      <w:r w:rsidR="00CF1F4B">
        <w:rPr>
          <w:lang w:val="fr-FR"/>
        </w:rPr>
        <w:t>SA</w:t>
      </w:r>
    </w:p>
    <w:p w14:paraId="23CDAFB0" w14:textId="43C70E40" w:rsidR="00093D00" w:rsidRDefault="00093D00" w:rsidP="00093D00">
      <w:pPr>
        <w:pStyle w:val="ListParagraph"/>
        <w:numPr>
          <w:ilvl w:val="0"/>
          <w:numId w:val="1"/>
        </w:numPr>
        <w:jc w:val="left"/>
        <w:rPr>
          <w:lang w:val="fr-FR"/>
        </w:rPr>
      </w:pPr>
      <w:r>
        <w:rPr>
          <w:lang w:val="fr-FR"/>
        </w:rPr>
        <w:t>Analyse du compte de résultat</w:t>
      </w:r>
    </w:p>
    <w:p w14:paraId="5FB562F9" w14:textId="3E9C9FA1" w:rsidR="00093D00" w:rsidRDefault="00093D00" w:rsidP="00AE1DBD">
      <w:pPr>
        <w:ind w:firstLine="360"/>
        <w:rPr>
          <w:lang w:val="fr-FR"/>
        </w:rPr>
      </w:pPr>
      <w:r>
        <w:rPr>
          <w:lang w:val="fr-FR"/>
        </w:rPr>
        <w:t>Nous appliquons successivement les méthodes d’analyse verticale et horizontale du compte de résultat de la SODECE SA. En rappel le comte de résultat est document qui renseignent sur le processus de création de richesse de l’entreprise.</w:t>
      </w:r>
    </w:p>
    <w:p w14:paraId="19A4B9BC" w14:textId="7A0433AA" w:rsidR="00105BDF" w:rsidRDefault="00105BDF" w:rsidP="00105BDF">
      <w:pPr>
        <w:pStyle w:val="ListParagraph"/>
        <w:numPr>
          <w:ilvl w:val="0"/>
          <w:numId w:val="2"/>
        </w:numPr>
        <w:jc w:val="left"/>
        <w:rPr>
          <w:lang w:val="fr-FR"/>
        </w:rPr>
      </w:pPr>
      <w:r>
        <w:rPr>
          <w:lang w:val="fr-FR"/>
        </w:rPr>
        <w:t>Analyse verticale</w:t>
      </w:r>
    </w:p>
    <w:p w14:paraId="0E3EE8B0" w14:textId="45045533" w:rsidR="00A06F34" w:rsidRDefault="00A06F34" w:rsidP="00AE1DBD">
      <w:pPr>
        <w:ind w:firstLine="360"/>
        <w:rPr>
          <w:lang w:val="fr-FR"/>
        </w:rPr>
      </w:pPr>
      <w:r>
        <w:rPr>
          <w:lang w:val="fr-FR"/>
        </w:rPr>
        <w:t xml:space="preserve">L’analyse verticale du compte de résultat revient </w:t>
      </w:r>
      <w:r w:rsidR="00AE5B5B">
        <w:rPr>
          <w:lang w:val="fr-FR"/>
        </w:rPr>
        <w:t>à</w:t>
      </w:r>
      <w:r>
        <w:rPr>
          <w:lang w:val="fr-FR"/>
        </w:rPr>
        <w:t xml:space="preserve"> rapporter tous les éléments du compte de résultat au chiffre d’affaires</w:t>
      </w:r>
      <w:r w:rsidR="00AE5B5B">
        <w:rPr>
          <w:lang w:val="fr-FR"/>
        </w:rPr>
        <w:t xml:space="preserve">. Elle nous renseigne sur </w:t>
      </w:r>
      <w:r w:rsidR="006260E5">
        <w:rPr>
          <w:lang w:val="fr-FR"/>
        </w:rPr>
        <w:t>les éléments suivants :</w:t>
      </w:r>
    </w:p>
    <w:p w14:paraId="52457000" w14:textId="3C3F5B3B" w:rsidR="006260E5" w:rsidRDefault="006260E5" w:rsidP="00AE1DBD">
      <w:pPr>
        <w:pStyle w:val="ListParagraph"/>
        <w:numPr>
          <w:ilvl w:val="0"/>
          <w:numId w:val="3"/>
        </w:numPr>
        <w:rPr>
          <w:lang w:val="fr-FR"/>
        </w:rPr>
      </w:pPr>
      <w:r>
        <w:rPr>
          <w:lang w:val="fr-FR"/>
        </w:rPr>
        <w:t>La structure interne des activités</w:t>
      </w:r>
    </w:p>
    <w:p w14:paraId="0D80544D" w14:textId="5FAABDE1" w:rsidR="006260E5" w:rsidRDefault="006260E5" w:rsidP="00AE1DBD">
      <w:pPr>
        <w:pStyle w:val="ListParagraph"/>
        <w:numPr>
          <w:ilvl w:val="0"/>
          <w:numId w:val="3"/>
        </w:numPr>
        <w:rPr>
          <w:lang w:val="fr-FR"/>
        </w:rPr>
      </w:pPr>
      <w:r>
        <w:rPr>
          <w:lang w:val="fr-FR"/>
        </w:rPr>
        <w:t>La maitrise des charges internes</w:t>
      </w:r>
    </w:p>
    <w:p w14:paraId="13AC401C" w14:textId="1AF21818" w:rsidR="006260E5" w:rsidRDefault="006260E5" w:rsidP="00AE1DBD">
      <w:pPr>
        <w:pStyle w:val="ListParagraph"/>
        <w:numPr>
          <w:ilvl w:val="0"/>
          <w:numId w:val="3"/>
        </w:numPr>
        <w:rPr>
          <w:lang w:val="fr-FR"/>
        </w:rPr>
      </w:pPr>
      <w:r>
        <w:rPr>
          <w:lang w:val="fr-FR"/>
        </w:rPr>
        <w:t>La maitrise des charges externes</w:t>
      </w:r>
    </w:p>
    <w:p w14:paraId="3443449E" w14:textId="25449536" w:rsidR="006260E5" w:rsidRDefault="006260E5" w:rsidP="00AE1DBD">
      <w:pPr>
        <w:pStyle w:val="ListParagraph"/>
        <w:numPr>
          <w:ilvl w:val="0"/>
          <w:numId w:val="3"/>
        </w:numPr>
        <w:rPr>
          <w:lang w:val="fr-FR"/>
        </w:rPr>
      </w:pPr>
      <w:r>
        <w:rPr>
          <w:lang w:val="fr-FR"/>
        </w:rPr>
        <w:t>D’apprécier la performance commerciale</w:t>
      </w:r>
      <w:r w:rsidR="007B410A">
        <w:rPr>
          <w:lang w:val="fr-FR"/>
        </w:rPr>
        <w:t xml:space="preserve"> …</w:t>
      </w:r>
    </w:p>
    <w:p w14:paraId="531D0AF6" w14:textId="2AF3BC92" w:rsidR="00C21C0F" w:rsidRDefault="00C21C0F" w:rsidP="00526EB2">
      <w:pPr>
        <w:ind w:firstLine="360"/>
        <w:rPr>
          <w:lang w:val="fr-FR"/>
        </w:rPr>
      </w:pPr>
      <w:r>
        <w:rPr>
          <w:lang w:val="fr-FR"/>
        </w:rPr>
        <w:t xml:space="preserve">En effet le CA de la SODECI repose essentiellement sur la facture d’eau sur l’étendue de la </w:t>
      </w:r>
      <w:r w:rsidR="00B05ADA">
        <w:rPr>
          <w:lang w:val="fr-FR"/>
        </w:rPr>
        <w:t>c</w:t>
      </w:r>
      <w:r>
        <w:rPr>
          <w:lang w:val="fr-FR"/>
        </w:rPr>
        <w:t>ote d’ivoire</w:t>
      </w:r>
      <w:r w:rsidR="00AE1DBD">
        <w:rPr>
          <w:lang w:val="fr-FR"/>
        </w:rPr>
        <w:t xml:space="preserve">, sur les divers travaux et branchement que la société a </w:t>
      </w:r>
      <w:r w:rsidR="00D41B29">
        <w:rPr>
          <w:lang w:val="fr-FR"/>
        </w:rPr>
        <w:t>effectué</w:t>
      </w:r>
      <w:r w:rsidR="00AE1DBD">
        <w:rPr>
          <w:lang w:val="fr-FR"/>
        </w:rPr>
        <w:t xml:space="preserve"> au profit de ses clients ainsi que d’autres travaux divers.</w:t>
      </w:r>
      <w:r w:rsidR="00D80E0F">
        <w:rPr>
          <w:lang w:val="fr-FR"/>
        </w:rPr>
        <w:t xml:space="preserve"> </w:t>
      </w:r>
      <w:r w:rsidR="00492111">
        <w:rPr>
          <w:lang w:val="fr-FR"/>
        </w:rPr>
        <w:t xml:space="preserve">Il convient de souligner que sur la période étudiée, 2014 </w:t>
      </w:r>
      <w:r w:rsidR="006366EB">
        <w:rPr>
          <w:lang w:val="fr-FR"/>
        </w:rPr>
        <w:t>à</w:t>
      </w:r>
      <w:r w:rsidR="00492111">
        <w:rPr>
          <w:lang w:val="fr-FR"/>
        </w:rPr>
        <w:t xml:space="preserve"> 2019, la facturation d’eau représente en moyen 59,19% du CA</w:t>
      </w:r>
      <w:r w:rsidR="00477273">
        <w:rPr>
          <w:lang w:val="fr-FR"/>
        </w:rPr>
        <w:t xml:space="preserve"> de la </w:t>
      </w:r>
      <w:r w:rsidR="0057179C">
        <w:rPr>
          <w:lang w:val="fr-FR"/>
        </w:rPr>
        <w:t xml:space="preserve">société </w:t>
      </w:r>
      <w:r w:rsidR="00477273">
        <w:rPr>
          <w:lang w:val="fr-FR"/>
        </w:rPr>
        <w:t>…</w:t>
      </w:r>
    </w:p>
    <w:p w14:paraId="0C901DF6" w14:textId="2CBB06A3" w:rsidR="00526EB2" w:rsidRDefault="00526EB2" w:rsidP="00526EB2">
      <w:pPr>
        <w:ind w:firstLine="360"/>
        <w:rPr>
          <w:lang w:val="fr-FR"/>
        </w:rPr>
      </w:pPr>
      <w:r>
        <w:rPr>
          <w:lang w:val="fr-FR"/>
        </w:rPr>
        <w:t xml:space="preserve">Par ailleurs, nous remarquons sur la période étudier que le CA a servie principalement </w:t>
      </w:r>
      <w:r w:rsidR="006366EB">
        <w:rPr>
          <w:lang w:val="fr-FR"/>
        </w:rPr>
        <w:t>à</w:t>
      </w:r>
      <w:r>
        <w:rPr>
          <w:lang w:val="fr-FR"/>
        </w:rPr>
        <w:t xml:space="preserve"> couverture des charges relative à l’exploitation. En clair, …</w:t>
      </w:r>
    </w:p>
    <w:p w14:paraId="6DDC57FD" w14:textId="10204289" w:rsidR="006366EB" w:rsidRDefault="006366EB" w:rsidP="00526EB2">
      <w:pPr>
        <w:ind w:firstLine="360"/>
        <w:rPr>
          <w:lang w:val="fr-FR"/>
        </w:rPr>
      </w:pPr>
      <w:r>
        <w:rPr>
          <w:lang w:val="fr-FR"/>
        </w:rPr>
        <w:t>Avec le résultat d’exploitation qui représente en moyen 4,19% sur la période témoigne un niveau de faible maitrise des charges de l’entreprise.</w:t>
      </w:r>
    </w:p>
    <w:p w14:paraId="40A5498D" w14:textId="24B241D3" w:rsidR="00F865C5" w:rsidRDefault="00F865C5" w:rsidP="00526EB2">
      <w:pPr>
        <w:ind w:firstLine="360"/>
        <w:rPr>
          <w:lang w:val="fr-FR"/>
        </w:rPr>
      </w:pPr>
      <w:r>
        <w:rPr>
          <w:lang w:val="fr-FR"/>
        </w:rPr>
        <w:t xml:space="preserve">A </w:t>
      </w:r>
      <w:r w:rsidR="003424F4">
        <w:rPr>
          <w:lang w:val="fr-FR"/>
        </w:rPr>
        <w:t>cet effet</w:t>
      </w:r>
      <w:r>
        <w:rPr>
          <w:lang w:val="fr-FR"/>
        </w:rPr>
        <w:t>, nous suggérons la mise en place d’un service de comptabilité analytique si l’entreprise voudrait s’inscrire dans une stratégie de réductions des couts</w:t>
      </w:r>
      <w:r w:rsidR="003424F4">
        <w:rPr>
          <w:lang w:val="fr-FR"/>
        </w:rPr>
        <w:t xml:space="preserve"> car la charge relative à l’exploitation </w:t>
      </w:r>
      <w:r w:rsidR="00C44ED6">
        <w:rPr>
          <w:lang w:val="fr-FR"/>
        </w:rPr>
        <w:t>représente</w:t>
      </w:r>
      <w:r w:rsidR="003424F4">
        <w:rPr>
          <w:lang w:val="fr-FR"/>
        </w:rPr>
        <w:t xml:space="preserve"> en moyen 95% du CA</w:t>
      </w:r>
      <w:r>
        <w:rPr>
          <w:lang w:val="fr-FR"/>
        </w:rPr>
        <w:t>.</w:t>
      </w:r>
    </w:p>
    <w:p w14:paraId="0D0B31D7" w14:textId="725A8DD6" w:rsidR="003424F4" w:rsidRDefault="003424F4" w:rsidP="003424F4">
      <w:pPr>
        <w:pStyle w:val="ListParagraph"/>
        <w:numPr>
          <w:ilvl w:val="0"/>
          <w:numId w:val="4"/>
        </w:numPr>
        <w:rPr>
          <w:lang w:val="fr-FR"/>
        </w:rPr>
      </w:pPr>
      <w:r>
        <w:rPr>
          <w:lang w:val="fr-FR"/>
        </w:rPr>
        <w:t>Revoir la politique d’intégration de l’entreprise compte tenu du niveau des charges externes (sous-traitance)</w:t>
      </w:r>
      <w:r w:rsidR="00C44ED6">
        <w:rPr>
          <w:lang w:val="fr-FR"/>
        </w:rPr>
        <w:t xml:space="preserve"> car le recours a la sous-traitance peut parfois être néfaste pour la trésorerie de l’entreprise.</w:t>
      </w:r>
    </w:p>
    <w:p w14:paraId="170051C4" w14:textId="30DFB752" w:rsidR="00CF4E84" w:rsidRDefault="00CF4E84" w:rsidP="003424F4">
      <w:pPr>
        <w:pStyle w:val="ListParagraph"/>
        <w:numPr>
          <w:ilvl w:val="0"/>
          <w:numId w:val="4"/>
        </w:numPr>
        <w:rPr>
          <w:lang w:val="fr-FR"/>
        </w:rPr>
      </w:pPr>
      <w:r>
        <w:rPr>
          <w:lang w:val="fr-FR"/>
        </w:rPr>
        <w:t>Revoir le contenu des autres achats, notamment le niveau de la consommation d’</w:t>
      </w:r>
      <w:r w:rsidR="005E2D2C">
        <w:rPr>
          <w:lang w:val="fr-FR"/>
        </w:rPr>
        <w:t>électricité</w:t>
      </w:r>
      <w:r>
        <w:rPr>
          <w:lang w:val="fr-FR"/>
        </w:rPr>
        <w:t>.</w:t>
      </w:r>
    </w:p>
    <w:p w14:paraId="7D9B483A" w14:textId="1835F367" w:rsidR="005E2D2C" w:rsidRDefault="005E2D2C" w:rsidP="003424F4">
      <w:pPr>
        <w:pStyle w:val="ListParagraph"/>
        <w:numPr>
          <w:ilvl w:val="0"/>
          <w:numId w:val="4"/>
        </w:numPr>
        <w:rPr>
          <w:lang w:val="fr-FR"/>
        </w:rPr>
      </w:pPr>
      <w:r>
        <w:rPr>
          <w:lang w:val="fr-FR"/>
        </w:rPr>
        <w:lastRenderedPageBreak/>
        <w:t>Revoir le contenu des service extérieurs</w:t>
      </w:r>
    </w:p>
    <w:p w14:paraId="68C76E03" w14:textId="1A1F5392" w:rsidR="005E2D2C" w:rsidRDefault="005E2D2C" w:rsidP="003424F4">
      <w:pPr>
        <w:pStyle w:val="ListParagraph"/>
        <w:numPr>
          <w:ilvl w:val="0"/>
          <w:numId w:val="4"/>
        </w:numPr>
        <w:rPr>
          <w:lang w:val="fr-FR"/>
        </w:rPr>
      </w:pPr>
      <w:r>
        <w:rPr>
          <w:lang w:val="fr-FR"/>
        </w:rPr>
        <w:t>Revoir le contenu des autres charges</w:t>
      </w:r>
      <w:r w:rsidR="00D874A3">
        <w:rPr>
          <w:lang w:val="fr-FR"/>
        </w:rPr>
        <w:t xml:space="preserve"> particulièrement le niveau des pertes sur </w:t>
      </w:r>
      <w:r w:rsidR="00E54B26">
        <w:rPr>
          <w:lang w:val="fr-FR"/>
        </w:rPr>
        <w:t>la créance</w:t>
      </w:r>
      <w:r w:rsidR="00D874A3">
        <w:rPr>
          <w:lang w:val="fr-FR"/>
        </w:rPr>
        <w:t xml:space="preserve"> clients</w:t>
      </w:r>
    </w:p>
    <w:p w14:paraId="37F3EC14" w14:textId="2D95EDD3" w:rsidR="00E54B26" w:rsidRPr="003424F4" w:rsidRDefault="00E54B26" w:rsidP="003424F4">
      <w:pPr>
        <w:pStyle w:val="ListParagraph"/>
        <w:numPr>
          <w:ilvl w:val="0"/>
          <w:numId w:val="4"/>
        </w:numPr>
        <w:rPr>
          <w:lang w:val="fr-FR"/>
        </w:rPr>
      </w:pPr>
      <w:r>
        <w:rPr>
          <w:lang w:val="fr-FR"/>
        </w:rPr>
        <w:t>Revoir le contenu des frais financiers</w:t>
      </w:r>
    </w:p>
    <w:p w14:paraId="00637B2F" w14:textId="05B7BB0B" w:rsidR="00105BDF" w:rsidRDefault="00105BDF" w:rsidP="00105BDF">
      <w:pPr>
        <w:pStyle w:val="ListParagraph"/>
        <w:numPr>
          <w:ilvl w:val="0"/>
          <w:numId w:val="2"/>
        </w:numPr>
        <w:jc w:val="left"/>
        <w:rPr>
          <w:lang w:val="fr-FR"/>
        </w:rPr>
      </w:pPr>
      <w:r>
        <w:rPr>
          <w:lang w:val="fr-FR"/>
        </w:rPr>
        <w:t>Analyse horizontale</w:t>
      </w:r>
    </w:p>
    <w:p w14:paraId="748F3AD5" w14:textId="44A859D8" w:rsidR="00B209CF" w:rsidRDefault="0052193E" w:rsidP="0052193E">
      <w:pPr>
        <w:ind w:left="360" w:firstLine="360"/>
        <w:rPr>
          <w:lang w:val="fr-FR"/>
        </w:rPr>
      </w:pPr>
      <w:r>
        <w:rPr>
          <w:lang w:val="fr-FR"/>
        </w:rPr>
        <w:t>Effectuer une analyse horizontale consiste à commenter l’évolution des différentes rubriques du compte de résultat par simple observation des variations en valeurs relative.</w:t>
      </w:r>
    </w:p>
    <w:p w14:paraId="36BB16D7" w14:textId="51BC0C1C" w:rsidR="0052193E" w:rsidRDefault="0052193E" w:rsidP="0052193E">
      <w:pPr>
        <w:ind w:left="360" w:firstLine="360"/>
        <w:rPr>
          <w:lang w:val="fr-FR"/>
        </w:rPr>
      </w:pPr>
      <w:r>
        <w:rPr>
          <w:lang w:val="fr-FR"/>
        </w:rPr>
        <w:t>Des données comptables analysées, il nous été donne de constater une augmentation de plus de 50% des ventes de marchandises de la SODECI entre 2014 et 2015.</w:t>
      </w:r>
    </w:p>
    <w:p w14:paraId="36297F3D" w14:textId="0C05ECC2" w:rsidR="0052193E" w:rsidRDefault="0052193E" w:rsidP="0052193E">
      <w:pPr>
        <w:ind w:left="360" w:firstLine="360"/>
        <w:rPr>
          <w:lang w:val="fr-FR"/>
        </w:rPr>
      </w:pPr>
      <w:r>
        <w:rPr>
          <w:lang w:val="fr-FR"/>
        </w:rPr>
        <w:t>Généralement, l’augmentation des ventes s’explique par plusieurs facteurs, soit le prix a augmentée, soit c’est la quantité. Dans le cas de la SODECI, le hause peut être expliquée par les facteurs suivants</w:t>
      </w:r>
      <w:r w:rsidR="00694A9F">
        <w:rPr>
          <w:lang w:val="fr-FR"/>
        </w:rPr>
        <w:t> :</w:t>
      </w:r>
    </w:p>
    <w:p w14:paraId="5A588B04" w14:textId="4B9E4C88" w:rsidR="00694A9F" w:rsidRDefault="00694A9F" w:rsidP="00694A9F">
      <w:pPr>
        <w:pStyle w:val="ListParagraph"/>
        <w:numPr>
          <w:ilvl w:val="0"/>
          <w:numId w:val="5"/>
        </w:numPr>
        <w:rPr>
          <w:lang w:val="fr-FR"/>
        </w:rPr>
      </w:pPr>
      <w:r>
        <w:rPr>
          <w:lang w:val="fr-FR"/>
        </w:rPr>
        <w:t>Développement des villes</w:t>
      </w:r>
    </w:p>
    <w:p w14:paraId="12EAE15D" w14:textId="3BC06DE9" w:rsidR="00694A9F" w:rsidRDefault="00694A9F" w:rsidP="00694A9F">
      <w:pPr>
        <w:pStyle w:val="ListParagraph"/>
        <w:numPr>
          <w:ilvl w:val="0"/>
          <w:numId w:val="5"/>
        </w:numPr>
        <w:rPr>
          <w:lang w:val="fr-FR"/>
        </w:rPr>
      </w:pPr>
      <w:r>
        <w:rPr>
          <w:lang w:val="fr-FR"/>
        </w:rPr>
        <w:t>Viabilisation des villes</w:t>
      </w:r>
    </w:p>
    <w:p w14:paraId="604569B2" w14:textId="66D9F515" w:rsidR="00694A9F" w:rsidRDefault="00694A9F" w:rsidP="00694A9F">
      <w:pPr>
        <w:pStyle w:val="ListParagraph"/>
        <w:numPr>
          <w:ilvl w:val="0"/>
          <w:numId w:val="5"/>
        </w:numPr>
        <w:rPr>
          <w:lang w:val="fr-FR"/>
        </w:rPr>
      </w:pPr>
      <w:r>
        <w:rPr>
          <w:lang w:val="fr-FR"/>
        </w:rPr>
        <w:t>Installation de plus de compteurs</w:t>
      </w:r>
    </w:p>
    <w:p w14:paraId="529C17EB" w14:textId="58E9DE9A" w:rsidR="00694A9F" w:rsidRDefault="00694A9F" w:rsidP="00694A9F">
      <w:pPr>
        <w:pStyle w:val="ListParagraph"/>
        <w:numPr>
          <w:ilvl w:val="0"/>
          <w:numId w:val="5"/>
        </w:numPr>
        <w:rPr>
          <w:lang w:val="fr-FR"/>
        </w:rPr>
      </w:pPr>
      <w:r>
        <w:rPr>
          <w:lang w:val="fr-FR"/>
        </w:rPr>
        <w:t>Hausse des prix m</w:t>
      </w:r>
      <w:r>
        <w:rPr>
          <w:vertAlign w:val="superscript"/>
          <w:lang w:val="fr-FR"/>
        </w:rPr>
        <w:t xml:space="preserve">3 </w:t>
      </w:r>
      <w:r>
        <w:rPr>
          <w:lang w:val="fr-FR"/>
        </w:rPr>
        <w:t>d’eau</w:t>
      </w:r>
    </w:p>
    <w:p w14:paraId="1F0DA1F3" w14:textId="239B5670" w:rsidR="001458D6" w:rsidRDefault="001458D6" w:rsidP="001458D6">
      <w:pPr>
        <w:rPr>
          <w:lang w:val="fr-FR"/>
        </w:rPr>
      </w:pPr>
      <w:r>
        <w:rPr>
          <w:lang w:val="fr-FR"/>
        </w:rPr>
        <w:t xml:space="preserve">Par ailleurs, le résultat d’exploitation a </w:t>
      </w:r>
      <w:r w:rsidR="005A7176">
        <w:rPr>
          <w:lang w:val="fr-FR"/>
        </w:rPr>
        <w:t>baissé</w:t>
      </w:r>
      <w:r>
        <w:rPr>
          <w:lang w:val="fr-FR"/>
        </w:rPr>
        <w:t>…</w:t>
      </w:r>
    </w:p>
    <w:p w14:paraId="019AB86F" w14:textId="65FABB64" w:rsidR="005A7176" w:rsidRDefault="005A7176" w:rsidP="005A7176">
      <w:pPr>
        <w:pStyle w:val="ListParagraph"/>
        <w:numPr>
          <w:ilvl w:val="0"/>
          <w:numId w:val="1"/>
        </w:numPr>
        <w:rPr>
          <w:lang w:val="fr-FR"/>
        </w:rPr>
      </w:pPr>
      <w:r>
        <w:rPr>
          <w:lang w:val="fr-FR"/>
        </w:rPr>
        <w:t>Analyse de bilan</w:t>
      </w:r>
    </w:p>
    <w:p w14:paraId="5A13B1D0" w14:textId="68F53C35" w:rsidR="0095466F" w:rsidRDefault="0095466F" w:rsidP="0095466F">
      <w:pPr>
        <w:pStyle w:val="ListParagraph"/>
        <w:numPr>
          <w:ilvl w:val="0"/>
          <w:numId w:val="6"/>
        </w:numPr>
        <w:rPr>
          <w:lang w:val="fr-FR"/>
        </w:rPr>
      </w:pPr>
      <w:r>
        <w:rPr>
          <w:lang w:val="fr-FR"/>
        </w:rPr>
        <w:t>Analyse verticale</w:t>
      </w:r>
    </w:p>
    <w:p w14:paraId="2313ACF9" w14:textId="06FFC42A" w:rsidR="0095466F" w:rsidRDefault="00267F21" w:rsidP="00267F21">
      <w:pPr>
        <w:ind w:firstLine="360"/>
        <w:rPr>
          <w:lang w:val="fr-FR"/>
        </w:rPr>
      </w:pPr>
      <w:r>
        <w:rPr>
          <w:lang w:val="fr-FR"/>
        </w:rPr>
        <w:t>Cette analyse indique la relation en pourcentage de chaque élément des états financiers. Pour le bilan, il s’</w:t>
      </w:r>
      <w:r w:rsidR="002D4007">
        <w:rPr>
          <w:lang w:val="fr-FR"/>
        </w:rPr>
        <w:t>agit</w:t>
      </w:r>
      <w:r>
        <w:rPr>
          <w:lang w:val="fr-FR"/>
        </w:rPr>
        <w:t xml:space="preserve"> de rapporter </w:t>
      </w:r>
      <w:r w:rsidR="002D4007">
        <w:rPr>
          <w:lang w:val="fr-FR"/>
        </w:rPr>
        <w:t xml:space="preserve">tous les éléments </w:t>
      </w:r>
      <w:r>
        <w:rPr>
          <w:lang w:val="fr-FR"/>
        </w:rPr>
        <w:t>au total bilan</w:t>
      </w:r>
      <w:r w:rsidR="002D4007">
        <w:rPr>
          <w:lang w:val="fr-FR"/>
        </w:rPr>
        <w:t>.</w:t>
      </w:r>
    </w:p>
    <w:p w14:paraId="1D1541C2" w14:textId="2FCD63F4" w:rsidR="002D4007" w:rsidRDefault="002D4007" w:rsidP="00267F21">
      <w:pPr>
        <w:ind w:firstLine="360"/>
        <w:rPr>
          <w:lang w:val="fr-FR"/>
        </w:rPr>
      </w:pPr>
      <w:r>
        <w:rPr>
          <w:lang w:val="fr-FR"/>
        </w:rPr>
        <w:t>L’analyse verticale du bilan doit permettre d’avoir l’information sur les éléments suivants :</w:t>
      </w:r>
    </w:p>
    <w:p w14:paraId="7384095F" w14:textId="4F3E1CBC" w:rsidR="002D4007" w:rsidRDefault="002D4007" w:rsidP="002D4007">
      <w:pPr>
        <w:pStyle w:val="ListParagraph"/>
        <w:numPr>
          <w:ilvl w:val="0"/>
          <w:numId w:val="7"/>
        </w:numPr>
        <w:rPr>
          <w:lang w:val="fr-FR"/>
        </w:rPr>
      </w:pPr>
      <w:r>
        <w:rPr>
          <w:lang w:val="fr-FR"/>
        </w:rPr>
        <w:t>La politique d’investissement (conservative ou agressive)</w:t>
      </w:r>
    </w:p>
    <w:p w14:paraId="3D5C7D4F" w14:textId="4AC925DB" w:rsidR="002D4007" w:rsidRDefault="00E709D5" w:rsidP="002D4007">
      <w:pPr>
        <w:pStyle w:val="ListParagraph"/>
        <w:numPr>
          <w:ilvl w:val="0"/>
          <w:numId w:val="7"/>
        </w:numPr>
        <w:rPr>
          <w:lang w:val="fr-FR"/>
        </w:rPr>
      </w:pPr>
      <w:r>
        <w:rPr>
          <w:lang w:val="fr-FR"/>
        </w:rPr>
        <w:t>La politique de financement</w:t>
      </w:r>
      <w:r w:rsidR="00453B94">
        <w:rPr>
          <w:lang w:val="fr-FR"/>
        </w:rPr>
        <w:t xml:space="preserve"> </w:t>
      </w:r>
      <w:r w:rsidR="00453B94">
        <w:rPr>
          <w:lang w:val="fr-FR"/>
        </w:rPr>
        <w:t>(conservative ou agressive)</w:t>
      </w:r>
    </w:p>
    <w:p w14:paraId="556FDFE6" w14:textId="2AE55AC8" w:rsidR="00E709D5" w:rsidRDefault="00C27886" w:rsidP="002D4007">
      <w:pPr>
        <w:pStyle w:val="ListParagraph"/>
        <w:numPr>
          <w:ilvl w:val="0"/>
          <w:numId w:val="7"/>
        </w:numPr>
        <w:rPr>
          <w:lang w:val="fr-FR"/>
        </w:rPr>
      </w:pPr>
      <w:r>
        <w:rPr>
          <w:lang w:val="fr-FR"/>
        </w:rPr>
        <w:t>L’intensité capitalistique</w:t>
      </w:r>
      <w:r w:rsidR="00B663BC">
        <w:rPr>
          <w:lang w:val="fr-FR"/>
        </w:rPr>
        <w:t xml:space="preserve"> (si les investissements de l’entreprise reposent sur les immobilisations corporelles)</w:t>
      </w:r>
    </w:p>
    <w:p w14:paraId="53B34EB4" w14:textId="44713B30" w:rsidR="00B85500" w:rsidRDefault="00D431A4" w:rsidP="00B85500">
      <w:pPr>
        <w:pStyle w:val="ListParagraph"/>
        <w:numPr>
          <w:ilvl w:val="0"/>
          <w:numId w:val="7"/>
        </w:numPr>
        <w:rPr>
          <w:lang w:val="fr-FR"/>
        </w:rPr>
      </w:pPr>
      <w:r>
        <w:rPr>
          <w:lang w:val="fr-FR"/>
        </w:rPr>
        <w:t>La politique d’amortissement</w:t>
      </w:r>
      <w:r w:rsidR="00A51892">
        <w:rPr>
          <w:lang w:val="fr-FR"/>
        </w:rPr>
        <w:t xml:space="preserve"> …</w:t>
      </w:r>
    </w:p>
    <w:p w14:paraId="15F9F7AA" w14:textId="77777777" w:rsidR="007B7FFB" w:rsidRDefault="001A1B77" w:rsidP="007B7FFB">
      <w:pPr>
        <w:ind w:firstLine="360"/>
        <w:rPr>
          <w:lang w:val="fr-FR"/>
        </w:rPr>
      </w:pPr>
      <w:r>
        <w:rPr>
          <w:lang w:val="fr-FR"/>
        </w:rPr>
        <w:lastRenderedPageBreak/>
        <w:t xml:space="preserve">En moyenne, l’actif circulant de la SODECI représente au moins ¾ du total actif. Cela indique que les dirigeants (directeur financier) notamment a </w:t>
      </w:r>
      <w:r w:rsidR="0007207E">
        <w:rPr>
          <w:lang w:val="fr-FR"/>
        </w:rPr>
        <w:t>adopté</w:t>
      </w:r>
      <w:r>
        <w:rPr>
          <w:lang w:val="fr-FR"/>
        </w:rPr>
        <w:t xml:space="preserve"> une politique d’investissement con</w:t>
      </w:r>
      <w:r w:rsidR="0007207E">
        <w:rPr>
          <w:lang w:val="fr-FR"/>
        </w:rPr>
        <w:t xml:space="preserve">servative. Autrement dit, </w:t>
      </w:r>
      <w:r w:rsidR="00D338C9">
        <w:rPr>
          <w:lang w:val="fr-FR"/>
        </w:rPr>
        <w:t>toute la ressource mobilisée</w:t>
      </w:r>
      <w:r w:rsidR="0007207E">
        <w:rPr>
          <w:lang w:val="fr-FR"/>
        </w:rPr>
        <w:t xml:space="preserve"> </w:t>
      </w:r>
      <w:r w:rsidR="008B0487">
        <w:rPr>
          <w:lang w:val="fr-FR"/>
        </w:rPr>
        <w:t>à</w:t>
      </w:r>
      <w:r w:rsidR="0007207E">
        <w:rPr>
          <w:lang w:val="fr-FR"/>
        </w:rPr>
        <w:t xml:space="preserve"> travers les capitaux propres et les dettes sont injectée dans les éléments du patrimoine qui sont censé être liquide </w:t>
      </w:r>
      <w:r w:rsidR="008B0487">
        <w:rPr>
          <w:lang w:val="af-ZA"/>
        </w:rPr>
        <w:t>à</w:t>
      </w:r>
      <w:r w:rsidR="0007207E">
        <w:rPr>
          <w:lang w:val="fr-FR"/>
        </w:rPr>
        <w:t xml:space="preserve"> mois d’un an</w:t>
      </w:r>
      <w:r w:rsidR="009C5885">
        <w:rPr>
          <w:lang w:val="fr-FR"/>
        </w:rPr>
        <w:t xml:space="preserve">, c’est-à-dire que l’entreprise a investi principalement dans la prise en charge des </w:t>
      </w:r>
      <w:r w:rsidR="00EE5B8C">
        <w:rPr>
          <w:lang w:val="fr-FR"/>
        </w:rPr>
        <w:t>créances</w:t>
      </w:r>
      <w:r w:rsidR="00D806C6">
        <w:rPr>
          <w:lang w:val="fr-FR"/>
        </w:rPr>
        <w:t>…</w:t>
      </w:r>
      <w:r w:rsidR="00853FA4">
        <w:rPr>
          <w:lang w:val="fr-FR"/>
        </w:rPr>
        <w:t xml:space="preserve"> Ce qui laisserai apparaitre un </w:t>
      </w:r>
      <w:r w:rsidR="00853FA4" w:rsidRPr="00D749F1">
        <w:rPr>
          <w:b/>
          <w:bCs/>
          <w:lang w:val="fr-FR"/>
        </w:rPr>
        <w:t>problème d</w:t>
      </w:r>
      <w:r w:rsidR="00D749F1" w:rsidRPr="00D749F1">
        <w:rPr>
          <w:b/>
          <w:bCs/>
          <w:lang w:val="fr-FR"/>
        </w:rPr>
        <w:t>e management du besoin d’exploitation (BFR)</w:t>
      </w:r>
      <w:r w:rsidR="00D749F1">
        <w:rPr>
          <w:lang w:val="fr-FR"/>
        </w:rPr>
        <w:t>.</w:t>
      </w:r>
    </w:p>
    <w:p w14:paraId="42E0D5FB" w14:textId="167EB532" w:rsidR="005F448C" w:rsidRPr="007B7FFB" w:rsidRDefault="005F448C" w:rsidP="007B7FFB">
      <w:pPr>
        <w:ind w:left="360"/>
        <w:rPr>
          <w:lang w:val="fr-FR"/>
        </w:rPr>
      </w:pPr>
      <w:r w:rsidRPr="00CA1BF3">
        <w:rPr>
          <w:b/>
          <w:bCs/>
          <w:lang w:val="fr-FR"/>
        </w:rPr>
        <w:t>Quid de la répartition des ressources de financement entre les capitaux et dettes</w:t>
      </w:r>
      <w:r w:rsidR="00CA1BF3" w:rsidRPr="00CA1BF3">
        <w:rPr>
          <w:b/>
          <w:bCs/>
          <w:lang w:val="fr-FR"/>
        </w:rPr>
        <w:t> ?</w:t>
      </w:r>
    </w:p>
    <w:p w14:paraId="139E6F38" w14:textId="4081833D" w:rsidR="00CA1BF3" w:rsidRDefault="00A16E06" w:rsidP="007B7FFB">
      <w:pPr>
        <w:ind w:firstLine="360"/>
        <w:rPr>
          <w:lang w:val="fr-FR"/>
        </w:rPr>
      </w:pPr>
      <w:r>
        <w:rPr>
          <w:lang w:val="fr-FR"/>
        </w:rPr>
        <w:t xml:space="preserve">En réponse, il est remarquable que </w:t>
      </w:r>
      <w:r w:rsidR="005757F3">
        <w:rPr>
          <w:lang w:val="fr-FR"/>
        </w:rPr>
        <w:t>plus de la moiti</w:t>
      </w:r>
      <w:r w:rsidR="005757F3">
        <w:rPr>
          <w:lang w:val="af-ZA"/>
        </w:rPr>
        <w:t xml:space="preserve">é </w:t>
      </w:r>
      <w:r w:rsidR="005757F3">
        <w:rPr>
          <w:lang w:val="fr-FR"/>
        </w:rPr>
        <w:t>(56%)</w:t>
      </w:r>
      <w:r w:rsidR="00EF60A8">
        <w:rPr>
          <w:lang w:val="fr-FR"/>
        </w:rPr>
        <w:t xml:space="preserve"> environ des ressources</w:t>
      </w:r>
      <w:r w:rsidR="00D0187C">
        <w:rPr>
          <w:lang w:val="fr-FR"/>
        </w:rPr>
        <w:t xml:space="preserve"> de financement proviennent du passif circulant</w:t>
      </w:r>
      <w:r w:rsidR="00AE08FE">
        <w:rPr>
          <w:lang w:val="fr-FR"/>
        </w:rPr>
        <w:t xml:space="preserve"> </w:t>
      </w:r>
      <w:r w:rsidR="00F37668">
        <w:rPr>
          <w:lang w:val="fr-FR"/>
        </w:rPr>
        <w:t>composé</w:t>
      </w:r>
      <w:r w:rsidR="00AE08FE">
        <w:rPr>
          <w:lang w:val="fr-FR"/>
        </w:rPr>
        <w:t xml:space="preserve"> de clients avances et acomptes, fournisseurs d’exploitation et des dettes fiscales et sociales</w:t>
      </w:r>
      <w:r w:rsidR="0048458E">
        <w:rPr>
          <w:lang w:val="fr-FR"/>
        </w:rPr>
        <w:t>.</w:t>
      </w:r>
    </w:p>
    <w:p w14:paraId="43949779" w14:textId="7D327F27" w:rsidR="004104CC" w:rsidRDefault="004104CC" w:rsidP="007B7FFB">
      <w:pPr>
        <w:ind w:firstLine="360"/>
        <w:rPr>
          <w:lang w:val="fr-FR"/>
        </w:rPr>
      </w:pPr>
      <w:r>
        <w:rPr>
          <w:lang w:val="fr-FR"/>
        </w:rPr>
        <w:t xml:space="preserve">De plus, les ressources stables constituées de capitaux propres et des dettes financières </w:t>
      </w:r>
      <w:r w:rsidR="00436F79">
        <w:rPr>
          <w:lang w:val="fr-FR"/>
        </w:rPr>
        <w:t>représentent</w:t>
      </w:r>
      <w:r>
        <w:rPr>
          <w:lang w:val="fr-FR"/>
        </w:rPr>
        <w:t xml:space="preserve"> au moins le quart (26% environ) de l’ensemble des ressources </w:t>
      </w:r>
      <w:r w:rsidR="00E8113C">
        <w:rPr>
          <w:lang w:val="fr-FR"/>
        </w:rPr>
        <w:t>de financement.</w:t>
      </w:r>
    </w:p>
    <w:p w14:paraId="1544F0E2" w14:textId="3845D0C2" w:rsidR="00436F79" w:rsidRDefault="00436F79" w:rsidP="007B7FFB">
      <w:pPr>
        <w:ind w:firstLine="360"/>
        <w:rPr>
          <w:lang w:val="fr-FR"/>
        </w:rPr>
      </w:pPr>
      <w:r>
        <w:rPr>
          <w:lang w:val="fr-FR"/>
        </w:rPr>
        <w:t>Par ailleurs la SODECI sollicite ses banques pour des lignes de crédits sous formes de crédits d’exploitation à hauteur de 18% des ressources. Le recours a des derniers explique de niveau important des ressources financiers supportes par l’entreprise.</w:t>
      </w:r>
    </w:p>
    <w:p w14:paraId="696677AB" w14:textId="462D8990" w:rsidR="003B4EEA" w:rsidRDefault="003B4EEA" w:rsidP="007B7FFB">
      <w:pPr>
        <w:ind w:firstLine="360"/>
        <w:rPr>
          <w:lang w:val="fr-FR"/>
        </w:rPr>
      </w:pPr>
      <w:r>
        <w:rPr>
          <w:lang w:val="fr-FR"/>
        </w:rPr>
        <w:t xml:space="preserve">Eu </w:t>
      </w:r>
      <w:r w:rsidR="00E448E0">
        <w:rPr>
          <w:lang w:val="fr-FR"/>
        </w:rPr>
        <w:t>égard</w:t>
      </w:r>
      <w:r>
        <w:rPr>
          <w:lang w:val="fr-FR"/>
        </w:rPr>
        <w:t xml:space="preserve"> de ce qui </w:t>
      </w:r>
      <w:r w:rsidR="00E448E0">
        <w:rPr>
          <w:lang w:val="fr-FR"/>
        </w:rPr>
        <w:t>précède</w:t>
      </w:r>
      <w:r>
        <w:rPr>
          <w:lang w:val="fr-FR"/>
        </w:rPr>
        <w:t xml:space="preserve">, nous constatons une </w:t>
      </w:r>
      <w:r w:rsidR="00E448E0">
        <w:rPr>
          <w:lang w:val="fr-FR"/>
        </w:rPr>
        <w:t>situation</w:t>
      </w:r>
      <w:r>
        <w:rPr>
          <w:lang w:val="fr-FR"/>
        </w:rPr>
        <w:t xml:space="preserve"> de </w:t>
      </w:r>
      <w:r w:rsidR="00E448E0">
        <w:rPr>
          <w:lang w:val="fr-FR"/>
        </w:rPr>
        <w:t>déséquilibre</w:t>
      </w:r>
      <w:r>
        <w:rPr>
          <w:lang w:val="fr-FR"/>
        </w:rPr>
        <w:t xml:space="preserve"> </w:t>
      </w:r>
      <w:r w:rsidR="00E448E0">
        <w:rPr>
          <w:lang w:val="fr-FR"/>
        </w:rPr>
        <w:t>financier</w:t>
      </w:r>
      <w:r>
        <w:rPr>
          <w:lang w:val="fr-FR"/>
        </w:rPr>
        <w:t xml:space="preserve"> entre les ressources et les emplois.</w:t>
      </w:r>
    </w:p>
    <w:p w14:paraId="5C03449C" w14:textId="3DDACD73" w:rsidR="00C3649A" w:rsidRPr="003631A3" w:rsidRDefault="00C3649A" w:rsidP="007B7FFB">
      <w:pPr>
        <w:ind w:firstLine="360"/>
        <w:rPr>
          <w:b/>
          <w:bCs/>
          <w:lang w:val="fr-FR"/>
        </w:rPr>
      </w:pPr>
      <w:r w:rsidRPr="003631A3">
        <w:rPr>
          <w:b/>
          <w:bCs/>
          <w:lang w:val="fr-FR"/>
        </w:rPr>
        <w:t xml:space="preserve">Est-ce l’orthodoxie </w:t>
      </w:r>
      <w:r w:rsidR="003631A3" w:rsidRPr="003631A3">
        <w:rPr>
          <w:b/>
          <w:bCs/>
          <w:lang w:val="fr-FR"/>
        </w:rPr>
        <w:t>financière</w:t>
      </w:r>
      <w:r w:rsidRPr="003631A3">
        <w:rPr>
          <w:b/>
          <w:bCs/>
          <w:lang w:val="fr-FR"/>
        </w:rPr>
        <w:t xml:space="preserve"> </w:t>
      </w:r>
      <w:r w:rsidR="003631A3" w:rsidRPr="003631A3">
        <w:rPr>
          <w:b/>
          <w:bCs/>
          <w:lang w:val="fr-FR"/>
        </w:rPr>
        <w:t>est-elle</w:t>
      </w:r>
      <w:r w:rsidRPr="003631A3">
        <w:rPr>
          <w:b/>
          <w:bCs/>
          <w:lang w:val="fr-FR"/>
        </w:rPr>
        <w:t xml:space="preserve"> </w:t>
      </w:r>
      <w:r w:rsidR="003631A3" w:rsidRPr="003631A3">
        <w:rPr>
          <w:b/>
          <w:bCs/>
          <w:lang w:val="fr-FR"/>
        </w:rPr>
        <w:t>respectée</w:t>
      </w:r>
      <w:r w:rsidRPr="003631A3">
        <w:rPr>
          <w:b/>
          <w:bCs/>
          <w:lang w:val="fr-FR"/>
        </w:rPr>
        <w:t> ?</w:t>
      </w:r>
    </w:p>
    <w:p w14:paraId="2A738F72" w14:textId="4D50E2F5" w:rsidR="00C3649A" w:rsidRDefault="00C3649A" w:rsidP="007B7FFB">
      <w:pPr>
        <w:ind w:firstLine="360"/>
        <w:rPr>
          <w:lang w:val="fr-FR"/>
        </w:rPr>
      </w:pPr>
      <w:r>
        <w:rPr>
          <w:lang w:val="fr-FR"/>
        </w:rPr>
        <w:t xml:space="preserve">En orthodoxie </w:t>
      </w:r>
      <w:r w:rsidR="003631A3">
        <w:rPr>
          <w:lang w:val="fr-FR"/>
        </w:rPr>
        <w:t>financière</w:t>
      </w:r>
      <w:r>
        <w:rPr>
          <w:lang w:val="fr-FR"/>
        </w:rPr>
        <w:t xml:space="preserve"> les ressources </w:t>
      </w:r>
      <w:r w:rsidR="003631A3">
        <w:rPr>
          <w:lang w:val="fr-FR"/>
        </w:rPr>
        <w:t>de même durée doivent financer les emplois de la même durée.</w:t>
      </w:r>
    </w:p>
    <w:p w14:paraId="331FA42D" w14:textId="2DAEF6FD" w:rsidR="003631A3" w:rsidRDefault="003631A3" w:rsidP="007B7FFB">
      <w:pPr>
        <w:ind w:firstLine="360"/>
        <w:rPr>
          <w:lang w:val="fr-FR"/>
        </w:rPr>
      </w:pPr>
      <w:r>
        <w:rPr>
          <w:lang w:val="fr-FR"/>
        </w:rPr>
        <w:t xml:space="preserve">Pour répondre </w:t>
      </w:r>
      <w:r w:rsidR="007D0B03">
        <w:rPr>
          <w:lang w:val="fr-FR"/>
        </w:rPr>
        <w:t>à</w:t>
      </w:r>
      <w:r>
        <w:rPr>
          <w:lang w:val="fr-FR"/>
        </w:rPr>
        <w:t xml:space="preserve"> cette question, il est essentiel d’observer le poids</w:t>
      </w:r>
      <w:r w:rsidR="007D0B03">
        <w:rPr>
          <w:lang w:val="fr-FR"/>
        </w:rPr>
        <w:t xml:space="preserve"> de l’actifs immobilisée. En effet l’actifs immobilisée représente 17% du total actifs.</w:t>
      </w:r>
      <w:r w:rsidR="00290B59">
        <w:rPr>
          <w:lang w:val="fr-FR"/>
        </w:rPr>
        <w:t xml:space="preserve"> Et alors ?</w:t>
      </w:r>
    </w:p>
    <w:p w14:paraId="2C4617A3" w14:textId="608B4727" w:rsidR="009D2672" w:rsidRDefault="009D2672" w:rsidP="007B7FFB">
      <w:pPr>
        <w:ind w:firstLine="360"/>
        <w:rPr>
          <w:lang w:val="fr-FR"/>
        </w:rPr>
      </w:pPr>
      <w:r>
        <w:rPr>
          <w:lang w:val="fr-FR"/>
        </w:rPr>
        <w:t xml:space="preserve">Son fonds de roulement est positif mais insuffisant pour financer son besoin en </w:t>
      </w:r>
      <w:r w:rsidR="00D778FC">
        <w:rPr>
          <w:lang w:val="fr-FR"/>
        </w:rPr>
        <w:t>fonds</w:t>
      </w:r>
      <w:r>
        <w:rPr>
          <w:lang w:val="fr-FR"/>
        </w:rPr>
        <w:t xml:space="preserve"> de roulement</w:t>
      </w:r>
      <w:r w:rsidR="00D778FC">
        <w:rPr>
          <w:lang w:val="fr-FR"/>
        </w:rPr>
        <w:t xml:space="preserve">. Ce qui explique le recours aux crédits de trésorerie pour financer son BFR et le niveau de sa </w:t>
      </w:r>
      <w:r w:rsidR="00A4771C">
        <w:rPr>
          <w:lang w:val="fr-FR"/>
        </w:rPr>
        <w:t>trésorerie</w:t>
      </w:r>
      <w:r w:rsidR="00D778FC">
        <w:rPr>
          <w:lang w:val="fr-FR"/>
        </w:rPr>
        <w:t xml:space="preserve">. </w:t>
      </w:r>
      <w:r w:rsidR="00BB3E63">
        <w:rPr>
          <w:lang w:val="fr-FR"/>
        </w:rPr>
        <w:t xml:space="preserve">Etant donnée que </w:t>
      </w:r>
      <w:r w:rsidR="00CF0C2E">
        <w:rPr>
          <w:lang w:val="fr-FR"/>
        </w:rPr>
        <w:t>la trésorerie active</w:t>
      </w:r>
      <w:r w:rsidR="00BB3E63">
        <w:rPr>
          <w:lang w:val="fr-FR"/>
        </w:rPr>
        <w:t xml:space="preserve"> représente en moyenne</w:t>
      </w:r>
      <w:r w:rsidR="00556F1C">
        <w:rPr>
          <w:lang w:val="fr-FR"/>
        </w:rPr>
        <w:t xml:space="preserve"> moins de 5%</w:t>
      </w:r>
      <w:r w:rsidR="00CF0C2E">
        <w:rPr>
          <w:lang w:val="fr-FR"/>
        </w:rPr>
        <w:t>.</w:t>
      </w:r>
    </w:p>
    <w:p w14:paraId="1DF3109B" w14:textId="7A9D8D8A" w:rsidR="00CF0C2E" w:rsidRDefault="00CF0C2E" w:rsidP="007B7FFB">
      <w:pPr>
        <w:ind w:firstLine="360"/>
        <w:rPr>
          <w:lang w:val="fr-FR"/>
        </w:rPr>
      </w:pPr>
      <w:r>
        <w:rPr>
          <w:lang w:val="fr-FR"/>
        </w:rPr>
        <w:t xml:space="preserve">Les problèmes de la trésorerie </w:t>
      </w:r>
      <w:r w:rsidR="00DF7527">
        <w:rPr>
          <w:lang w:val="af-ZA"/>
        </w:rPr>
        <w:t>à</w:t>
      </w:r>
      <w:r>
        <w:rPr>
          <w:lang w:val="fr-FR"/>
        </w:rPr>
        <w:t xml:space="preserve"> parti</w:t>
      </w:r>
      <w:r w:rsidR="00DF7527">
        <w:rPr>
          <w:lang w:val="fr-FR"/>
        </w:rPr>
        <w:t>e</w:t>
      </w:r>
      <w:r>
        <w:rPr>
          <w:lang w:val="fr-FR"/>
        </w:rPr>
        <w:t xml:space="preserve"> de l’année 2016</w:t>
      </w:r>
      <w:r w:rsidR="00F21983">
        <w:rPr>
          <w:lang w:val="fr-FR"/>
        </w:rPr>
        <w:t> </w:t>
      </w:r>
      <w:r>
        <w:rPr>
          <w:lang w:val="fr-FR"/>
        </w:rPr>
        <w:t>! Quel est l’origine</w:t>
      </w:r>
      <w:r w:rsidR="00F21983">
        <w:rPr>
          <w:lang w:val="fr-FR"/>
        </w:rPr>
        <w:t> </w:t>
      </w:r>
      <w:r>
        <w:rPr>
          <w:lang w:val="fr-FR"/>
        </w:rPr>
        <w:t>?</w:t>
      </w:r>
    </w:p>
    <w:p w14:paraId="5C884933" w14:textId="2CE55032" w:rsidR="00DF7527" w:rsidRDefault="00F21983" w:rsidP="00F21983">
      <w:pPr>
        <w:pStyle w:val="ListParagraph"/>
        <w:numPr>
          <w:ilvl w:val="0"/>
          <w:numId w:val="8"/>
        </w:numPr>
        <w:rPr>
          <w:lang w:val="fr-FR"/>
        </w:rPr>
      </w:pPr>
      <w:r>
        <w:rPr>
          <w:lang w:val="fr-FR"/>
        </w:rPr>
        <w:t>Le recouvrement des créances ?</w:t>
      </w:r>
      <w:r w:rsidR="00E532CA">
        <w:rPr>
          <w:lang w:val="fr-FR"/>
        </w:rPr>
        <w:t xml:space="preserve"> Modèle économique ?</w:t>
      </w:r>
    </w:p>
    <w:p w14:paraId="6CBB9A64" w14:textId="1A092949" w:rsidR="00E532CA" w:rsidRDefault="00CD6D12" w:rsidP="00F21983">
      <w:pPr>
        <w:pStyle w:val="ListParagraph"/>
        <w:numPr>
          <w:ilvl w:val="0"/>
          <w:numId w:val="8"/>
        </w:numPr>
        <w:rPr>
          <w:lang w:val="fr-FR"/>
        </w:rPr>
      </w:pPr>
      <w:r>
        <w:rPr>
          <w:lang w:val="fr-FR"/>
        </w:rPr>
        <w:lastRenderedPageBreak/>
        <w:t>Le niveau des frais financiers</w:t>
      </w:r>
      <w:r w:rsidR="009E4569">
        <w:rPr>
          <w:lang w:val="fr-FR"/>
        </w:rPr>
        <w:t xml:space="preserve"> sur la période étudiée !</w:t>
      </w:r>
      <w:r w:rsidR="00E712C8">
        <w:rPr>
          <w:lang w:val="fr-FR"/>
        </w:rPr>
        <w:t xml:space="preserve"> La SODECI paie plus de 500 millions de frais a cause de ses découvert bancaire</w:t>
      </w:r>
    </w:p>
    <w:p w14:paraId="646D2786" w14:textId="4C65290B" w:rsidR="00A175D4" w:rsidRDefault="00641EE6" w:rsidP="000B1868">
      <w:pPr>
        <w:ind w:firstLine="360"/>
        <w:rPr>
          <w:lang w:val="fr-FR"/>
        </w:rPr>
      </w:pPr>
      <w:r>
        <w:rPr>
          <w:lang w:val="fr-FR"/>
        </w:rPr>
        <w:t xml:space="preserve">En ce qui concerne la politique de financement, le rapport passif circulant et total passif nous renseigne sur la nature. </w:t>
      </w:r>
      <w:r w:rsidR="003E06DE">
        <w:rPr>
          <w:lang w:val="fr-FR"/>
        </w:rPr>
        <w:t xml:space="preserve">Un fort (respectivement faible), ration est la </w:t>
      </w:r>
      <w:r w:rsidR="00F826CE">
        <w:rPr>
          <w:lang w:val="fr-FR"/>
        </w:rPr>
        <w:t>conséquence</w:t>
      </w:r>
      <w:r w:rsidR="003E06DE">
        <w:rPr>
          <w:lang w:val="fr-FR"/>
        </w:rPr>
        <w:t xml:space="preserve"> d’un politique de financement agressive</w:t>
      </w:r>
      <w:r w:rsidR="00F826CE">
        <w:rPr>
          <w:lang w:val="fr-FR"/>
        </w:rPr>
        <w:t xml:space="preserve"> (respectivement conservative)</w:t>
      </w:r>
      <w:r w:rsidR="009A7BB7">
        <w:rPr>
          <w:lang w:val="fr-FR"/>
        </w:rPr>
        <w:t xml:space="preserve">. Ainsi, les ressources de financement de l’entreprise sont essentiellement </w:t>
      </w:r>
      <w:r w:rsidR="00676155">
        <w:rPr>
          <w:lang w:val="fr-FR"/>
        </w:rPr>
        <w:t>basées</w:t>
      </w:r>
      <w:r w:rsidR="009A7BB7">
        <w:rPr>
          <w:lang w:val="fr-FR"/>
        </w:rPr>
        <w:t xml:space="preserve"> sur </w:t>
      </w:r>
      <w:r w:rsidR="008159BA">
        <w:rPr>
          <w:lang w:val="fr-FR"/>
        </w:rPr>
        <w:t>le passif circulant</w:t>
      </w:r>
      <w:r w:rsidR="009A7BB7">
        <w:rPr>
          <w:lang w:val="fr-FR"/>
        </w:rPr>
        <w:t xml:space="preserve"> augmenté de sa trésorerie passif (dettes à court terme)</w:t>
      </w:r>
      <w:r w:rsidR="008159BA">
        <w:rPr>
          <w:lang w:val="fr-FR"/>
        </w:rPr>
        <w:t xml:space="preserve"> lorsque la politique de financement est agressive.</w:t>
      </w:r>
      <w:r w:rsidR="000B1868">
        <w:rPr>
          <w:lang w:val="fr-FR"/>
        </w:rPr>
        <w:t xml:space="preserve"> Inversement la politique est conservative lorsque les ressources de financement proviennent essentiellement des ressources stables.</w:t>
      </w:r>
    </w:p>
    <w:p w14:paraId="5FE463EF" w14:textId="7F076490" w:rsidR="00847B27" w:rsidRPr="00641EE6" w:rsidRDefault="00847B27" w:rsidP="000B1868">
      <w:pPr>
        <w:ind w:firstLine="360"/>
        <w:rPr>
          <w:lang w:val="fr-FR"/>
        </w:rPr>
      </w:pPr>
      <w:r w:rsidRPr="00AF27BB">
        <w:rPr>
          <w:b/>
          <w:bCs/>
          <w:lang w:val="fr-FR"/>
        </w:rPr>
        <w:t xml:space="preserve">Eu </w:t>
      </w:r>
      <w:r w:rsidR="00AF27BB" w:rsidRPr="00AF27BB">
        <w:rPr>
          <w:b/>
          <w:bCs/>
          <w:lang w:val="fr-FR"/>
        </w:rPr>
        <w:t>égard</w:t>
      </w:r>
      <w:r w:rsidRPr="00AF27BB">
        <w:rPr>
          <w:b/>
          <w:bCs/>
          <w:lang w:val="fr-FR"/>
        </w:rPr>
        <w:t xml:space="preserve"> de ce qui précède, la politique de financement de SOCECI tant </w:t>
      </w:r>
      <w:r w:rsidR="00AF27BB" w:rsidRPr="00AF27BB">
        <w:rPr>
          <w:b/>
          <w:bCs/>
          <w:lang w:val="fr-FR"/>
        </w:rPr>
        <w:t>à</w:t>
      </w:r>
      <w:r w:rsidRPr="00AF27BB">
        <w:rPr>
          <w:b/>
          <w:bCs/>
          <w:lang w:val="fr-FR"/>
        </w:rPr>
        <w:t xml:space="preserve"> être agressive</w:t>
      </w:r>
      <w:r w:rsidR="006019CA">
        <w:rPr>
          <w:b/>
          <w:bCs/>
          <w:lang w:val="fr-FR"/>
        </w:rPr>
        <w:t>.</w:t>
      </w:r>
    </w:p>
    <w:p w14:paraId="7A9AB794" w14:textId="0CD738AE" w:rsidR="0095466F" w:rsidRDefault="0095466F" w:rsidP="0095466F">
      <w:pPr>
        <w:pStyle w:val="ListParagraph"/>
        <w:numPr>
          <w:ilvl w:val="0"/>
          <w:numId w:val="6"/>
        </w:numPr>
        <w:rPr>
          <w:lang w:val="fr-FR"/>
        </w:rPr>
      </w:pPr>
      <w:r>
        <w:rPr>
          <w:lang w:val="fr-FR"/>
        </w:rPr>
        <w:t>Analyse horizontale</w:t>
      </w:r>
    </w:p>
    <w:p w14:paraId="37A6164C" w14:textId="5714B98E" w:rsidR="002E6D22" w:rsidRDefault="002E6D22" w:rsidP="002E6D22">
      <w:pPr>
        <w:rPr>
          <w:lang w:val="fr-FR"/>
        </w:rPr>
      </w:pPr>
      <w:r>
        <w:rPr>
          <w:lang w:val="fr-FR"/>
        </w:rPr>
        <w:t>Il faut mettre l’accent sur l’évolution des grande</w:t>
      </w:r>
      <w:r w:rsidR="0093782A">
        <w:rPr>
          <w:lang w:val="fr-FR"/>
        </w:rPr>
        <w:t>s</w:t>
      </w:r>
      <w:r>
        <w:rPr>
          <w:lang w:val="fr-FR"/>
        </w:rPr>
        <w:t xml:space="preserve"> masse</w:t>
      </w:r>
      <w:r w:rsidR="0093782A">
        <w:rPr>
          <w:lang w:val="fr-FR"/>
        </w:rPr>
        <w:t>s :</w:t>
      </w:r>
    </w:p>
    <w:p w14:paraId="511F5021" w14:textId="4FD95F18" w:rsidR="0093782A" w:rsidRDefault="0093782A" w:rsidP="0093782A">
      <w:pPr>
        <w:pStyle w:val="ListParagraph"/>
        <w:numPr>
          <w:ilvl w:val="0"/>
          <w:numId w:val="5"/>
        </w:numPr>
        <w:rPr>
          <w:lang w:val="fr-FR"/>
        </w:rPr>
      </w:pPr>
      <w:r>
        <w:rPr>
          <w:lang w:val="fr-FR"/>
        </w:rPr>
        <w:t>Les immobilisations corporelles</w:t>
      </w:r>
      <w:r w:rsidR="006D7D2D">
        <w:rPr>
          <w:lang w:val="fr-FR"/>
        </w:rPr>
        <w:t xml:space="preserve"> (évolution importante en 2014 et 2015), qu’est ce qui explique </w:t>
      </w:r>
      <w:r w:rsidR="0046605E">
        <w:rPr>
          <w:lang w:val="fr-FR"/>
        </w:rPr>
        <w:t>cet investissement</w:t>
      </w:r>
    </w:p>
    <w:p w14:paraId="737DBD8E" w14:textId="3DD9BFEE" w:rsidR="0093782A" w:rsidRDefault="0046605E" w:rsidP="0093782A">
      <w:pPr>
        <w:pStyle w:val="ListParagraph"/>
        <w:numPr>
          <w:ilvl w:val="0"/>
          <w:numId w:val="5"/>
        </w:numPr>
        <w:rPr>
          <w:lang w:val="fr-FR"/>
        </w:rPr>
      </w:pPr>
      <w:r>
        <w:rPr>
          <w:lang w:val="fr-FR"/>
        </w:rPr>
        <w:t>Accroissement du poste bâtiment en 2017 ?</w:t>
      </w:r>
    </w:p>
    <w:p w14:paraId="65A4CFC5" w14:textId="23091076" w:rsidR="0046605E" w:rsidRDefault="0046605E" w:rsidP="0093782A">
      <w:pPr>
        <w:pStyle w:val="ListParagraph"/>
        <w:numPr>
          <w:ilvl w:val="0"/>
          <w:numId w:val="5"/>
        </w:numPr>
        <w:rPr>
          <w:lang w:val="fr-FR"/>
        </w:rPr>
      </w:pPr>
      <w:r>
        <w:rPr>
          <w:lang w:val="fr-FR"/>
        </w:rPr>
        <w:t>Accroissement important des avances et acomptes versées sur immobilisations</w:t>
      </w:r>
    </w:p>
    <w:p w14:paraId="2DC9569C" w14:textId="36BB9121" w:rsidR="005B6B60" w:rsidRDefault="005B6B60" w:rsidP="0093782A">
      <w:pPr>
        <w:pStyle w:val="ListParagraph"/>
        <w:numPr>
          <w:ilvl w:val="0"/>
          <w:numId w:val="5"/>
        </w:numPr>
        <w:rPr>
          <w:lang w:val="fr-FR"/>
        </w:rPr>
      </w:pPr>
      <w:r>
        <w:rPr>
          <w:lang w:val="fr-FR"/>
        </w:rPr>
        <w:t>Evolution du total de l’actif circulant</w:t>
      </w:r>
      <w:r w:rsidR="00EE5748">
        <w:rPr>
          <w:lang w:val="fr-FR"/>
        </w:rPr>
        <w:t xml:space="preserve"> qui croit à un rythme plus important que l’évolution du CA</w:t>
      </w:r>
    </w:p>
    <w:p w14:paraId="3239AB04" w14:textId="597061A3" w:rsidR="00EE5748" w:rsidRDefault="00EE5748" w:rsidP="0093782A">
      <w:pPr>
        <w:pStyle w:val="ListParagraph"/>
        <w:numPr>
          <w:ilvl w:val="0"/>
          <w:numId w:val="5"/>
        </w:numPr>
        <w:rPr>
          <w:lang w:val="fr-FR"/>
        </w:rPr>
      </w:pPr>
      <w:r>
        <w:rPr>
          <w:lang w:val="fr-FR"/>
        </w:rPr>
        <w:t>Origine des créances clients (administration publique)</w:t>
      </w:r>
    </w:p>
    <w:p w14:paraId="475E7F2F" w14:textId="6716FEB1" w:rsidR="00EE5748" w:rsidRPr="0093782A" w:rsidRDefault="00EE5748" w:rsidP="0093782A">
      <w:pPr>
        <w:pStyle w:val="ListParagraph"/>
        <w:numPr>
          <w:ilvl w:val="0"/>
          <w:numId w:val="5"/>
        </w:numPr>
        <w:rPr>
          <w:lang w:val="fr-FR"/>
        </w:rPr>
      </w:pPr>
      <w:r>
        <w:rPr>
          <w:lang w:val="fr-FR"/>
        </w:rPr>
        <w:t>Plus d’éléments d’explications avec les ratios de structure du BRG</w:t>
      </w:r>
      <w:r w:rsidR="00D37DE7">
        <w:rPr>
          <w:lang w:val="fr-FR"/>
        </w:rPr>
        <w:t>.</w:t>
      </w:r>
    </w:p>
    <w:sectPr w:rsidR="00EE5748" w:rsidRPr="00937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7596"/>
    <w:multiLevelType w:val="hybridMultilevel"/>
    <w:tmpl w:val="B53672C8"/>
    <w:lvl w:ilvl="0" w:tplc="CFB8670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652FAD"/>
    <w:multiLevelType w:val="hybridMultilevel"/>
    <w:tmpl w:val="61FE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E543E6"/>
    <w:multiLevelType w:val="hybridMultilevel"/>
    <w:tmpl w:val="0562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55FBC"/>
    <w:multiLevelType w:val="hybridMultilevel"/>
    <w:tmpl w:val="FF0E4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F309C"/>
    <w:multiLevelType w:val="hybridMultilevel"/>
    <w:tmpl w:val="1ACEA7BA"/>
    <w:lvl w:ilvl="0" w:tplc="CFB867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3D95"/>
    <w:multiLevelType w:val="hybridMultilevel"/>
    <w:tmpl w:val="D7EAD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22E63"/>
    <w:multiLevelType w:val="hybridMultilevel"/>
    <w:tmpl w:val="9E8CE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312ED1"/>
    <w:multiLevelType w:val="hybridMultilevel"/>
    <w:tmpl w:val="8DE2B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09"/>
    <w:rsid w:val="0007207E"/>
    <w:rsid w:val="00093D00"/>
    <w:rsid w:val="000B1868"/>
    <w:rsid w:val="00105BDF"/>
    <w:rsid w:val="001458D6"/>
    <w:rsid w:val="00150DD8"/>
    <w:rsid w:val="001A1B77"/>
    <w:rsid w:val="001D1309"/>
    <w:rsid w:val="00267F21"/>
    <w:rsid w:val="00270E7C"/>
    <w:rsid w:val="00290B59"/>
    <w:rsid w:val="002D4007"/>
    <w:rsid w:val="002E6D22"/>
    <w:rsid w:val="003424F4"/>
    <w:rsid w:val="003631A3"/>
    <w:rsid w:val="00376CD1"/>
    <w:rsid w:val="003A05A1"/>
    <w:rsid w:val="003B4EEA"/>
    <w:rsid w:val="003E06DE"/>
    <w:rsid w:val="004104CC"/>
    <w:rsid w:val="00436F79"/>
    <w:rsid w:val="00453B94"/>
    <w:rsid w:val="0046605E"/>
    <w:rsid w:val="00477273"/>
    <w:rsid w:val="0048458E"/>
    <w:rsid w:val="00492111"/>
    <w:rsid w:val="004B1A3E"/>
    <w:rsid w:val="0052193E"/>
    <w:rsid w:val="00526EB2"/>
    <w:rsid w:val="00556F1C"/>
    <w:rsid w:val="0057179C"/>
    <w:rsid w:val="005757F3"/>
    <w:rsid w:val="00595049"/>
    <w:rsid w:val="005A7176"/>
    <w:rsid w:val="005B6B60"/>
    <w:rsid w:val="005E2D2C"/>
    <w:rsid w:val="005F448C"/>
    <w:rsid w:val="006019CA"/>
    <w:rsid w:val="006260E5"/>
    <w:rsid w:val="006366EB"/>
    <w:rsid w:val="00640EE7"/>
    <w:rsid w:val="00641EE6"/>
    <w:rsid w:val="00676155"/>
    <w:rsid w:val="00694A9F"/>
    <w:rsid w:val="006D7D2D"/>
    <w:rsid w:val="007B410A"/>
    <w:rsid w:val="007B7FFB"/>
    <w:rsid w:val="007D0B03"/>
    <w:rsid w:val="00813F17"/>
    <w:rsid w:val="008159BA"/>
    <w:rsid w:val="0083052A"/>
    <w:rsid w:val="00847B27"/>
    <w:rsid w:val="00853FA4"/>
    <w:rsid w:val="008B0487"/>
    <w:rsid w:val="008B1620"/>
    <w:rsid w:val="0093782A"/>
    <w:rsid w:val="0095466F"/>
    <w:rsid w:val="009A7BB7"/>
    <w:rsid w:val="009C5885"/>
    <w:rsid w:val="009D2672"/>
    <w:rsid w:val="009E4569"/>
    <w:rsid w:val="00A06F34"/>
    <w:rsid w:val="00A16E06"/>
    <w:rsid w:val="00A175D4"/>
    <w:rsid w:val="00A4771C"/>
    <w:rsid w:val="00A51892"/>
    <w:rsid w:val="00AE08FE"/>
    <w:rsid w:val="00AE1DBD"/>
    <w:rsid w:val="00AE5B5B"/>
    <w:rsid w:val="00AF27BB"/>
    <w:rsid w:val="00B05ADA"/>
    <w:rsid w:val="00B209CF"/>
    <w:rsid w:val="00B663BC"/>
    <w:rsid w:val="00B85500"/>
    <w:rsid w:val="00BB3E63"/>
    <w:rsid w:val="00C21C0F"/>
    <w:rsid w:val="00C27886"/>
    <w:rsid w:val="00C3649A"/>
    <w:rsid w:val="00C44ED6"/>
    <w:rsid w:val="00CA1BF3"/>
    <w:rsid w:val="00CD6D12"/>
    <w:rsid w:val="00CF0C2E"/>
    <w:rsid w:val="00CF1F4B"/>
    <w:rsid w:val="00CF4E84"/>
    <w:rsid w:val="00D0187C"/>
    <w:rsid w:val="00D338C9"/>
    <w:rsid w:val="00D37DE7"/>
    <w:rsid w:val="00D41B29"/>
    <w:rsid w:val="00D431A4"/>
    <w:rsid w:val="00D749F1"/>
    <w:rsid w:val="00D778FC"/>
    <w:rsid w:val="00D806C6"/>
    <w:rsid w:val="00D80E0F"/>
    <w:rsid w:val="00D874A3"/>
    <w:rsid w:val="00DF7527"/>
    <w:rsid w:val="00E37EF3"/>
    <w:rsid w:val="00E448E0"/>
    <w:rsid w:val="00E532CA"/>
    <w:rsid w:val="00E54B26"/>
    <w:rsid w:val="00E709D5"/>
    <w:rsid w:val="00E712C8"/>
    <w:rsid w:val="00E8113C"/>
    <w:rsid w:val="00EE5748"/>
    <w:rsid w:val="00EE5B8C"/>
    <w:rsid w:val="00EF60A8"/>
    <w:rsid w:val="00F21983"/>
    <w:rsid w:val="00F24D73"/>
    <w:rsid w:val="00F37668"/>
    <w:rsid w:val="00F826CE"/>
    <w:rsid w:val="00F865C5"/>
    <w:rsid w:val="00FF4594"/>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3C76"/>
  <w15:chartTrackingRefBased/>
  <w15:docId w15:val="{2757CAA6-5F7D-4381-8220-52745005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108</cp:revision>
  <dcterms:created xsi:type="dcterms:W3CDTF">2024-03-05T08:53:00Z</dcterms:created>
  <dcterms:modified xsi:type="dcterms:W3CDTF">2024-03-07T11:29:00Z</dcterms:modified>
</cp:coreProperties>
</file>